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before="280" w:after="140"/>
        <w:ind w:right="0"/>
        <w:jc w:val="right"/>
      </w:pPr>
      <w:r>
        <w:rPr>
          <w:rFonts w:ascii="Traditional Arabic" w:cs="Traditional Arabic" w:eastAsia="Traditional Arabic" w:hAnsi="Traditional Arabic"/>
          <w:b/>
          <w:bCs/>
          <w:color w:val="0C447C"/>
          <w:sz w:val="28"/>
          <w:szCs w:val="28"/>
        </w:rPr>
        <w:t xml:space="preserve">الفصل الثالث — التشخيص الميداني وتحليل البيانات</w:t>
      </w:r>
    </w:p>
    <w:p>
      <w:pPr>
        <w:bidi/>
        <w:spacing w:after="80" w:before="0"/>
        <w:ind/>
        <w:jc w:val="center"/>
      </w:pPr>
    </w:p>
    <w:p>
      <w:pPr>
        <w:bidi/>
        <w:spacing w:before="60" w:after="120" w:line="360" w:lineRule="auto"/>
        <w:ind w:right="0"/>
        <w:jc w:val="right"/>
      </w:pPr>
      <w:r>
        <w:rPr>
          <w:rFonts w:ascii="Traditional Arabic" w:cs="Traditional Arabic" w:eastAsia="Traditional Arabic" w:hAnsi="Traditional Arabic"/>
          <w:b w:val="false"/>
          <w:bCs w:val="false"/>
          <w:color w:val="000000"/>
          <w:sz w:val="22"/>
          <w:szCs w:val="22"/>
        </w:rPr>
        <w:t xml:space="preserve">في هذا الفصل نُطبِّق الأدوات الكمية للوجستيك على البيانات الفعلية المُستخرَجة من سجل حركات مخزن مديرية التربية لولاية البيض خلال الفترة الممتدة من فيفري إلى مارس 2026. تشمل هذه الأدوات: تحليل ABC لتصنيف الأصناف حسب الأولوية، نموذج ويلسون لتحديد الكمية الاقتصادية المثلى للطلب (EOQ)، وحساب نقطة إعادة الطلب (ROP) بالمعطيات الميدانية الفعلية. جُمعت هذه البيانات عبر الملاحظة المباشرة والوثائق الإدارية الداخلية (وصولات الاستلام والإخراج).</w:t>
      </w:r>
    </w:p>
    <w:p>
      <w:pPr>
        <w:bidi/>
        <w:spacing w:after="160" w:before="0"/>
        <w:ind/>
        <w:jc w:val="center"/>
      </w:pPr>
    </w:p>
    <w:p>
      <w:pPr>
        <w:bidi/>
        <w:spacing w:before="200" w:after="120"/>
        <w:ind w:right="0"/>
        <w:jc w:val="right"/>
      </w:pPr>
      <w:r>
        <w:rPr>
          <w:rFonts w:ascii="Traditional Arabic" w:cs="Traditional Arabic" w:eastAsia="Traditional Arabic" w:hAnsi="Traditional Arabic"/>
          <w:b/>
          <w:bCs/>
          <w:color w:val="0C447C"/>
          <w:sz w:val="26"/>
          <w:szCs w:val="26"/>
        </w:rPr>
        <w:t xml:space="preserve">3.1  تحليل ABC لمواد مخزن مديرية التربية</w:t>
      </w:r>
    </w:p>
    <w:p>
      <w:pPr>
        <w:bidi/>
        <w:spacing w:before="60" w:after="120" w:line="360" w:lineRule="auto"/>
        <w:ind w:right="0"/>
        <w:jc w:val="right"/>
      </w:pPr>
      <w:r>
        <w:rPr>
          <w:rFonts w:ascii="Traditional Arabic" w:cs="Traditional Arabic" w:eastAsia="Traditional Arabic" w:hAnsi="Traditional Arabic"/>
          <w:b w:val="false"/>
          <w:bCs w:val="false"/>
          <w:color w:val="000000"/>
          <w:sz w:val="22"/>
          <w:szCs w:val="22"/>
        </w:rPr>
        <w:t xml:space="preserve">استناداً إلى سجلات الاستهلاك السنوي لعام 2025 المُستخرَجة من وصولات الإخراج، جرى ترتيب المواد المخزّنة تنازلياً حسب قيمتها الإجمالية، ثم تصنيفها وفق مبدأ باريتو (80/20) إلى ثلاث فئات: A و B و C. يُبيِّن الجدول التالي نتائج هذا التصنيف:</w:t>
      </w:r>
    </w:p>
    <w:p>
      <w:pPr>
        <w:bidi/>
        <w:spacing w:after="80" w:before="0"/>
        <w:ind/>
        <w:jc w:val="center"/>
      </w:pPr>
    </w:p>
    <w:p>
      <w:pPr>
        <w:bidi/>
        <w:spacing w:before="60" w:after="120"/>
        <w:ind/>
        <w:jc w:val="center"/>
      </w:pPr>
      <w:r>
        <w:rPr>
          <w:rFonts w:ascii="Traditional Arabic" w:cs="Traditional Arabic" w:eastAsia="Traditional Arabic" w:hAnsi="Traditional Arabic"/>
          <w:b/>
          <w:bCs/>
          <w:color w:val="0C447C"/>
          <w:sz w:val="22"/>
          <w:szCs w:val="22"/>
        </w:rPr>
        <w:t xml:space="preserve">الجدول رقم (04) — </w:t>
      </w:r>
      <w:r>
        <w:rPr>
          <w:rFonts w:ascii="Traditional Arabic" w:cs="Traditional Arabic" w:eastAsia="Traditional Arabic" w:hAnsi="Traditional Arabic"/>
          <w:b w:val="false"/>
          <w:bCs w:val="false"/>
          <w:color w:val="333333"/>
          <w:sz w:val="22"/>
          <w:szCs w:val="22"/>
        </w:rPr>
        <w:t xml:space="preserve">تصنيف ABC لمواد مخزن مديرية التربية لولاية البيض</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200"/>
        <w:gridCol w:w="1400"/>
        <w:gridCol w:w="1400"/>
        <w:gridCol w:w="1600"/>
      </w:tblGrid>
      <w:tr>
        <w:trPr>
          <w:tblHeader/>
        </w:trPr>
        <w:tc>
          <w:tcPr>
            <w:tcW w:type="dxa" w:w="7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2"/>
                <w:szCs w:val="22"/>
              </w:rPr>
              <w:t xml:space="preserve">الفئة</w:t>
            </w:r>
          </w:p>
        </w:tc>
        <w:tc>
          <w:tcPr>
            <w:tcW w:type="dxa" w:w="16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2"/>
                <w:szCs w:val="22"/>
              </w:rPr>
              <w:t xml:space="preserve">أمثلة من المخزن</w:t>
            </w:r>
          </w:p>
        </w:tc>
        <w:tc>
          <w:tcPr>
            <w:tcW w:type="dxa" w:w="22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Arial" w:cs="Arial" w:eastAsia="Arial" w:hAnsi="Arial"/>
                <w:b/>
                <w:bCs/>
                <w:color w:val="FFFFFF"/>
                <w:sz w:val="20"/>
                <w:szCs w:val="20"/>
              </w:rPr>
              <w:t xml:space="preserve">أرقام المواد</w:t>
            </w:r>
          </w:p>
        </w:tc>
        <w:tc>
          <w:tcPr>
            <w:tcW w:type="dxa" w:w="14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2"/>
                <w:szCs w:val="22"/>
              </w:rPr>
              <w:t xml:space="preserve">نسبة الأصناف</w:t>
            </w:r>
          </w:p>
        </w:tc>
        <w:tc>
          <w:tcPr>
            <w:tcW w:type="dxa" w:w="14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2"/>
                <w:szCs w:val="22"/>
              </w:rPr>
              <w:t xml:space="preserve">نسبة القيمة</w:t>
            </w:r>
          </w:p>
        </w:tc>
        <w:tc>
          <w:tcPr>
            <w:tcW w:type="dxa" w:w="1600"/>
            <w:tcBorders>
              <w:top w:val="single" w:color="0C447C" w:sz="4"/>
              <w:left w:val="single" w:color="0C447C" w:sz="4"/>
              <w:bottom w:val="single" w:color="0C447C" w:sz="4"/>
              <w:right w:val="single" w:color="0C447C" w:sz="4"/>
            </w:tcBorders>
            <w:shd w:fill="1B2631"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2"/>
                <w:szCs w:val="22"/>
              </w:rPr>
              <w:t xml:space="preserve">تكرار الجرد</w:t>
            </w:r>
          </w:p>
        </w:tc>
      </w:tr>
      <w:tr>
        <w:tc>
          <w:tcPr>
            <w:tcW w:type="dxa" w:w="700"/>
            <w:tcBorders>
              <w:top w:val="single" w:color="C0392B" w:sz="4"/>
              <w:left w:val="single" w:color="C0392B" w:sz="4"/>
              <w:bottom w:val="single" w:color="C0392B" w:sz="4"/>
              <w:right w:val="single" w:color="C0392B" w:sz="4"/>
            </w:tcBorders>
            <w:shd w:fill="FADBD8"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C0392B"/>
                <w:sz w:val="28"/>
                <w:szCs w:val="28"/>
              </w:rPr>
              <w:t xml:space="preserve">A</w:t>
            </w:r>
          </w:p>
        </w:tc>
        <w:tc>
          <w:tcPr>
            <w:tcW w:type="dxa" w:w="1600"/>
            <w:tcBorders>
              <w:top w:val="single" w:color="CCCCCC" w:sz="4"/>
              <w:left w:val="single" w:color="CCCCCC" w:sz="4"/>
              <w:bottom w:val="single" w:color="CCCCCC" w:sz="4"/>
              <w:right w:val="single" w:color="CCCCCC" w:sz="4"/>
            </w:tcBorders>
            <w:shd w:fill="FADBD8"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2"/>
                <w:szCs w:val="22"/>
              </w:rPr>
              <w:t xml:space="preserve">خراطيش الطباعة، أطبال HP</w:t>
            </w:r>
          </w:p>
        </w:tc>
        <w:tc>
          <w:tcPr>
            <w:tcW w:type="dxa" w:w="2200"/>
            <w:tcBorders>
              <w:top w:val="single" w:color="CCCCCC" w:sz="4"/>
              <w:left w:val="single" w:color="CCCCCC" w:sz="4"/>
              <w:bottom w:val="single" w:color="CCCCCC" w:sz="4"/>
              <w:right w:val="single" w:color="CCCCCC" w:sz="4"/>
            </w:tcBorders>
            <w:shd w:fill="FADBD8" w:color="auto" w:val="clear"/>
            <w:tcMar>
              <w:top w:type="dxa" w:w="100"/>
              <w:left w:type="dxa" w:w="140"/>
              <w:bottom w:type="dxa" w:w="100"/>
              <w:right w:type="dxa" w:w="140"/>
            </w:tcMar>
            <w:vAlign w:val="center"/>
          </w:tcPr>
          <w:p>
            <w:pPr>
              <w:jc w:val="center"/>
            </w:pPr>
            <w:r>
              <w:rPr>
                <w:rFonts w:ascii="Arial" w:cs="Arial" w:eastAsia="Arial" w:hAnsi="Arial"/>
                <w:b w:val="false"/>
                <w:bCs w:val="false"/>
                <w:color w:val="1A5276"/>
                <w:sz w:val="18"/>
                <w:szCs w:val="18"/>
              </w:rPr>
              <w:t xml:space="preserve">ART-002, 003, 011</w:t>
            </w:r>
          </w:p>
        </w:tc>
        <w:tc>
          <w:tcPr>
            <w:tcW w:type="dxa" w:w="1400"/>
            <w:tcBorders>
              <w:top w:val="single" w:color="CCCCCC" w:sz="4"/>
              <w:left w:val="single" w:color="CCCCCC" w:sz="4"/>
              <w:bottom w:val="single" w:color="CCCCCC" w:sz="4"/>
              <w:right w:val="single" w:color="CCCCCC" w:sz="4"/>
            </w:tcBorders>
            <w:shd w:fill="FADBD8"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2"/>
                <w:szCs w:val="22"/>
              </w:rPr>
              <w:t xml:space="preserve">~20%</w:t>
            </w:r>
          </w:p>
        </w:tc>
        <w:tc>
          <w:tcPr>
            <w:tcW w:type="dxa" w:w="1400"/>
            <w:tcBorders>
              <w:top w:val="single" w:color="CCCCCC" w:sz="4"/>
              <w:left w:val="single" w:color="CCCCCC" w:sz="4"/>
              <w:bottom w:val="single" w:color="CCCCCC" w:sz="4"/>
              <w:right w:val="single" w:color="CCCCCC" w:sz="4"/>
            </w:tcBorders>
            <w:shd w:fill="FADBD8"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2"/>
                <w:szCs w:val="22"/>
              </w:rPr>
              <w:t xml:space="preserve">~80%</w:t>
            </w:r>
          </w:p>
        </w:tc>
        <w:tc>
          <w:tcPr>
            <w:tcW w:type="dxa" w:w="1600"/>
            <w:tcBorders>
              <w:top w:val="single" w:color="CCCCCC" w:sz="4"/>
              <w:left w:val="single" w:color="CCCCCC" w:sz="4"/>
              <w:bottom w:val="single" w:color="CCCCCC" w:sz="4"/>
              <w:right w:val="single" w:color="CCCCCC" w:sz="4"/>
            </w:tcBorders>
            <w:shd w:fill="FADBD8"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2"/>
                <w:szCs w:val="22"/>
              </w:rPr>
              <w:t xml:space="preserve">شهرياً</w:t>
            </w:r>
          </w:p>
        </w:tc>
      </w:tr>
      <w:tr>
        <w:tc>
          <w:tcPr>
            <w:tcW w:type="dxa" w:w="700"/>
            <w:tcBorders>
              <w:top w:val="single" w:color="E67E22" w:sz="4"/>
              <w:left w:val="single" w:color="E67E22" w:sz="4"/>
              <w:bottom w:val="single" w:color="E67E22" w:sz="4"/>
              <w:right w:val="single" w:color="E67E22" w:sz="4"/>
            </w:tcBorders>
            <w:shd w:fill="FEF9E7"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784212"/>
                <w:sz w:val="28"/>
                <w:szCs w:val="28"/>
              </w:rPr>
              <w:t xml:space="preserve">B</w:t>
            </w:r>
          </w:p>
        </w:tc>
        <w:tc>
          <w:tcPr>
            <w:tcW w:type="dxa" w:w="16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2"/>
                <w:szCs w:val="22"/>
              </w:rPr>
              <w:t xml:space="preserve">رزم الورق A4/A3، دفاتر</w:t>
            </w:r>
          </w:p>
        </w:tc>
        <w:tc>
          <w:tcPr>
            <w:tcW w:type="dxa" w:w="22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jc w:val="center"/>
            </w:pPr>
            <w:r>
              <w:rPr>
                <w:rFonts w:ascii="Arial" w:cs="Arial" w:eastAsia="Arial" w:hAnsi="Arial"/>
                <w:b w:val="false"/>
                <w:bCs w:val="false"/>
                <w:color w:val="1A5276"/>
                <w:sz w:val="18"/>
                <w:szCs w:val="18"/>
              </w:rPr>
              <w:t xml:space="preserve">ART-001, 007, 005</w:t>
            </w:r>
          </w:p>
        </w:tc>
        <w:tc>
          <w:tcPr>
            <w:tcW w:type="dxa" w:w="14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2"/>
                <w:szCs w:val="22"/>
              </w:rPr>
              <w:t xml:space="preserve">~30%</w:t>
            </w:r>
          </w:p>
        </w:tc>
        <w:tc>
          <w:tcPr>
            <w:tcW w:type="dxa" w:w="14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2"/>
                <w:szCs w:val="22"/>
              </w:rPr>
              <w:t xml:space="preserve">~15%</w:t>
            </w:r>
          </w:p>
        </w:tc>
        <w:tc>
          <w:tcPr>
            <w:tcW w:type="dxa" w:w="16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2"/>
                <w:szCs w:val="22"/>
              </w:rPr>
              <w:t xml:space="preserve">فصلياً</w:t>
            </w:r>
          </w:p>
        </w:tc>
      </w:tr>
      <w:tr>
        <w:tc>
          <w:tcPr>
            <w:tcW w:type="dxa" w:w="700"/>
            <w:tcBorders>
              <w:top w:val="single" w:color="2980B9" w:sz="4"/>
              <w:left w:val="single" w:color="2980B9" w:sz="4"/>
              <w:bottom w:val="single" w:color="2980B9" w:sz="4"/>
              <w:right w:val="single" w:color="2980B9"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1A5276"/>
                <w:sz w:val="28"/>
                <w:szCs w:val="28"/>
              </w:rPr>
              <w:t xml:space="preserve">C</w:t>
            </w:r>
          </w:p>
        </w:tc>
        <w:tc>
          <w:tcPr>
            <w:tcW w:type="dxa" w:w="16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2"/>
                <w:szCs w:val="22"/>
              </w:rPr>
              <w:t xml:space="preserve">أقلام، مشابك، لواصق، ممحاة</w:t>
            </w:r>
          </w:p>
        </w:tc>
        <w:tc>
          <w:tcPr>
            <w:tcW w:type="dxa" w:w="22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jc w:val="center"/>
            </w:pPr>
            <w:r>
              <w:rPr>
                <w:rFonts w:ascii="Arial" w:cs="Arial" w:eastAsia="Arial" w:hAnsi="Arial"/>
                <w:b w:val="false"/>
                <w:bCs w:val="false"/>
                <w:color w:val="1A5276"/>
                <w:sz w:val="18"/>
                <w:szCs w:val="18"/>
              </w:rPr>
              <w:t xml:space="preserve">ART-004, 006, 008</w:t>
            </w:r>
          </w:p>
        </w:tc>
        <w:tc>
          <w:tcPr>
            <w:tcW w:type="dxa" w:w="14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2"/>
                <w:szCs w:val="22"/>
              </w:rPr>
              <w:t xml:space="preserve">~50%</w:t>
            </w:r>
          </w:p>
        </w:tc>
        <w:tc>
          <w:tcPr>
            <w:tcW w:type="dxa" w:w="14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2"/>
                <w:szCs w:val="22"/>
              </w:rPr>
              <w:t xml:space="preserve">~5%</w:t>
            </w:r>
          </w:p>
        </w:tc>
        <w:tc>
          <w:tcPr>
            <w:tcW w:type="dxa" w:w="16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2"/>
                <w:szCs w:val="22"/>
              </w:rPr>
              <w:t xml:space="preserve">نصف سنوياً</w:t>
            </w:r>
          </w:p>
        </w:tc>
      </w:tr>
    </w:tbl>
    <w:p>
      <w:pPr>
        <w:bidi/>
        <w:spacing w:before="40" w:after="200"/>
        <w:ind/>
        <w:jc w:val="center"/>
      </w:pPr>
      <w:r>
        <w:rPr>
          <w:rFonts w:ascii="Traditional Arabic" w:cs="Traditional Arabic" w:eastAsia="Traditional Arabic" w:hAnsi="Traditional Arabic"/>
          <w:b w:val="false"/>
          <w:bCs w:val="false"/>
          <w:color w:val="777777"/>
          <w:sz w:val="18"/>
          <w:szCs w:val="18"/>
        </w:rPr>
        <w:t xml:space="preserve">المصدر: إعداد الطالب استناداً إلى سجلات مصلحة المخازن 2025 — وصولات الإخراج</w:t>
      </w:r>
    </w:p>
    <w:p>
      <w:pPr>
        <w:bidi/>
        <w:spacing w:after="160" w:before="0"/>
        <w:ind/>
        <w:jc w:val="center"/>
      </w:pPr>
    </w:p>
    <w:p>
      <w:pPr>
        <w:bidi/>
        <w:spacing w:before="60" w:after="120" w:line="360" w:lineRule="auto"/>
        <w:ind w:right="0"/>
        <w:jc w:val="right"/>
      </w:pPr>
      <w:r>
        <w:rPr>
          <w:rFonts w:ascii="Traditional Arabic" w:cs="Traditional Arabic" w:eastAsia="Traditional Arabic" w:hAnsi="Traditional Arabic"/>
          <w:b w:val="false"/>
          <w:bCs w:val="false"/>
          <w:color w:val="000000"/>
          <w:sz w:val="22"/>
          <w:szCs w:val="22"/>
        </w:rPr>
        <w:t xml:space="preserve">يتضح من الجدول أعلاه أن الفئة A تُشكّل ما يقارب 20% من إجمالي الأصناف غير أنها تستحوذ على نحو 80% من إجمالي قيمة الاستهلاك، وهو ما يُبرِّر إخضاعها لمراقبة شهرية دقيقة (Cycle Counting). في المقابل، تُمثّل الفئة C 50% من الأصناف لكنها لا تتجاوز 5% من القيمة، مما يُتيح الاكتفاء بجرد نصف سنوي. هذه النتائج تُؤسِّس لتوزيع جهود المراقبة بصورة عقلانية ومتناسبة مع أهمية كل صنف.</w:t>
      </w:r>
    </w:p>
    <w:p>
      <w:pPr>
        <w:bidi/>
        <w:spacing w:after="160" w:before="0"/>
        <w:ind/>
        <w:jc w:val="center"/>
      </w:pPr>
    </w:p>
    <w:p>
      <w:pPr>
        <w:bidi/>
        <w:spacing w:before="200" w:after="120"/>
        <w:ind w:right="0"/>
        <w:jc w:val="right"/>
      </w:pPr>
      <w:r>
        <w:rPr>
          <w:rFonts w:ascii="Traditional Arabic" w:cs="Traditional Arabic" w:eastAsia="Traditional Arabic" w:hAnsi="Traditional Arabic"/>
          <w:b/>
          <w:bCs/>
          <w:color w:val="0C447C"/>
          <w:sz w:val="26"/>
          <w:szCs w:val="26"/>
        </w:rPr>
        <w:t xml:space="preserve">3.2  الأدوات الكمية المُطبَّقة — الصيغ والمعادلات</w:t>
      </w:r>
    </w:p>
    <w:p>
      <w:pPr>
        <w:bidi/>
        <w:spacing w:before="60" w:after="120" w:line="360" w:lineRule="auto"/>
        <w:ind w:right="0"/>
        <w:jc w:val="right"/>
      </w:pPr>
      <w:r>
        <w:rPr>
          <w:rFonts w:ascii="Traditional Arabic" w:cs="Traditional Arabic" w:eastAsia="Traditional Arabic" w:hAnsi="Traditional Arabic"/>
          <w:b w:val="false"/>
          <w:bCs w:val="false"/>
          <w:color w:val="000000"/>
          <w:sz w:val="22"/>
          <w:szCs w:val="22"/>
        </w:rPr>
        <w:t xml:space="preserve">فيما يلي ملخَّص الأدوات الكمية الرئيسية المُستخدَمة في هذه الدراسة، مع صيغتها الرياضية وتفسيرها الاقتصادي وصلتها بالتحليل الميداني المُجرَى على بيانات المخزن:</w:t>
      </w:r>
    </w:p>
    <w:p>
      <w:pPr>
        <w:bidi/>
        <w:spacing w:after="80" w:before="0"/>
        <w:ind/>
        <w:jc w:val="center"/>
      </w:pPr>
    </w:p>
    <w:p>
      <w:pPr>
        <w:bidi/>
        <w:spacing w:before="60" w:after="120"/>
        <w:ind/>
        <w:jc w:val="center"/>
      </w:pPr>
      <w:r>
        <w:rPr>
          <w:rFonts w:ascii="Traditional Arabic" w:cs="Traditional Arabic" w:eastAsia="Traditional Arabic" w:hAnsi="Traditional Arabic"/>
          <w:b/>
          <w:bCs/>
          <w:color w:val="0C447C"/>
          <w:sz w:val="22"/>
          <w:szCs w:val="22"/>
        </w:rPr>
        <w:t xml:space="preserve">الجدول رقم (05) — </w:t>
      </w:r>
      <w:r>
        <w:rPr>
          <w:rFonts w:ascii="Traditional Arabic" w:cs="Traditional Arabic" w:eastAsia="Traditional Arabic" w:hAnsi="Traditional Arabic"/>
          <w:b w:val="false"/>
          <w:bCs w:val="false"/>
          <w:color w:val="333333"/>
          <w:sz w:val="22"/>
          <w:szCs w:val="22"/>
        </w:rPr>
        <w:t xml:space="preserve">الأدوات الكمية المُعتمَدة في التحليل — الصيغ والتفسير الاقتصادي</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500"/>
        <w:gridCol w:w="2000"/>
      </w:tblGrid>
      <w:tr>
        <w:trPr>
          <w:tblHeader/>
        </w:trPr>
        <w:tc>
          <w:tcPr>
            <w:tcW w:type="dxa" w:w="16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2"/>
                <w:szCs w:val="22"/>
              </w:rPr>
              <w:t xml:space="preserve">الأداة</w:t>
            </w:r>
          </w:p>
        </w:tc>
        <w:tc>
          <w:tcPr>
            <w:tcW w:type="dxa" w:w="28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Arial" w:cs="Arial" w:eastAsia="Arial" w:hAnsi="Arial"/>
                <w:b/>
                <w:bCs/>
                <w:color w:val="FFFFFF"/>
                <w:sz w:val="20"/>
                <w:szCs w:val="20"/>
              </w:rPr>
              <w:t xml:space="preserve">الصيغة الرياضية (FR)</w:t>
            </w:r>
          </w:p>
        </w:tc>
        <w:tc>
          <w:tcPr>
            <w:tcW w:type="dxa" w:w="25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2"/>
                <w:szCs w:val="22"/>
              </w:rPr>
              <w:t xml:space="preserve">التفسير الاقتصادي</w:t>
            </w:r>
          </w:p>
        </w:tc>
        <w:tc>
          <w:tcPr>
            <w:tcW w:type="dxa" w:w="20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2"/>
                <w:szCs w:val="22"/>
              </w:rPr>
              <w:t xml:space="preserve">الصلة بالفصل</w:t>
            </w:r>
          </w:p>
        </w:tc>
      </w:tr>
      <w:tr>
        <w:tc>
          <w:tcPr>
            <w:tcW w:type="dxa" w:w="16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bCs/>
                <w:color w:val="000000"/>
                <w:sz w:val="22"/>
                <w:szCs w:val="22"/>
              </w:rPr>
              <w:t xml:space="preserve">معادلة EOQ / ويلسون</w:t>
            </w:r>
          </w:p>
        </w:tc>
        <w:tc>
          <w:tcPr>
            <w:tcW w:type="dxa" w:w="2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jc w:val="left"/>
            </w:pPr>
            <w:r>
              <w:rPr>
                <w:rFonts w:ascii="Arial" w:cs="Arial" w:eastAsia="Arial" w:hAnsi="Arial"/>
                <w:b w:val="false"/>
                <w:bCs w:val="false"/>
                <w:color w:val="1A5276"/>
                <w:sz w:val="18"/>
                <w:szCs w:val="18"/>
              </w:rPr>
              <w:t xml:space="preserve">Q* = √ (2 × D × CL) ÷ (t × PU)</w:t>
            </w:r>
          </w:p>
        </w:tc>
        <w:tc>
          <w:tcPr>
            <w:tcW w:type="dxa" w:w="25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2"/>
                <w:szCs w:val="22"/>
              </w:rPr>
              <w:t xml:space="preserve">تُدنِّي إجمالي التكاليف المتغيرة CVT</w:t>
            </w:r>
          </w:p>
        </w:tc>
        <w:tc>
          <w:tcPr>
            <w:tcW w:type="dxa" w:w="20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2"/>
                <w:szCs w:val="22"/>
              </w:rPr>
              <w:t xml:space="preserve">أساس الطلب الاقتصادي</w:t>
            </w:r>
          </w:p>
        </w:tc>
      </w:tr>
      <w:tr>
        <w:tc>
          <w:tcPr>
            <w:tcW w:type="dxa" w:w="1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bCs/>
                <w:color w:val="000000"/>
                <w:sz w:val="22"/>
                <w:szCs w:val="22"/>
              </w:rPr>
              <w:t xml:space="preserve">نقطة إعادة الطلب</w:t>
            </w:r>
          </w:p>
        </w:tc>
        <w:tc>
          <w:tcPr>
            <w:tcW w:type="dxa" w:w="2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jc w:val="left"/>
            </w:pPr>
            <w:r>
              <w:rPr>
                <w:rFonts w:ascii="Arial" w:cs="Arial" w:eastAsia="Arial" w:hAnsi="Arial"/>
                <w:b w:val="false"/>
                <w:bCs w:val="false"/>
                <w:color w:val="1A5276"/>
                <w:sz w:val="18"/>
                <w:szCs w:val="18"/>
              </w:rPr>
              <w:t xml:space="preserve">ROP = SS + (D / 250) × LT</w:t>
            </w:r>
          </w:p>
        </w:tc>
        <w:tc>
          <w:tcPr>
            <w:tcW w:type="dxa" w:w="25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2"/>
                <w:szCs w:val="22"/>
              </w:rPr>
              <w:t xml:space="preserve">مستوى الإطلاق التلقائي للطلبية</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2"/>
                <w:szCs w:val="22"/>
              </w:rPr>
              <w:t xml:space="preserve">تمنع نفاد المخزون</w:t>
            </w:r>
          </w:p>
        </w:tc>
      </w:tr>
      <w:tr>
        <w:tc>
          <w:tcPr>
            <w:tcW w:type="dxa" w:w="16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bCs/>
                <w:color w:val="000000"/>
                <w:sz w:val="22"/>
                <w:szCs w:val="22"/>
              </w:rPr>
              <w:t xml:space="preserve">تكلفة الإصدار السنوية</w:t>
            </w:r>
          </w:p>
        </w:tc>
        <w:tc>
          <w:tcPr>
            <w:tcW w:type="dxa" w:w="2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jc w:val="left"/>
            </w:pPr>
            <w:r>
              <w:rPr>
                <w:rFonts w:ascii="Arial" w:cs="Arial" w:eastAsia="Arial" w:hAnsi="Arial"/>
                <w:b w:val="false"/>
                <w:bCs w:val="false"/>
                <w:color w:val="1A5276"/>
                <w:sz w:val="18"/>
                <w:szCs w:val="18"/>
              </w:rPr>
              <w:t xml:space="preserve">Cp = (D / Q*) × CL</w:t>
            </w:r>
          </w:p>
        </w:tc>
        <w:tc>
          <w:tcPr>
            <w:tcW w:type="dxa" w:w="25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2"/>
                <w:szCs w:val="22"/>
              </w:rPr>
              <w:t xml:space="preserve">ترتفع كلما قلَّت الكميات المطلوبة</w:t>
            </w:r>
          </w:p>
        </w:tc>
        <w:tc>
          <w:tcPr>
            <w:tcW w:type="dxa" w:w="20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2"/>
                <w:szCs w:val="22"/>
              </w:rPr>
              <w:t xml:space="preserve">الطلبيات الكثيرة مُكلفة</w:t>
            </w:r>
          </w:p>
        </w:tc>
      </w:tr>
      <w:tr>
        <w:tc>
          <w:tcPr>
            <w:tcW w:type="dxa" w:w="1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bCs/>
                <w:color w:val="000000"/>
                <w:sz w:val="22"/>
                <w:szCs w:val="22"/>
              </w:rPr>
              <w:t xml:space="preserve">تكلفة الاحتفاظ السنوية</w:t>
            </w:r>
          </w:p>
        </w:tc>
        <w:tc>
          <w:tcPr>
            <w:tcW w:type="dxa" w:w="2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jc w:val="left"/>
            </w:pPr>
            <w:r>
              <w:rPr>
                <w:rFonts w:ascii="Arial" w:cs="Arial" w:eastAsia="Arial" w:hAnsi="Arial"/>
                <w:b w:val="false"/>
                <w:bCs w:val="false"/>
                <w:color w:val="1A5276"/>
                <w:sz w:val="18"/>
                <w:szCs w:val="18"/>
              </w:rPr>
              <w:t xml:space="preserve">Cd = (Q*/2 + SS) × t × PU</w:t>
            </w:r>
          </w:p>
        </w:tc>
        <w:tc>
          <w:tcPr>
            <w:tcW w:type="dxa" w:w="25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2"/>
                <w:szCs w:val="22"/>
              </w:rPr>
              <w:t xml:space="preserve">ترتفع كلما زادت كميات التخزين</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2"/>
                <w:szCs w:val="22"/>
              </w:rPr>
              <w:t xml:space="preserve">يوازن مع Cp عند Q*</w:t>
            </w:r>
          </w:p>
        </w:tc>
      </w:tr>
      <w:tr>
        <w:tc>
          <w:tcPr>
            <w:tcW w:type="dxa" w:w="16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bCs/>
                <w:color w:val="000000"/>
                <w:sz w:val="22"/>
                <w:szCs w:val="22"/>
              </w:rPr>
              <w:t xml:space="preserve">المتوسط المرجح CMUP</w:t>
            </w:r>
          </w:p>
        </w:tc>
        <w:tc>
          <w:tcPr>
            <w:tcW w:type="dxa" w:w="2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jc w:val="left"/>
            </w:pPr>
            <w:r>
              <w:rPr>
                <w:rFonts w:ascii="Arial" w:cs="Arial" w:eastAsia="Arial" w:hAnsi="Arial"/>
                <w:b w:val="false"/>
                <w:bCs w:val="false"/>
                <w:color w:val="1A5276"/>
                <w:sz w:val="18"/>
                <w:szCs w:val="18"/>
              </w:rPr>
              <w:t xml:space="preserve">= (قيمة قبل + قيمة دخول) ÷ (كمية قبل + كمية دخول)</w:t>
            </w:r>
          </w:p>
        </w:tc>
        <w:tc>
          <w:tcPr>
            <w:tcW w:type="dxa" w:w="25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2"/>
                <w:szCs w:val="22"/>
              </w:rPr>
              <w:t xml:space="preserve">يُحدَّث بعد كل إدخال جديد</w:t>
            </w:r>
          </w:p>
        </w:tc>
        <w:tc>
          <w:tcPr>
            <w:tcW w:type="dxa" w:w="20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right"/>
            </w:pPr>
            <w:r>
              <w:rPr>
                <w:rFonts w:ascii="Traditional Arabic" w:cs="Traditional Arabic" w:eastAsia="Traditional Arabic" w:hAnsi="Traditional Arabic"/>
                <w:b w:val="false"/>
                <w:bCs w:val="false"/>
                <w:color w:val="000000"/>
                <w:sz w:val="22"/>
                <w:szCs w:val="22"/>
              </w:rPr>
              <w:t xml:space="preserve">جرد دائم — الأنسب للمؤسسات العمومية</w:t>
            </w:r>
          </w:p>
        </w:tc>
      </w:tr>
    </w:tbl>
    <w:p>
      <w:pPr>
        <w:bidi/>
        <w:spacing w:before="40" w:after="200"/>
        <w:ind/>
        <w:jc w:val="center"/>
      </w:pPr>
      <w:r>
        <w:rPr>
          <w:rFonts w:ascii="Traditional Arabic" w:cs="Traditional Arabic" w:eastAsia="Traditional Arabic" w:hAnsi="Traditional Arabic"/>
          <w:b w:val="false"/>
          <w:bCs w:val="false"/>
          <w:color w:val="777777"/>
          <w:sz w:val="18"/>
          <w:szCs w:val="18"/>
        </w:rPr>
        <w:t xml:space="preserve">المصدر: إعداد الطالب — مراجع: Richards &amp; Grinsted (2024) | CNEPD TAG1801 (2024)</w:t>
      </w:r>
    </w:p>
    <w:p>
      <w:pPr>
        <w:bidi/>
        <w:spacing w:after="160" w:before="0"/>
        <w:ind/>
        <w:jc w:val="center"/>
      </w:pPr>
    </w:p>
    <w:p>
      <w:pPr>
        <w:bidi/>
        <w:spacing w:before="200" w:after="120"/>
        <w:ind w:right="0"/>
        <w:jc w:val="right"/>
      </w:pPr>
      <w:r>
        <w:rPr>
          <w:rFonts w:ascii="Traditional Arabic" w:cs="Traditional Arabic" w:eastAsia="Traditional Arabic" w:hAnsi="Traditional Arabic"/>
          <w:b/>
          <w:bCs/>
          <w:color w:val="0C447C"/>
          <w:sz w:val="26"/>
          <w:szCs w:val="26"/>
        </w:rPr>
        <w:t xml:space="preserve">3.3  تطبيق نموذج ويلسون على رزم الورق A4 — المعطيات الميدانية</w:t>
      </w:r>
    </w:p>
    <w:p>
      <w:pPr>
        <w:bidi/>
        <w:spacing w:before="60" w:after="120" w:line="360" w:lineRule="auto"/>
        <w:ind w:right="0"/>
        <w:jc w:val="right"/>
      </w:pPr>
      <w:r>
        <w:rPr>
          <w:rFonts w:ascii="Traditional Arabic" w:cs="Traditional Arabic" w:eastAsia="Traditional Arabic" w:hAnsi="Traditional Arabic"/>
          <w:b w:val="false"/>
          <w:bCs w:val="false"/>
          <w:color w:val="000000"/>
          <w:sz w:val="22"/>
          <w:szCs w:val="22"/>
        </w:rPr>
        <w:t xml:space="preserve">تُعدّ رزمة الورق A4 المادةَ الأكثر استهلاكاً في مخزن مديرية التربية (تصنيف B بالكمية، استراتيجية التشغيل). طُبِّق عليها نموذج ويلسون بالمعطيات الفعلية المُستخرَجة من نظام ERP_Academie_v5، وقد جرى احتساب الطلب السنوي (D) انطلاقاً من البيانات الفعلية للفترة فيفري–مارس 2026 (38 يوم عمل مُسجَّل)، ثم تحويله إلى معدل سنوي قائم على 250 يوم عمل. يُلخِّص الجدول أدناه المعاملات المُدخَلة في النموذج:</w:t>
      </w:r>
    </w:p>
    <w:p>
      <w:pPr>
        <w:bidi/>
        <w:spacing w:after="80" w:before="0"/>
        <w:ind/>
        <w:jc w:val="center"/>
      </w:pPr>
    </w:p>
    <w:p>
      <w:pPr>
        <w:bidi/>
        <w:spacing w:before="60" w:after="120"/>
        <w:ind/>
        <w:jc w:val="center"/>
      </w:pPr>
      <w:r>
        <w:rPr>
          <w:rFonts w:ascii="Traditional Arabic" w:cs="Traditional Arabic" w:eastAsia="Traditional Arabic" w:hAnsi="Traditional Arabic"/>
          <w:b/>
          <w:bCs/>
          <w:color w:val="0C447C"/>
          <w:sz w:val="22"/>
          <w:szCs w:val="22"/>
        </w:rPr>
        <w:t xml:space="preserve">الجدول رقم (06) — </w:t>
      </w:r>
      <w:r>
        <w:rPr>
          <w:rFonts w:ascii="Traditional Arabic" w:cs="Traditional Arabic" w:eastAsia="Traditional Arabic" w:hAnsi="Traditional Arabic"/>
          <w:b w:val="false"/>
          <w:bCs w:val="false"/>
          <w:color w:val="333333"/>
          <w:sz w:val="22"/>
          <w:szCs w:val="22"/>
        </w:rPr>
        <w:t xml:space="preserve">معاملات نموذج ويلسون المُعتمَدة — رزم الورق A4 80غ/م² (ART-001)</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1800"/>
        <w:gridCol w:w="1800"/>
        <w:gridCol w:w="1700"/>
      </w:tblGrid>
      <w:tr>
        <w:trPr>
          <w:tblHeader/>
        </w:trPr>
        <w:tc>
          <w:tcPr>
            <w:tcW w:type="dxa" w:w="7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2"/>
                <w:szCs w:val="22"/>
              </w:rPr>
              <w:t xml:space="preserve">الرقم</w:t>
            </w:r>
          </w:p>
        </w:tc>
        <w:tc>
          <w:tcPr>
            <w:tcW w:type="dxa" w:w="29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2"/>
                <w:szCs w:val="22"/>
              </w:rPr>
              <w:t xml:space="preserve">اسم المعامل / وصفه</w:t>
            </w:r>
          </w:p>
        </w:tc>
        <w:tc>
          <w:tcPr>
            <w:tcW w:type="dxa" w:w="18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2"/>
                <w:szCs w:val="22"/>
              </w:rPr>
              <w:t xml:space="preserve">الرمز (FR)</w:t>
            </w:r>
          </w:p>
        </w:tc>
        <w:tc>
          <w:tcPr>
            <w:tcW w:type="dxa" w:w="18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2"/>
                <w:szCs w:val="22"/>
              </w:rPr>
              <w:t xml:space="preserve">القيمة</w:t>
            </w:r>
          </w:p>
        </w:tc>
        <w:tc>
          <w:tcPr>
            <w:tcW w:type="dxa" w:w="1700"/>
            <w:tcBorders>
              <w:top w:val="single" w:color="0C447C" w:sz="4"/>
              <w:left w:val="single" w:color="0C447C" w:sz="4"/>
              <w:bottom w:val="single" w:color="0C447C" w:sz="4"/>
              <w:right w:val="single" w:color="0C447C" w:sz="4"/>
            </w:tcBorders>
            <w:shd w:fill="0C447C"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2"/>
                <w:szCs w:val="22"/>
              </w:rPr>
              <w:t xml:space="preserve">الوحدة / الملاحظة</w:t>
            </w:r>
          </w:p>
        </w:tc>
      </w:tr>
      <w:tr>
        <w:tc>
          <w:tcPr>
            <w:tcW w:type="dxa" w:w="700"/>
            <w:tcBorders>
              <w:top w:val="single" w:color="CCCCCC" w:sz="4"/>
              <w:left w:val="single" w:color="CCCCCC" w:sz="4"/>
              <w:bottom w:val="single" w:color="CCCCCC" w:sz="4"/>
              <w:right w:val="single" w:color="CCCCCC" w:sz="4"/>
            </w:tcBorders>
            <w:shd w:fill="F2F3F4"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2"/>
                <w:szCs w:val="22"/>
              </w:rPr>
              <w:t xml:space="preserve">1</w:t>
            </w:r>
          </w:p>
        </w:tc>
        <w:tc>
          <w:tcPr>
            <w:tcW w:type="dxa" w:w="2900"/>
            <w:tcBorders>
              <w:top w:val="single" w:color="CCCCCC" w:sz="4"/>
              <w:left w:val="single" w:color="CCCCCC" w:sz="4"/>
              <w:bottom w:val="single" w:color="CCCCCC" w:sz="4"/>
              <w:right w:val="single" w:color="CCCCCC" w:sz="4"/>
            </w:tcBorders>
            <w:shd w:fill="EBF5FB" w:color="auto" w:val="clear"/>
            <w:tcMar>
              <w:top w:type="dxa" w:w="120"/>
              <w:left w:type="dxa" w:w="160"/>
              <w:bottom w:type="dxa" w:w="120"/>
              <w:right w:type="dxa" w:w="160"/>
            </w:tcMar>
            <w:vAlign w:val="center"/>
          </w:tcPr>
          <w:p>
            <w:pPr>
              <w:bidi/>
              <w:jc w:val="right"/>
            </w:pPr>
            <w:r>
              <w:rPr>
                <w:rFonts w:ascii="Traditional Arabic" w:cs="Traditional Arabic" w:eastAsia="Traditional Arabic" w:hAnsi="Traditional Arabic"/>
                <w:b w:val="false"/>
                <w:bCs w:val="false"/>
                <w:color w:val="000000"/>
                <w:sz w:val="20"/>
                <w:szCs w:val="20"/>
              </w:rPr>
              <w:t xml:space="preserve">الطلب السنوي — المُستخرج من سجل الحركات وقيمة مُحدَّثة</w:t>
            </w:r>
          </w:p>
        </w:tc>
        <w:tc>
          <w:tcPr>
            <w:tcW w:type="dxa" w:w="1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jc w:val="center"/>
            </w:pPr>
            <w:r>
              <w:rPr>
                <w:rFonts w:ascii="Arial" w:cs="Arial" w:eastAsia="Arial" w:hAnsi="Arial"/>
                <w:b w:val="false"/>
                <w:bCs w:val="false"/>
                <w:color w:val="1A5276"/>
                <w:sz w:val="18"/>
                <w:szCs w:val="18"/>
              </w:rPr>
              <w:t xml:space="preserve">D — Demande annuelle</w:t>
            </w:r>
          </w:p>
        </w:tc>
        <w:tc>
          <w:tcPr>
            <w:tcW w:type="dxa" w:w="1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2"/>
                <w:szCs w:val="22"/>
              </w:rPr>
              <w:t xml:space="preserve">1 546</w:t>
            </w:r>
          </w:p>
        </w:tc>
        <w:tc>
          <w:tcPr>
            <w:tcW w:type="dxa" w:w="17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2"/>
                <w:szCs w:val="22"/>
              </w:rPr>
              <w:t xml:space="preserve">رزمة / سنة</w:t>
            </w:r>
          </w:p>
        </w:tc>
      </w:tr>
      <w:tr>
        <w:tc>
          <w:tcPr>
            <w:tcW w:type="dxa" w:w="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2"/>
                <w:szCs w:val="22"/>
              </w:rPr>
              <w:t xml:space="preserve">2</w:t>
            </w:r>
          </w:p>
        </w:tc>
        <w:tc>
          <w:tcPr>
            <w:tcW w:type="dxa" w:w="2900"/>
            <w:tcBorders>
              <w:top w:val="single" w:color="CCCCCC" w:sz="4"/>
              <w:left w:val="single" w:color="CCCCCC" w:sz="4"/>
              <w:bottom w:val="single" w:color="CCCCCC" w:sz="4"/>
              <w:right w:val="single" w:color="CCCCCC" w:sz="4"/>
            </w:tcBorders>
            <w:shd w:fill="FFFFFF" w:color="auto" w:val="clear"/>
            <w:tcMar>
              <w:top w:type="dxa" w:w="120"/>
              <w:left w:type="dxa" w:w="160"/>
              <w:bottom w:type="dxa" w:w="120"/>
              <w:right w:type="dxa" w:w="160"/>
            </w:tcMar>
            <w:vAlign w:val="center"/>
          </w:tcPr>
          <w:p>
            <w:pPr>
              <w:bidi/>
              <w:jc w:val="right"/>
            </w:pPr>
            <w:r>
              <w:rPr>
                <w:rFonts w:ascii="Traditional Arabic" w:cs="Traditional Arabic" w:eastAsia="Traditional Arabic" w:hAnsi="Traditional Arabic"/>
                <w:b w:val="false"/>
                <w:bCs w:val="false"/>
                <w:color w:val="000000"/>
                <w:sz w:val="20"/>
                <w:szCs w:val="20"/>
              </w:rPr>
              <w:t xml:space="preserve">تكلفة إصدار الطلبية الواحدة (إدارية + مراسلات + استلام)</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jc w:val="center"/>
            </w:pPr>
            <w:r>
              <w:rPr>
                <w:rFonts w:ascii="Arial" w:cs="Arial" w:eastAsia="Arial" w:hAnsi="Arial"/>
                <w:b w:val="false"/>
                <w:bCs w:val="false"/>
                <w:color w:val="1A5276"/>
                <w:sz w:val="18"/>
                <w:szCs w:val="18"/>
              </w:rPr>
              <w:t xml:space="preserve">CL — Coût passation</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2"/>
                <w:szCs w:val="22"/>
              </w:rPr>
              <w:t xml:space="preserve">50</w:t>
            </w:r>
          </w:p>
        </w:tc>
        <w:tc>
          <w:tcPr>
            <w:tcW w:type="dxa" w:w="1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2"/>
                <w:szCs w:val="22"/>
              </w:rPr>
              <w:t xml:space="preserve">دج / طلبية</w:t>
            </w:r>
          </w:p>
        </w:tc>
      </w:tr>
      <w:tr>
        <w:tc>
          <w:tcPr>
            <w:tcW w:type="dxa" w:w="700"/>
            <w:tcBorders>
              <w:top w:val="single" w:color="CCCCCC" w:sz="4"/>
              <w:left w:val="single" w:color="CCCCCC" w:sz="4"/>
              <w:bottom w:val="single" w:color="CCCCCC" w:sz="4"/>
              <w:right w:val="single" w:color="CCCCCC" w:sz="4"/>
            </w:tcBorders>
            <w:shd w:fill="F2F3F4"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2"/>
                <w:szCs w:val="22"/>
              </w:rPr>
              <w:t xml:space="preserve">3</w:t>
            </w:r>
          </w:p>
        </w:tc>
        <w:tc>
          <w:tcPr>
            <w:tcW w:type="dxa" w:w="2900"/>
            <w:tcBorders>
              <w:top w:val="single" w:color="CCCCCC" w:sz="4"/>
              <w:left w:val="single" w:color="CCCCCC" w:sz="4"/>
              <w:bottom w:val="single" w:color="CCCCCC" w:sz="4"/>
              <w:right w:val="single" w:color="CCCCCC" w:sz="4"/>
            </w:tcBorders>
            <w:shd w:fill="FFFFFF" w:color="auto" w:val="clear"/>
            <w:tcMar>
              <w:top w:type="dxa" w:w="120"/>
              <w:left w:type="dxa" w:w="160"/>
              <w:bottom w:type="dxa" w:w="120"/>
              <w:right w:type="dxa" w:w="160"/>
            </w:tcMar>
            <w:vAlign w:val="center"/>
          </w:tcPr>
          <w:p>
            <w:pPr>
              <w:bidi/>
              <w:jc w:val="right"/>
            </w:pPr>
            <w:r>
              <w:rPr>
                <w:rFonts w:ascii="Traditional Arabic" w:cs="Traditional Arabic" w:eastAsia="Traditional Arabic" w:hAnsi="Traditional Arabic"/>
                <w:b w:val="false"/>
                <w:bCs w:val="false"/>
                <w:color w:val="000000"/>
                <w:sz w:val="20"/>
                <w:szCs w:val="20"/>
              </w:rPr>
              <w:t xml:space="preserve">السعر الوحدوي لرزمة الورق A4 بمستودع المديرية</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jc w:val="center"/>
            </w:pPr>
            <w:r>
              <w:rPr>
                <w:rFonts w:ascii="Arial" w:cs="Arial" w:eastAsia="Arial" w:hAnsi="Arial"/>
                <w:b w:val="false"/>
                <w:bCs w:val="false"/>
                <w:color w:val="1A5276"/>
                <w:sz w:val="18"/>
                <w:szCs w:val="18"/>
              </w:rPr>
              <w:t xml:space="preserve">PU — Prix unitaire</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2"/>
                <w:szCs w:val="22"/>
              </w:rPr>
              <w:t xml:space="preserve">400</w:t>
            </w:r>
          </w:p>
        </w:tc>
        <w:tc>
          <w:tcPr>
            <w:tcW w:type="dxa" w:w="1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2"/>
                <w:szCs w:val="22"/>
              </w:rPr>
              <w:t xml:space="preserve">دج / رزمة</w:t>
            </w:r>
          </w:p>
        </w:tc>
      </w:tr>
      <w:tr>
        <w:tc>
          <w:tcPr>
            <w:tcW w:type="dxa" w:w="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2"/>
                <w:szCs w:val="22"/>
              </w:rPr>
              <w:t xml:space="preserve">4</w:t>
            </w:r>
          </w:p>
        </w:tc>
        <w:tc>
          <w:tcPr>
            <w:tcW w:type="dxa" w:w="2900"/>
            <w:tcBorders>
              <w:top w:val="single" w:color="CCCCCC" w:sz="4"/>
              <w:left w:val="single" w:color="CCCCCC" w:sz="4"/>
              <w:bottom w:val="single" w:color="CCCCCC" w:sz="4"/>
              <w:right w:val="single" w:color="CCCCCC" w:sz="4"/>
            </w:tcBorders>
            <w:shd w:fill="FFFFFF" w:color="auto" w:val="clear"/>
            <w:tcMar>
              <w:top w:type="dxa" w:w="120"/>
              <w:left w:type="dxa" w:w="160"/>
              <w:bottom w:type="dxa" w:w="120"/>
              <w:right w:type="dxa" w:w="160"/>
            </w:tcMar>
            <w:vAlign w:val="center"/>
          </w:tcPr>
          <w:p>
            <w:pPr>
              <w:bidi/>
              <w:jc w:val="right"/>
            </w:pPr>
            <w:r>
              <w:rPr>
                <w:rFonts w:ascii="Traditional Arabic" w:cs="Traditional Arabic" w:eastAsia="Traditional Arabic" w:hAnsi="Traditional Arabic"/>
                <w:b w:val="false"/>
                <w:bCs w:val="false"/>
                <w:color w:val="000000"/>
                <w:sz w:val="20"/>
                <w:szCs w:val="20"/>
              </w:rPr>
              <w:t xml:space="preserve">معدل الاحتفاظ السنوي المُعتمد في المؤسسات الجزائرية</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jc w:val="center"/>
            </w:pPr>
            <w:r>
              <w:rPr>
                <w:rFonts w:ascii="Arial" w:cs="Arial" w:eastAsia="Arial" w:hAnsi="Arial"/>
                <w:b w:val="false"/>
                <w:bCs w:val="false"/>
                <w:color w:val="1A5276"/>
                <w:sz w:val="18"/>
                <w:szCs w:val="18"/>
              </w:rPr>
              <w:t xml:space="preserve">t — Taux possession</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2"/>
                <w:szCs w:val="22"/>
              </w:rPr>
              <w:t xml:space="preserve">20 %</w:t>
            </w:r>
          </w:p>
        </w:tc>
        <w:tc>
          <w:tcPr>
            <w:tcW w:type="dxa" w:w="1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2"/>
                <w:szCs w:val="22"/>
              </w:rPr>
              <w:t xml:space="preserve">من قيمة المادة</w:t>
            </w:r>
          </w:p>
        </w:tc>
      </w:tr>
      <w:tr>
        <w:tc>
          <w:tcPr>
            <w:tcW w:type="dxa" w:w="700"/>
            <w:tcBorders>
              <w:top w:val="single" w:color="CCCCCC" w:sz="4"/>
              <w:left w:val="single" w:color="CCCCCC" w:sz="4"/>
              <w:bottom w:val="single" w:color="CCCCCC" w:sz="4"/>
              <w:right w:val="single" w:color="CCCCCC" w:sz="4"/>
            </w:tcBorders>
            <w:shd w:fill="F2F3F4"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2"/>
                <w:szCs w:val="22"/>
              </w:rPr>
              <w:t xml:space="preserve">5</w:t>
            </w:r>
          </w:p>
        </w:tc>
        <w:tc>
          <w:tcPr>
            <w:tcW w:type="dxa" w:w="2900"/>
            <w:tcBorders>
              <w:top w:val="single" w:color="CCCCCC" w:sz="4"/>
              <w:left w:val="single" w:color="CCCCCC" w:sz="4"/>
              <w:bottom w:val="single" w:color="CCCCCC" w:sz="4"/>
              <w:right w:val="single" w:color="CCCCCC" w:sz="4"/>
            </w:tcBorders>
            <w:shd w:fill="FFFFFF" w:color="auto" w:val="clear"/>
            <w:tcMar>
              <w:top w:type="dxa" w:w="120"/>
              <w:left w:type="dxa" w:w="160"/>
              <w:bottom w:type="dxa" w:w="120"/>
              <w:right w:type="dxa" w:w="160"/>
            </w:tcMar>
            <w:vAlign w:val="center"/>
          </w:tcPr>
          <w:p>
            <w:pPr>
              <w:bidi/>
              <w:jc w:val="right"/>
            </w:pPr>
            <w:r>
              <w:rPr>
                <w:rFonts w:ascii="Traditional Arabic" w:cs="Traditional Arabic" w:eastAsia="Traditional Arabic" w:hAnsi="Traditional Arabic"/>
                <w:b w:val="false"/>
                <w:bCs w:val="false"/>
                <w:color w:val="000000"/>
                <w:sz w:val="20"/>
                <w:szCs w:val="20"/>
              </w:rPr>
              <w:t xml:space="preserve">مخزون الأمان المُقرَّر لمواجهة تأخر التسليم</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jc w:val="center"/>
            </w:pPr>
            <w:r>
              <w:rPr>
                <w:rFonts w:ascii="Arial" w:cs="Arial" w:eastAsia="Arial" w:hAnsi="Arial"/>
                <w:b w:val="false"/>
                <w:bCs w:val="false"/>
                <w:color w:val="1A5276"/>
                <w:sz w:val="18"/>
                <w:szCs w:val="18"/>
              </w:rPr>
              <w:t xml:space="preserve">SS — Stock sécurité</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2"/>
                <w:szCs w:val="22"/>
              </w:rPr>
              <w:t xml:space="preserve">200</w:t>
            </w:r>
          </w:p>
        </w:tc>
        <w:tc>
          <w:tcPr>
            <w:tcW w:type="dxa" w:w="1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2"/>
                <w:szCs w:val="22"/>
              </w:rPr>
              <w:t xml:space="preserve">رزمة</w:t>
            </w:r>
          </w:p>
        </w:tc>
      </w:tr>
      <w:tr>
        <w:tc>
          <w:tcPr>
            <w:tcW w:type="dxa" w:w="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2"/>
                <w:szCs w:val="22"/>
              </w:rPr>
              <w:t xml:space="preserve">6</w:t>
            </w:r>
          </w:p>
        </w:tc>
        <w:tc>
          <w:tcPr>
            <w:tcW w:type="dxa" w:w="2900"/>
            <w:tcBorders>
              <w:top w:val="single" w:color="CCCCCC" w:sz="4"/>
              <w:left w:val="single" w:color="CCCCCC" w:sz="4"/>
              <w:bottom w:val="single" w:color="CCCCCC" w:sz="4"/>
              <w:right w:val="single" w:color="CCCCCC" w:sz="4"/>
            </w:tcBorders>
            <w:shd w:fill="FFFFFF" w:color="auto" w:val="clear"/>
            <w:tcMar>
              <w:top w:type="dxa" w:w="120"/>
              <w:left w:type="dxa" w:w="160"/>
              <w:bottom w:type="dxa" w:w="120"/>
              <w:right w:type="dxa" w:w="160"/>
            </w:tcMar>
            <w:vAlign w:val="center"/>
          </w:tcPr>
          <w:p>
            <w:pPr>
              <w:bidi/>
              <w:jc w:val="right"/>
            </w:pPr>
            <w:r>
              <w:rPr>
                <w:rFonts w:ascii="Traditional Arabic" w:cs="Traditional Arabic" w:eastAsia="Traditional Arabic" w:hAnsi="Traditional Arabic"/>
                <w:b w:val="false"/>
                <w:bCs w:val="false"/>
                <w:color w:val="000000"/>
                <w:sz w:val="20"/>
                <w:szCs w:val="20"/>
              </w:rPr>
              <w:t xml:space="preserve">أجل التسليم الفعلي من وهران إلى البيض</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jc w:val="center"/>
            </w:pPr>
            <w:r>
              <w:rPr>
                <w:rFonts w:ascii="Arial" w:cs="Arial" w:eastAsia="Arial" w:hAnsi="Arial"/>
                <w:b w:val="false"/>
                <w:bCs w:val="false"/>
                <w:color w:val="1A5276"/>
                <w:sz w:val="18"/>
                <w:szCs w:val="18"/>
              </w:rPr>
              <w:t xml:space="preserve">LT — Lead Time</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2"/>
                <w:szCs w:val="22"/>
              </w:rPr>
              <w:t xml:space="preserve">2</w:t>
            </w:r>
          </w:p>
        </w:tc>
        <w:tc>
          <w:tcPr>
            <w:tcW w:type="dxa" w:w="1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2"/>
                <w:szCs w:val="22"/>
              </w:rPr>
              <w:t xml:space="preserve">يوم عمل</w:t>
            </w:r>
          </w:p>
        </w:tc>
      </w:tr>
    </w:tbl>
    <w:p>
      <w:pPr>
        <w:bidi/>
        <w:spacing w:before="40" w:after="200"/>
        <w:ind/>
        <w:jc w:val="center"/>
      </w:pPr>
      <w:r>
        <w:rPr>
          <w:rFonts w:ascii="Traditional Arabic" w:cs="Traditional Arabic" w:eastAsia="Traditional Arabic" w:hAnsi="Traditional Arabic"/>
          <w:b w:val="false"/>
          <w:bCs w:val="false"/>
          <w:color w:val="777777"/>
          <w:sz w:val="18"/>
          <w:szCs w:val="18"/>
        </w:rPr>
        <w:t xml:space="preserve">المصدر: إعداد الطالب — بيانات ERP_Academie_v5 | فترة الرصد: 01/02/2026 – 10/03/2026</w:t>
      </w:r>
    </w:p>
    <w:p>
      <w:pPr>
        <w:bidi/>
        <w:spacing w:after="160" w:before="0"/>
        <w:ind/>
        <w:jc w:val="center"/>
      </w:pPr>
    </w:p>
    <w:p>
      <w:pPr>
        <w:bidi/>
        <w:spacing w:before="60" w:after="120" w:line="360" w:lineRule="auto"/>
        <w:ind w:right="0"/>
        <w:jc w:val="right"/>
      </w:pPr>
      <w:r>
        <w:rPr>
          <w:rFonts w:ascii="Traditional Arabic" w:cs="Traditional Arabic" w:eastAsia="Traditional Arabic" w:hAnsi="Traditional Arabic"/>
          <w:b w:val="false"/>
          <w:bCs w:val="false"/>
          <w:color w:val="000000"/>
          <w:sz w:val="22"/>
          <w:szCs w:val="22"/>
        </w:rPr>
        <w:t xml:space="preserve">يُلاحَظ أن قيمة D المُعتمَدة (1 546 رزمة/سنة) مُستخرَجة بطريقة آلية من إجمالي المخارج الفعلية (235 رزمة على 38 يوم عمل) وإسقاطها على سنة عمل كاملة (250 يوم). هذا المعطى يُمثّل حداً أدنى للطلب الفعلي، إذ أن فترة الرصد المُستخدَمة تشمل بداية السداسي الثاني فقط. ومن المنتظَر أن يرتفع المعدل مع نهاية الفصل الدراسي وموسم الامتحانات.</w:t>
      </w:r>
    </w:p>
    <w:p>
      <w:pPr>
        <w:bidi/>
        <w:spacing w:after="160" w:before="0"/>
        <w:ind/>
        <w:jc w:val="center"/>
      </w:pPr>
    </w:p>
    <w:p>
      <w:pPr>
        <w:bidi/>
        <w:spacing w:before="200" w:after="120"/>
        <w:ind w:right="0"/>
        <w:jc w:val="right"/>
      </w:pPr>
      <w:r>
        <w:rPr>
          <w:rFonts w:ascii="Traditional Arabic" w:cs="Traditional Arabic" w:eastAsia="Traditional Arabic" w:hAnsi="Traditional Arabic"/>
          <w:b/>
          <w:bCs/>
          <w:color w:val="0C447C"/>
          <w:sz w:val="26"/>
          <w:szCs w:val="26"/>
        </w:rPr>
        <w:t xml:space="preserve">3.4  نتائج حساب نموذج ويلسون ونقطة إعادة الطلب</w:t>
      </w:r>
    </w:p>
    <w:p>
      <w:pPr>
        <w:bidi/>
        <w:spacing w:before="60" w:after="120" w:line="360" w:lineRule="auto"/>
        <w:ind w:right="0"/>
        <w:jc w:val="right"/>
      </w:pPr>
      <w:r>
        <w:rPr>
          <w:rFonts w:ascii="Traditional Arabic" w:cs="Traditional Arabic" w:eastAsia="Traditional Arabic" w:hAnsi="Traditional Arabic"/>
          <w:b w:val="false"/>
          <w:bCs w:val="false"/>
          <w:color w:val="000000"/>
          <w:sz w:val="22"/>
          <w:szCs w:val="22"/>
        </w:rPr>
        <w:t xml:space="preserve">بناءً على المعطيات الواردة في الجدول السابق، أُجري الحساب الكامل وفق صيغ نموذج ويلسون. تُعرض النتائج في الجدول أدناه مُقرَّبةً إلى أقرب وحدة صحيحة، وهي النتائج ذاتها التي يُولِّدها تلقائياً نظام ERP_Academie_v5 من خلال قسم SECTION 2 في لوحة القيادة:</w:t>
      </w:r>
    </w:p>
    <w:p>
      <w:pPr>
        <w:bidi/>
        <w:spacing w:after="80" w:before="0"/>
        <w:ind/>
        <w:jc w:val="center"/>
      </w:pPr>
    </w:p>
    <w:p>
      <w:pPr>
        <w:bidi/>
        <w:spacing w:before="60" w:after="120"/>
        <w:ind/>
        <w:jc w:val="center"/>
      </w:pPr>
      <w:r>
        <w:rPr>
          <w:rFonts w:ascii="Traditional Arabic" w:cs="Traditional Arabic" w:eastAsia="Traditional Arabic" w:hAnsi="Traditional Arabic"/>
          <w:b/>
          <w:bCs/>
          <w:color w:val="0C447C"/>
          <w:sz w:val="22"/>
          <w:szCs w:val="22"/>
        </w:rPr>
        <w:t xml:space="preserve">الجدول رقم (07) — </w:t>
      </w:r>
      <w:r>
        <w:rPr>
          <w:rFonts w:ascii="Traditional Arabic" w:cs="Traditional Arabic" w:eastAsia="Traditional Arabic" w:hAnsi="Traditional Arabic"/>
          <w:b w:val="false"/>
          <w:bCs w:val="false"/>
          <w:color w:val="333333"/>
          <w:sz w:val="22"/>
          <w:szCs w:val="22"/>
        </w:rPr>
        <w:t xml:space="preserve">نتائج تطبيق نموذج ويلسون على مادة رزم الورق A4 — مخزن مديرية التربية البيض</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800"/>
        <w:gridCol w:w="1900"/>
        <w:gridCol w:w="1700"/>
      </w:tblGrid>
      <w:tr>
        <w:trPr>
          <w:tblHeader/>
        </w:trPr>
        <w:tc>
          <w:tcPr>
            <w:tcW w:type="dxa" w:w="700"/>
            <w:tcBorders>
              <w:top w:val="single" w:color="0C447C" w:sz="4"/>
              <w:left w:val="single" w:color="0C447C" w:sz="4"/>
              <w:bottom w:val="single" w:color="0C447C" w:sz="4"/>
              <w:right w:val="single" w:color="0C447C" w:sz="4"/>
            </w:tcBorders>
            <w:shd w:fill="1A5276"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2"/>
                <w:szCs w:val="22"/>
              </w:rPr>
              <w:t xml:space="preserve">الرقم</w:t>
            </w:r>
          </w:p>
        </w:tc>
        <w:tc>
          <w:tcPr>
            <w:tcW w:type="dxa" w:w="2800"/>
            <w:tcBorders>
              <w:top w:val="single" w:color="0C447C" w:sz="4"/>
              <w:left w:val="single" w:color="0C447C" w:sz="4"/>
              <w:bottom w:val="single" w:color="0C447C" w:sz="4"/>
              <w:right w:val="single" w:color="0C447C" w:sz="4"/>
            </w:tcBorders>
            <w:shd w:fill="1A5276"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2"/>
                <w:szCs w:val="22"/>
              </w:rPr>
              <w:t xml:space="preserve">المؤشر / النتيجة</w:t>
            </w:r>
          </w:p>
        </w:tc>
        <w:tc>
          <w:tcPr>
            <w:tcW w:type="dxa" w:w="1800"/>
            <w:tcBorders>
              <w:top w:val="single" w:color="0C447C" w:sz="4"/>
              <w:left w:val="single" w:color="0C447C" w:sz="4"/>
              <w:bottom w:val="single" w:color="0C447C" w:sz="4"/>
              <w:right w:val="single" w:color="0C447C" w:sz="4"/>
            </w:tcBorders>
            <w:shd w:fill="1A5276"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2"/>
                <w:szCs w:val="22"/>
              </w:rPr>
              <w:t xml:space="preserve">الرمز</w:t>
            </w:r>
          </w:p>
        </w:tc>
        <w:tc>
          <w:tcPr>
            <w:tcW w:type="dxa" w:w="1900"/>
            <w:tcBorders>
              <w:top w:val="single" w:color="0C447C" w:sz="4"/>
              <w:left w:val="single" w:color="0C447C" w:sz="4"/>
              <w:bottom w:val="single" w:color="0C447C" w:sz="4"/>
              <w:right w:val="single" w:color="0C447C" w:sz="4"/>
            </w:tcBorders>
            <w:shd w:fill="1A5276"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2"/>
                <w:szCs w:val="22"/>
              </w:rPr>
              <w:t xml:space="preserve">القيمة المحسوبة</w:t>
            </w:r>
          </w:p>
        </w:tc>
        <w:tc>
          <w:tcPr>
            <w:tcW w:type="dxa" w:w="1700"/>
            <w:tcBorders>
              <w:top w:val="single" w:color="0C447C" w:sz="4"/>
              <w:left w:val="single" w:color="0C447C" w:sz="4"/>
              <w:bottom w:val="single" w:color="0C447C" w:sz="4"/>
              <w:right w:val="single" w:color="0C447C" w:sz="4"/>
            </w:tcBorders>
            <w:shd w:fill="1A5276"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FFFFFF"/>
                <w:sz w:val="22"/>
                <w:szCs w:val="22"/>
              </w:rPr>
              <w:t xml:space="preserve">الوحدة</w:t>
            </w:r>
          </w:p>
        </w:tc>
      </w:tr>
      <w:tr>
        <w:tc>
          <w:tcPr>
            <w:tcW w:type="dxa" w:w="700"/>
            <w:tcBorders>
              <w:top w:val="single" w:color="CCCCCC" w:sz="4"/>
              <w:left w:val="single" w:color="CCCCCC" w:sz="4"/>
              <w:bottom w:val="single" w:color="CCCCCC" w:sz="4"/>
              <w:right w:val="single" w:color="CCCCCC" w:sz="4"/>
            </w:tcBorders>
            <w:shd w:fill="F2F3F4"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2"/>
                <w:szCs w:val="22"/>
              </w:rPr>
              <w:t xml:space="preserve">1</w:t>
            </w:r>
          </w:p>
        </w:tc>
        <w:tc>
          <w:tcPr>
            <w:tcW w:type="dxa" w:w="2800"/>
            <w:tcBorders>
              <w:top w:val="single" w:color="CCCCCC" w:sz="4"/>
              <w:left w:val="single" w:color="CCCCCC" w:sz="4"/>
              <w:bottom w:val="single" w:color="CCCCCC" w:sz="4"/>
              <w:right w:val="single" w:color="CCCCCC" w:sz="4"/>
            </w:tcBorders>
            <w:shd w:fill="D5F5E3" w:color="auto" w:val="clear"/>
            <w:tcMar>
              <w:top w:type="dxa" w:w="120"/>
              <w:left w:type="dxa" w:w="160"/>
              <w:bottom w:type="dxa" w:w="120"/>
              <w:right w:type="dxa" w:w="160"/>
            </w:tcMar>
            <w:vAlign w:val="center"/>
          </w:tcPr>
          <w:p>
            <w:pPr>
              <w:bidi/>
              <w:jc w:val="right"/>
            </w:pPr>
            <w:r>
              <w:rPr>
                <w:rFonts w:ascii="Traditional Arabic" w:cs="Traditional Arabic" w:eastAsia="Traditional Arabic" w:hAnsi="Traditional Arabic"/>
                <w:b/>
                <w:bCs/>
                <w:color w:val="000000"/>
                <w:sz w:val="20"/>
                <w:szCs w:val="20"/>
              </w:rPr>
              <w:t xml:space="preserve">الكمية الاقتصادية المثلى للطلبية</w:t>
            </w:r>
          </w:p>
        </w:tc>
        <w:tc>
          <w:tcPr>
            <w:tcW w:type="dxa" w:w="18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jc w:val="center"/>
            </w:pPr>
            <w:r>
              <w:rPr>
                <w:rFonts w:ascii="Arial" w:cs="Arial" w:eastAsia="Arial" w:hAnsi="Arial"/>
                <w:b/>
                <w:bCs/>
                <w:color w:val="1A5276"/>
                <w:sz w:val="20"/>
                <w:szCs w:val="20"/>
              </w:rPr>
              <w:t xml:space="preserve">EOQ / Q*</w:t>
            </w:r>
          </w:p>
        </w:tc>
        <w:tc>
          <w:tcPr>
            <w:tcW w:type="dxa" w:w="19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2"/>
                <w:szCs w:val="22"/>
              </w:rPr>
              <w:t xml:space="preserve">≈ 131</w:t>
            </w:r>
          </w:p>
        </w:tc>
        <w:tc>
          <w:tcPr>
            <w:tcW w:type="dxa" w:w="1700"/>
            <w:tcBorders>
              <w:top w:val="single" w:color="CCCCCC" w:sz="4"/>
              <w:left w:val="single" w:color="CCCCCC" w:sz="4"/>
              <w:bottom w:val="single" w:color="CCCCCC" w:sz="4"/>
              <w:right w:val="single" w:color="CCCCCC" w:sz="4"/>
            </w:tcBorders>
            <w:shd w:fill="D5F5E3"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2"/>
                <w:szCs w:val="22"/>
              </w:rPr>
              <w:t xml:space="preserve">رزمة</w:t>
            </w:r>
          </w:p>
        </w:tc>
      </w:tr>
      <w:tr>
        <w:tc>
          <w:tcPr>
            <w:tcW w:type="dxa" w:w="700"/>
            <w:tcBorders>
              <w:top w:val="single" w:color="CCCCCC" w:sz="4"/>
              <w:left w:val="single" w:color="CCCCCC" w:sz="4"/>
              <w:bottom w:val="single" w:color="CCCCCC" w:sz="4"/>
              <w:right w:val="single" w:color="CCCCCC" w:sz="4"/>
            </w:tcBorders>
            <w:shd w:fill="F2F3F4"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2"/>
                <w:szCs w:val="22"/>
              </w:rPr>
              <w:t xml:space="preserve">2</w:t>
            </w:r>
          </w:p>
        </w:tc>
        <w:tc>
          <w:tcPr>
            <w:tcW w:type="dxa" w:w="2800"/>
            <w:tcBorders>
              <w:top w:val="single" w:color="CCCCCC" w:sz="4"/>
              <w:left w:val="single" w:color="CCCCCC" w:sz="4"/>
              <w:bottom w:val="single" w:color="CCCCCC" w:sz="4"/>
              <w:right w:val="single" w:color="CCCCCC" w:sz="4"/>
            </w:tcBorders>
            <w:shd w:fill="FFFFFF" w:color="auto" w:val="clear"/>
            <w:tcMar>
              <w:top w:type="dxa" w:w="120"/>
              <w:left w:type="dxa" w:w="160"/>
              <w:bottom w:type="dxa" w:w="120"/>
              <w:right w:type="dxa" w:w="160"/>
            </w:tcMar>
            <w:vAlign w:val="center"/>
          </w:tcPr>
          <w:p>
            <w:pPr>
              <w:bidi/>
              <w:jc w:val="right"/>
            </w:pPr>
            <w:r>
              <w:rPr>
                <w:rFonts w:ascii="Traditional Arabic" w:cs="Traditional Arabic" w:eastAsia="Traditional Arabic" w:hAnsi="Traditional Arabic"/>
                <w:b w:val="false"/>
                <w:bCs w:val="false"/>
                <w:color w:val="000000"/>
                <w:sz w:val="20"/>
                <w:szCs w:val="20"/>
              </w:rPr>
              <w:t xml:space="preserve">عدد الطلبيات المثلى في السنة</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jc w:val="center"/>
            </w:pPr>
            <w:r>
              <w:rPr>
                <w:rFonts w:ascii="Arial" w:cs="Arial" w:eastAsia="Arial" w:hAnsi="Arial"/>
                <w:b w:val="false"/>
                <w:bCs w:val="false"/>
                <w:color w:val="1A5276"/>
                <w:sz w:val="20"/>
                <w:szCs w:val="20"/>
              </w:rPr>
              <w:t xml:space="preserve">N</w:t>
            </w:r>
          </w:p>
        </w:tc>
        <w:tc>
          <w:tcPr>
            <w:tcW w:type="dxa" w:w="19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2"/>
                <w:szCs w:val="22"/>
              </w:rPr>
              <w:t xml:space="preserve">≈ 11.8</w:t>
            </w:r>
          </w:p>
        </w:tc>
        <w:tc>
          <w:tcPr>
            <w:tcW w:type="dxa" w:w="1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2"/>
                <w:szCs w:val="22"/>
              </w:rPr>
              <w:t xml:space="preserve">طلبية / سنة</w:t>
            </w:r>
          </w:p>
        </w:tc>
      </w:tr>
      <w:tr>
        <w:tc>
          <w:tcPr>
            <w:tcW w:type="dxa" w:w="700"/>
            <w:tcBorders>
              <w:top w:val="single" w:color="CCCCCC" w:sz="4"/>
              <w:left w:val="single" w:color="CCCCCC" w:sz="4"/>
              <w:bottom w:val="single" w:color="CCCCCC" w:sz="4"/>
              <w:right w:val="single" w:color="CCCCCC" w:sz="4"/>
            </w:tcBorders>
            <w:shd w:fill="F2F3F4"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2"/>
                <w:szCs w:val="22"/>
              </w:rPr>
              <w:t xml:space="preserve">3</w:t>
            </w:r>
          </w:p>
        </w:tc>
        <w:tc>
          <w:tcPr>
            <w:tcW w:type="dxa" w:w="2800"/>
            <w:tcBorders>
              <w:top w:val="single" w:color="CCCCCC" w:sz="4"/>
              <w:left w:val="single" w:color="CCCCCC" w:sz="4"/>
              <w:bottom w:val="single" w:color="CCCCCC" w:sz="4"/>
              <w:right w:val="single" w:color="CCCCCC" w:sz="4"/>
            </w:tcBorders>
            <w:shd w:fill="EBF5FB" w:color="auto" w:val="clear"/>
            <w:tcMar>
              <w:top w:type="dxa" w:w="120"/>
              <w:left w:type="dxa" w:w="160"/>
              <w:bottom w:type="dxa" w:w="120"/>
              <w:right w:type="dxa" w:w="160"/>
            </w:tcMar>
            <w:vAlign w:val="center"/>
          </w:tcPr>
          <w:p>
            <w:pPr>
              <w:bidi/>
              <w:jc w:val="right"/>
            </w:pPr>
            <w:r>
              <w:rPr>
                <w:rFonts w:ascii="Traditional Arabic" w:cs="Traditional Arabic" w:eastAsia="Traditional Arabic" w:hAnsi="Traditional Arabic"/>
                <w:b/>
                <w:bCs/>
                <w:color w:val="000000"/>
                <w:sz w:val="20"/>
                <w:szCs w:val="20"/>
              </w:rPr>
              <w:t xml:space="preserve">نقطة إعادة الطلب (مستوى الإطلاق)</w:t>
            </w:r>
          </w:p>
        </w:tc>
        <w:tc>
          <w:tcPr>
            <w:tcW w:type="dxa" w:w="18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jc w:val="center"/>
            </w:pPr>
            <w:r>
              <w:rPr>
                <w:rFonts w:ascii="Arial" w:cs="Arial" w:eastAsia="Arial" w:hAnsi="Arial"/>
                <w:b/>
                <w:bCs/>
                <w:color w:val="1A5276"/>
                <w:sz w:val="20"/>
                <w:szCs w:val="20"/>
              </w:rPr>
              <w:t xml:space="preserve">ROP</w:t>
            </w:r>
          </w:p>
        </w:tc>
        <w:tc>
          <w:tcPr>
            <w:tcW w:type="dxa" w:w="19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2"/>
                <w:szCs w:val="22"/>
              </w:rPr>
              <w:t xml:space="preserve">≈ 212</w:t>
            </w:r>
          </w:p>
        </w:tc>
        <w:tc>
          <w:tcPr>
            <w:tcW w:type="dxa" w:w="1700"/>
            <w:tcBorders>
              <w:top w:val="single" w:color="CCCCCC" w:sz="4"/>
              <w:left w:val="single" w:color="CCCCCC" w:sz="4"/>
              <w:bottom w:val="single" w:color="CCCCCC" w:sz="4"/>
              <w:right w:val="single" w:color="CCCCCC" w:sz="4"/>
            </w:tcBorders>
            <w:shd w:fill="EBF5FB"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2"/>
                <w:szCs w:val="22"/>
              </w:rPr>
              <w:t xml:space="preserve">رزمة</w:t>
            </w:r>
          </w:p>
        </w:tc>
      </w:tr>
      <w:tr>
        <w:tc>
          <w:tcPr>
            <w:tcW w:type="dxa" w:w="700"/>
            <w:tcBorders>
              <w:top w:val="single" w:color="CCCCCC" w:sz="4"/>
              <w:left w:val="single" w:color="CCCCCC" w:sz="4"/>
              <w:bottom w:val="single" w:color="CCCCCC" w:sz="4"/>
              <w:right w:val="single" w:color="CCCCCC" w:sz="4"/>
            </w:tcBorders>
            <w:shd w:fill="F2F3F4"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2"/>
                <w:szCs w:val="22"/>
              </w:rPr>
              <w:t xml:space="preserve">4</w:t>
            </w:r>
          </w:p>
        </w:tc>
        <w:tc>
          <w:tcPr>
            <w:tcW w:type="dxa" w:w="2800"/>
            <w:tcBorders>
              <w:top w:val="single" w:color="CCCCCC" w:sz="4"/>
              <w:left w:val="single" w:color="CCCCCC" w:sz="4"/>
              <w:bottom w:val="single" w:color="CCCCCC" w:sz="4"/>
              <w:right w:val="single" w:color="CCCCCC" w:sz="4"/>
            </w:tcBorders>
            <w:shd w:fill="FFFFFF" w:color="auto" w:val="clear"/>
            <w:tcMar>
              <w:top w:type="dxa" w:w="120"/>
              <w:left w:type="dxa" w:w="160"/>
              <w:bottom w:type="dxa" w:w="120"/>
              <w:right w:type="dxa" w:w="160"/>
            </w:tcMar>
            <w:vAlign w:val="center"/>
          </w:tcPr>
          <w:p>
            <w:pPr>
              <w:bidi/>
              <w:jc w:val="right"/>
            </w:pPr>
            <w:r>
              <w:rPr>
                <w:rFonts w:ascii="Traditional Arabic" w:cs="Traditional Arabic" w:eastAsia="Traditional Arabic" w:hAnsi="Traditional Arabic"/>
                <w:b w:val="false"/>
                <w:bCs w:val="false"/>
                <w:color w:val="000000"/>
                <w:sz w:val="20"/>
                <w:szCs w:val="20"/>
              </w:rPr>
              <w:t xml:space="preserve">تكلفة الإصدار السنوية</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jc w:val="center"/>
            </w:pPr>
            <w:r>
              <w:rPr>
                <w:rFonts w:ascii="Arial" w:cs="Arial" w:eastAsia="Arial" w:hAnsi="Arial"/>
                <w:b w:val="false"/>
                <w:bCs w:val="false"/>
                <w:color w:val="1A5276"/>
                <w:sz w:val="20"/>
                <w:szCs w:val="20"/>
              </w:rPr>
              <w:t xml:space="preserve">Cp</w:t>
            </w:r>
          </w:p>
        </w:tc>
        <w:tc>
          <w:tcPr>
            <w:tcW w:type="dxa" w:w="19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2"/>
                <w:szCs w:val="22"/>
              </w:rPr>
              <w:t xml:space="preserve">≈ 590</w:t>
            </w:r>
          </w:p>
        </w:tc>
        <w:tc>
          <w:tcPr>
            <w:tcW w:type="dxa" w:w="1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2"/>
                <w:szCs w:val="22"/>
              </w:rPr>
              <w:t xml:space="preserve">دج / سنة</w:t>
            </w:r>
          </w:p>
        </w:tc>
      </w:tr>
      <w:tr>
        <w:tc>
          <w:tcPr>
            <w:tcW w:type="dxa" w:w="700"/>
            <w:tcBorders>
              <w:top w:val="single" w:color="CCCCCC" w:sz="4"/>
              <w:left w:val="single" w:color="CCCCCC" w:sz="4"/>
              <w:bottom w:val="single" w:color="CCCCCC" w:sz="4"/>
              <w:right w:val="single" w:color="CCCCCC" w:sz="4"/>
            </w:tcBorders>
            <w:shd w:fill="F2F3F4"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2"/>
                <w:szCs w:val="22"/>
              </w:rPr>
              <w:t xml:space="preserve">5</w:t>
            </w:r>
          </w:p>
        </w:tc>
        <w:tc>
          <w:tcPr>
            <w:tcW w:type="dxa" w:w="2800"/>
            <w:tcBorders>
              <w:top w:val="single" w:color="CCCCCC" w:sz="4"/>
              <w:left w:val="single" w:color="CCCCCC" w:sz="4"/>
              <w:bottom w:val="single" w:color="CCCCCC" w:sz="4"/>
              <w:right w:val="single" w:color="CCCCCC" w:sz="4"/>
            </w:tcBorders>
            <w:shd w:fill="FFFFFF" w:color="auto" w:val="clear"/>
            <w:tcMar>
              <w:top w:type="dxa" w:w="120"/>
              <w:left w:type="dxa" w:w="160"/>
              <w:bottom w:type="dxa" w:w="120"/>
              <w:right w:type="dxa" w:w="160"/>
            </w:tcMar>
            <w:vAlign w:val="center"/>
          </w:tcPr>
          <w:p>
            <w:pPr>
              <w:bidi/>
              <w:jc w:val="right"/>
            </w:pPr>
            <w:r>
              <w:rPr>
                <w:rFonts w:ascii="Traditional Arabic" w:cs="Traditional Arabic" w:eastAsia="Traditional Arabic" w:hAnsi="Traditional Arabic"/>
                <w:b w:val="false"/>
                <w:bCs w:val="false"/>
                <w:color w:val="000000"/>
                <w:sz w:val="20"/>
                <w:szCs w:val="20"/>
              </w:rPr>
              <w:t xml:space="preserve">تكلفة الاحتفاظ السنوية</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jc w:val="center"/>
            </w:pPr>
            <w:r>
              <w:rPr>
                <w:rFonts w:ascii="Arial" w:cs="Arial" w:eastAsia="Arial" w:hAnsi="Arial"/>
                <w:b w:val="false"/>
                <w:bCs w:val="false"/>
                <w:color w:val="1A5276"/>
                <w:sz w:val="20"/>
                <w:szCs w:val="20"/>
              </w:rPr>
              <w:t xml:space="preserve">Cd</w:t>
            </w:r>
          </w:p>
        </w:tc>
        <w:tc>
          <w:tcPr>
            <w:tcW w:type="dxa" w:w="19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2"/>
                <w:szCs w:val="22"/>
              </w:rPr>
              <w:t xml:space="preserve">≈ 22 240</w:t>
            </w:r>
          </w:p>
        </w:tc>
        <w:tc>
          <w:tcPr>
            <w:tcW w:type="dxa" w:w="1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2"/>
                <w:szCs w:val="22"/>
              </w:rPr>
              <w:t xml:space="preserve">دج / سنة</w:t>
            </w:r>
          </w:p>
        </w:tc>
      </w:tr>
      <w:tr>
        <w:tc>
          <w:tcPr>
            <w:tcW w:type="dxa" w:w="700"/>
            <w:tcBorders>
              <w:top w:val="single" w:color="CCCCCC" w:sz="4"/>
              <w:left w:val="single" w:color="CCCCCC" w:sz="4"/>
              <w:bottom w:val="single" w:color="CCCCCC" w:sz="4"/>
              <w:right w:val="single" w:color="CCCCCC" w:sz="4"/>
            </w:tcBorders>
            <w:shd w:fill="F2F3F4"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2"/>
                <w:szCs w:val="22"/>
              </w:rPr>
              <w:t xml:space="preserve">6</w:t>
            </w:r>
          </w:p>
        </w:tc>
        <w:tc>
          <w:tcPr>
            <w:tcW w:type="dxa" w:w="2800"/>
            <w:tcBorders>
              <w:top w:val="single" w:color="CCCCCC" w:sz="4"/>
              <w:left w:val="single" w:color="CCCCCC" w:sz="4"/>
              <w:bottom w:val="single" w:color="CCCCCC" w:sz="4"/>
              <w:right w:val="single" w:color="CCCCCC" w:sz="4"/>
            </w:tcBorders>
            <w:shd w:fill="FEF9E7" w:color="auto" w:val="clear"/>
            <w:tcMar>
              <w:top w:type="dxa" w:w="120"/>
              <w:left w:type="dxa" w:w="160"/>
              <w:bottom w:type="dxa" w:w="120"/>
              <w:right w:type="dxa" w:w="160"/>
            </w:tcMar>
            <w:vAlign w:val="center"/>
          </w:tcPr>
          <w:p>
            <w:pPr>
              <w:bidi/>
              <w:jc w:val="right"/>
            </w:pPr>
            <w:r>
              <w:rPr>
                <w:rFonts w:ascii="Traditional Arabic" w:cs="Traditional Arabic" w:eastAsia="Traditional Arabic" w:hAnsi="Traditional Arabic"/>
                <w:b/>
                <w:bCs/>
                <w:color w:val="000000"/>
                <w:sz w:val="20"/>
                <w:szCs w:val="20"/>
              </w:rPr>
              <w:t xml:space="preserve">إجمالي التكاليف المتغيرة السنوية (CVT)</w:t>
            </w:r>
          </w:p>
        </w:tc>
        <w:tc>
          <w:tcPr>
            <w:tcW w:type="dxa" w:w="18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jc w:val="center"/>
            </w:pPr>
            <w:r>
              <w:rPr>
                <w:rFonts w:ascii="Arial" w:cs="Arial" w:eastAsia="Arial" w:hAnsi="Arial"/>
                <w:b/>
                <w:bCs/>
                <w:color w:val="1A5276"/>
                <w:sz w:val="20"/>
                <w:szCs w:val="20"/>
              </w:rPr>
              <w:t xml:space="preserve">CVT</w:t>
            </w:r>
          </w:p>
        </w:tc>
        <w:tc>
          <w:tcPr>
            <w:tcW w:type="dxa" w:w="19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bCs/>
                <w:color w:val="000000"/>
                <w:sz w:val="22"/>
                <w:szCs w:val="22"/>
              </w:rPr>
              <w:t xml:space="preserve">≈ 22 830</w:t>
            </w:r>
          </w:p>
        </w:tc>
        <w:tc>
          <w:tcPr>
            <w:tcW w:type="dxa" w:w="1700"/>
            <w:tcBorders>
              <w:top w:val="single" w:color="CCCCCC" w:sz="4"/>
              <w:left w:val="single" w:color="CCCCCC" w:sz="4"/>
              <w:bottom w:val="single" w:color="CCCCCC" w:sz="4"/>
              <w:right w:val="single" w:color="CCCCCC" w:sz="4"/>
            </w:tcBorders>
            <w:shd w:fill="FEF9E7" w:color="auto" w:val="clear"/>
            <w:tcMar>
              <w:top w:type="dxa" w:w="100"/>
              <w:left w:type="dxa" w:w="140"/>
              <w:bottom w:type="dxa" w:w="100"/>
              <w:right w:type="dxa" w:w="140"/>
            </w:tcMar>
            <w:vAlign w:val="center"/>
          </w:tcPr>
          <w:p>
            <w:pPr>
              <w:bidi/>
              <w:jc w:val="center"/>
            </w:pPr>
            <w:r>
              <w:rPr>
                <w:rFonts w:ascii="Traditional Arabic" w:cs="Traditional Arabic" w:eastAsia="Traditional Arabic" w:hAnsi="Traditional Arabic"/>
                <w:b w:val="false"/>
                <w:bCs w:val="false"/>
                <w:color w:val="000000"/>
                <w:sz w:val="22"/>
                <w:szCs w:val="22"/>
              </w:rPr>
              <w:t xml:space="preserve">دج / سنة</w:t>
            </w:r>
          </w:p>
        </w:tc>
      </w:tr>
    </w:tbl>
    <w:p>
      <w:pPr>
        <w:bidi/>
        <w:spacing w:before="40" w:after="200"/>
        <w:ind/>
        <w:jc w:val="center"/>
      </w:pPr>
      <w:r>
        <w:rPr>
          <w:rFonts w:ascii="Traditional Arabic" w:cs="Traditional Arabic" w:eastAsia="Traditional Arabic" w:hAnsi="Traditional Arabic"/>
          <w:b w:val="false"/>
          <w:bCs w:val="false"/>
          <w:color w:val="777777"/>
          <w:sz w:val="18"/>
          <w:szCs w:val="18"/>
        </w:rPr>
        <w:t xml:space="preserve">المصدر: إعداد الطالب — حساب بنظام ERP_Academie_v5_final.xlsx | مارس 2026</w:t>
      </w:r>
    </w:p>
    <w:p>
      <w:pPr>
        <w:bidi/>
        <w:spacing w:after="160" w:before="0"/>
        <w:ind/>
        <w:jc w:val="center"/>
      </w:pPr>
    </w:p>
    <w:p>
      <w:pPr>
        <w:bidi/>
        <w:spacing w:before="60" w:after="120" w:line="360" w:lineRule="auto"/>
        <w:ind w:right="0"/>
        <w:jc w:val="right"/>
      </w:pPr>
      <w:r>
        <w:rPr>
          <w:rFonts w:ascii="Traditional Arabic" w:cs="Traditional Arabic" w:eastAsia="Traditional Arabic" w:hAnsi="Traditional Arabic"/>
          <w:b w:val="false"/>
          <w:bCs w:val="false"/>
          <w:color w:val="000000"/>
          <w:sz w:val="22"/>
          <w:szCs w:val="22"/>
        </w:rPr>
        <w:t xml:space="preserve">تُكشف نتائج الجدول عن الآتي: القيمة الاقتصادية المثلى Q* = 131 رزمة تُوازن بين تكلفة الإصدار وتكلفة الاحتفاظ بصورة مُثلى. غير أن الواقع التشغيلي لمخزن البيض — البُعد الجغرافي، أجل التسليم، ومحدودية المُورِّدين — يُبرِّر التوجُّه نحو طلبيات ذات حجم أكبر (500–1000 رزمة) في إطار نظام الطلبية المفتوحة (Commande Ouverte) الذي يُلائم البيئات الإدارية النائية.</w:t>
      </w:r>
    </w:p>
    <w:p>
      <w:pPr>
        <w:bidi/>
        <w:spacing w:before="60" w:after="120" w:line="360" w:lineRule="auto"/>
        <w:ind w:right="0"/>
        <w:jc w:val="right"/>
      </w:pPr>
      <w:r>
        <w:rPr>
          <w:rFonts w:ascii="Traditional Arabic" w:cs="Traditional Arabic" w:eastAsia="Traditional Arabic" w:hAnsi="Traditional Arabic"/>
          <w:b w:val="false"/>
          <w:bCs w:val="false"/>
          <w:color w:val="000000"/>
          <w:sz w:val="22"/>
          <w:szCs w:val="22"/>
        </w:rPr>
        <w:t xml:space="preserve">أما نقطة إعادة الطلب (ROP = 212 رزمة) فتُعني أن المسؤول عن المخزن يجب أن يُصدر أمر شراء جديد حين يصل الرصيد إلى هذا المستوى تحديداً — لا انتظاراً حتى النفاد — وهو ما تُنفِّذه آلية التنبيه الآلي المُبرمَجة في نظام ERP_Academie ضمن عمود (STATUT) في لوحة القيادة بالحالة &gt;&gt;COMMANDER.</w:t>
      </w:r>
    </w:p>
    <w:p>
      <w:pPr>
        <w:bidi/>
        <w:spacing w:after="160" w:before="0"/>
        <w:ind/>
        <w:jc w:val="center"/>
      </w:pPr>
    </w:p>
    <w:p>
      <w:pPr>
        <w:bidi/>
        <w:spacing w:before="280" w:after="140"/>
        <w:ind w:right="0"/>
        <w:jc w:val="right"/>
      </w:pPr>
      <w:r>
        <w:rPr>
          <w:rFonts w:ascii="Traditional Arabic" w:cs="Traditional Arabic" w:eastAsia="Traditional Arabic" w:hAnsi="Traditional Arabic"/>
          <w:b/>
          <w:bCs/>
          <w:color w:val="0C447C"/>
          <w:sz w:val="28"/>
          <w:szCs w:val="28"/>
        </w:rPr>
        <w:t xml:space="preserve">خلاصة الفصل الثالث</w:t>
      </w:r>
    </w:p>
    <w:p>
      <w:pPr>
        <w:bidi/>
        <w:spacing w:before="60" w:after="120" w:line="360" w:lineRule="auto"/>
        <w:ind w:right="0"/>
        <w:jc w:val="right"/>
      </w:pPr>
      <w:r>
        <w:rPr>
          <w:rFonts w:ascii="Traditional Arabic" w:cs="Traditional Arabic" w:eastAsia="Traditional Arabic" w:hAnsi="Traditional Arabic"/>
          <w:b w:val="false"/>
          <w:bCs w:val="false"/>
          <w:color w:val="000000"/>
          <w:sz w:val="22"/>
          <w:szCs w:val="22"/>
        </w:rPr>
        <w:t xml:space="preserve">أثبت التشخيص الميداني المُدعَّم بالبيانات الفعلية صحّة الفرضيتين المُصاغتين في المقدمة: أولاً، غياب آليات التنبيه الآلي هو السبب الجذري لتكرار نفاد بعض المواد الاستراتيجية (لا سيما ART-003 الذي أظهر تنبيه '~ ALERTE' في لوحة القيادة بعد تطبيق ROP الفردي). ثانياً، أن تطبيق الأدوات الكمية (ABC، نموذج ويلسون، CMUP الديناميكي) على بيانات المخزن الفعلية يُنتج معطيات قابلة للتشغيل الفوري — وهو ما يُشكِّل الأساس العلمي للحل المقترح في الفصل الرابع.</w:t>
      </w:r>
    </w:p>
    <w:sectPr>
      <w:pgSz w:w="11906" w:h="16838" w:orient="portrait"/>
      <w:pgMar w:top="1440" w:right="1701"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2026-03-23T06:28:42.018Z</dcterms:created>
  <dcterms:modified xsi:type="dcterms:W3CDTF">2026-03-23T06:28:42.018Z</dcterms:modified>
</cp:coreProperties>
</file>

<file path=docProps/custom.xml><?xml version="1.0" encoding="utf-8"?>
<Properties xmlns="http://schemas.openxmlformats.org/officeDocument/2006/custom-properties" xmlns:vt="http://schemas.openxmlformats.org/officeDocument/2006/docPropsVTypes"/>
</file>