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right"/>
      </w:pPr>
      <w:r>
        <w:rPr>
          <w:rFonts w:ascii="Traditional Arabic" w:hAnsi="Traditional Arabic"/>
          <w:sz w:val="28"/>
          <w:rtl/>
        </w:rPr>
        <w:t xml:space="preserve">"نظام دعم القرار لتسيير المخزونات"</w:t>
      </w:r>
    </w:p>
    <w:p>
      <w:pPr>
        <w:pStyle w:val="Author"/>
        <w:spacing w:line="360" w:lineRule="auto"/>
        <w:jc w:val="right"/>
      </w:pPr>
      <w:r>
        <w:rPr>
          <w:rFonts w:ascii="Traditional Arabic" w:hAnsi="Traditional Arabic"/>
          <w:sz w:val="28"/>
          <w:rtl/>
        </w:rPr>
        <w:t xml:space="preserve">"ماحي كمال عبد الغني"</w:t>
      </w:r>
    </w:p>
    <w:p>
      <w:pPr>
        <w:pStyle w:val="Date"/>
        <w:spacing w:line="360" w:lineRule="auto"/>
        <w:jc w:val="right"/>
      </w:pPr>
      <w:r>
        <w:rPr>
          <w:rFonts w:ascii="Traditional Arabic" w:hAnsi="Traditional Arabic"/>
          <w:sz w:val="28"/>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pPr>
            <w:r>
              <w:rPr>
                <w:rtl/>
              </w:rPr>
              <w:t xml:space="preserve">title:</w:t>
            </w:r>
            <w:r>
              <w:rPr>
                <w:rtl/>
              </w:rPr>
              <w:t xml:space="preserve"> </w:t>
            </w:r>
            <w:r>
              <w:rPr>
                <w:rtl/>
              </w:rPr>
              <w:t xml:space="preserve">“نظام دعم القرار لتسيير المخزونات”</w:t>
            </w:r>
          </w:p>
        </w:tc>
      </w:tr>
      <w:tr>
        <w:tc>
          <w:tcPr>
            <w:tcW w:w="5610000" w:type="dxa"/>
          </w:tcPr>
          <w:p>
            <w:pPr>
              <w:pStyle w:val="Compact"/>
              <w:bidi/>
            </w:pPr>
            <w:r>
              <w:rPr>
                <w:rtl/>
              </w:rPr>
              <w:t xml:space="preserve">subtitle:</w:t>
            </w:r>
            <w:r>
              <w:rPr>
                <w:rtl/>
              </w:rPr>
              <w:t xml:space="preserve"> </w:t>
            </w:r>
            <w:r>
              <w:rPr>
                <w:rtl/>
              </w:rPr>
              <w:t xml:space="preserve">“مذكرة تخرج لنيل شهادة التقني السامي”</w:t>
            </w:r>
          </w:p>
        </w:tc>
      </w:tr>
      <w:tr>
        <w:tc>
          <w:tcPr>
            <w:tcW w:w="5610000" w:type="dxa"/>
          </w:tcPr>
          <w:p>
            <w:pPr>
              <w:pStyle w:val="Compact"/>
              <w:bidi/>
            </w:pPr>
            <w:r>
              <w:rPr>
                <w:rtl/>
              </w:rPr>
              <w:t xml:space="preserve">author:</w:t>
            </w:r>
            <w:r>
              <w:rPr>
                <w:rtl/>
              </w:rPr>
              <w:t xml:space="preserve"> </w:t>
            </w:r>
            <w:r>
              <w:rPr>
                <w:rtl/>
              </w:rPr>
              <w:t xml:space="preserve">“ماحي كمال عبد الغني”</w:t>
            </w:r>
          </w:p>
        </w:tc>
      </w:tr>
      <w:tr>
        <w:tc>
          <w:tcPr>
            <w:tcW w:w="5610000" w:type="dxa"/>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tcW w:w="5610000" w:type="dxa"/>
          </w:tcPr>
          <w:p>
            <w:pPr>
              <w:pStyle w:val="Compact"/>
              <w:bidi/>
            </w:pPr>
            <w:r>
              <w:rPr>
                <w:rtl/>
              </w:rPr>
              <w:t xml:space="preserve">department:</w:t>
            </w:r>
            <w:r>
              <w:rPr>
                <w:rtl/>
              </w:rPr>
              <w:t xml:space="preserve"> </w:t>
            </w:r>
            <w:r>
              <w:rPr>
                <w:rtl/>
              </w:rPr>
              <w:t xml:space="preserve">“تسيير المخزونات واللوجستيك”</w:t>
            </w:r>
          </w:p>
        </w:tc>
      </w:tr>
      <w:tr>
        <w:tc>
          <w:tcPr>
            <w:tcW w:w="5610000" w:type="dxa"/>
          </w:tcPr>
          <w:p>
            <w:pPr>
              <w:pStyle w:val="Compact"/>
              <w:bidi/>
            </w:pPr>
            <w:r>
              <w:rPr>
                <w:rtl/>
              </w:rPr>
              <w:t xml:space="preserve">supervisor:</w:t>
            </w:r>
            <w:r>
              <w:rPr>
                <w:rtl/>
              </w:rPr>
              <w:t xml:space="preserve"> </w:t>
            </w:r>
            <w:r>
              <w:rPr>
                <w:rtl/>
              </w:rPr>
              <w:t xml:space="preserve">“الأستاذة المشرفة: دهيني ميمونة”</w:t>
            </w:r>
          </w:p>
        </w:tc>
      </w:tr>
      <w:tr>
        <w:tc>
          <w:tcPr>
            <w:tcW w:w="5610000" w:type="dxa"/>
          </w:tcPr>
          <w:p>
            <w:pPr>
              <w:pStyle w:val="Compact"/>
              <w:bidi/>
            </w:pPr>
            <w:r>
              <w:rPr>
                <w:rtl/>
              </w:rPr>
              <w:t xml:space="preserve">academic_year:</w:t>
            </w:r>
            <w:r>
              <w:rPr>
                <w:rtl/>
              </w:rPr>
              <w:t xml:space="preserve"> </w:t>
            </w:r>
            <w:r>
              <w:rPr>
                <w:rtl/>
              </w:rPr>
              <w:t xml:space="preserve">“السنة الجامعية: 2025/2026”</w:t>
            </w:r>
          </w:p>
        </w:tc>
      </w:tr>
      <w:tr>
        <w:tc>
          <w:tcPr>
            <w:tcW w:w="5610000" w:type="dxa"/>
          </w:tcPr>
          <w:p>
            <w:pPr>
              <w:pStyle w:val="Compact"/>
              <w:bidi/>
            </w:pPr>
            <w:r>
              <w:rPr>
                <w:rtl/>
              </w:rPr>
              <w:t xml:space="preserve">date:</w:t>
            </w:r>
            <w:r>
              <w:rPr>
                <w:rtl/>
              </w:rPr>
              <w:t xml:space="preserve"> </w:t>
            </w:r>
            <w:r>
              <w:rPr>
                <w:rtl/>
              </w:rPr>
              <w:t xml:space="preserve">“2026-05-18”</w:t>
            </w:r>
          </w:p>
        </w:tc>
      </w:tr>
      <w:tr>
        <w:tc>
          <w:tcPr>
            <w:tcW w:w="5610000" w:type="dxa"/>
          </w:tcPr>
          <w:p>
            <w:pPr>
              <w:pStyle w:val="Compact"/>
              <w:bidi/>
            </w:pPr>
            <w:r>
              <w:rPr>
                <w:rtl/>
              </w:rPr>
              <w:t xml:space="preserve">lang: ar</w:t>
            </w:r>
          </w:p>
        </w:tc>
      </w:tr>
      <w:tr>
        <w:tc>
          <w:tcPr>
            <w:tcW w:w="5610000" w:type="dxa"/>
          </w:tcPr>
          <w:p>
            <w:pPr>
              <w:pStyle w:val="Compact"/>
              <w:bidi/>
            </w:pPr>
            <w:r>
              <w:rPr>
                <w:rtl/>
              </w:rPr>
              <w:t xml:space="preserve">dir: rtl</w:t>
            </w:r>
          </w:p>
        </w:tc>
      </w:tr>
    </w:tbl>
    <w:bookmarkStart w:id="9" w:name="إهداء"/>
    <w:p>
      <w:pPr>
        <w:pStyle w:val="Heading2"/>
        <w:bidi/>
      </w:pPr>
      <w:r>
        <w:rPr>
          <w:b/>
          <w:sz w:val="36"/>
          <w:rtl/>
        </w:rPr>
        <w:t xml:space="preserve">إهداء</w:t>
      </w:r>
    </w:p>
    <w:p>
      <w:pPr>
        <w:bidi/>
        <w:spacing w:line="360" w:lineRule="auto"/>
        <w:jc w:val="right"/>
      </w:pPr>
      <w:r>
        <w:rPr>
          <w:rFonts w:ascii="Traditional Arabic" w:hAnsi="Traditional Arabic"/>
          <w:b/>
          <w:bCs/>
          <w:sz w:val="28"/>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Fonts w:ascii="Traditional Arabic" w:hAnsi="Traditional Arabic"/>
          <w:sz w:val="28"/>
          <w:rtl/>
        </w:rPr>
        <w:t xml:space="preserve"> </w:t>
      </w:r>
      <w:r>
        <w:rPr>
          <w:rFonts w:ascii="Traditional Arabic" w:hAnsi="Traditional Arabic"/>
          <w:b/>
          <w:bCs/>
          <w:sz w:val="28"/>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pPr>
      <w:r>
        <w:rPr>
          <w:b/>
          <w:sz w:val="36"/>
          <w:rtl/>
        </w:rPr>
        <w:t xml:space="preserve">شكر وتقدير</w:t>
      </w:r>
    </w:p>
    <w:p>
      <w:pPr>
        <w:bidi/>
        <w:spacing w:line="360" w:lineRule="auto"/>
        <w:jc w:val="right"/>
      </w:pPr>
      <w:r>
        <w:rPr>
          <w:rFonts w:ascii="Traditional Arabic" w:hAnsi="Traditional Arabic"/>
          <w:b/>
          <w:bCs/>
          <w:sz w:val="28"/>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Fonts w:ascii="Traditional Arabic" w:hAnsi="Traditional Arabic"/>
          <w:sz w:val="28"/>
          <w:rtl/>
        </w:rPr>
        <w:t xml:space="preserve"> </w:t>
      </w:r>
      <w:r>
        <w:rPr>
          <w:rFonts w:ascii="Traditional Arabic" w:hAnsi="Traditional Arabic"/>
          <w:b/>
          <w:bCs/>
          <w:sz w:val="28"/>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Fonts w:ascii="Traditional Arabic" w:hAnsi="Traditional Arabic"/>
          <w:sz w:val="28"/>
          <w:rtl/>
        </w:rPr>
        <w:t xml:space="preserve"> </w:t>
      </w:r>
      <w:r>
        <w:rPr>
          <w:rFonts w:ascii="Traditional Arabic" w:hAnsi="Traditional Arabic"/>
          <w:b/>
          <w:bCs/>
          <w:sz w:val="28"/>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Fonts w:ascii="Traditional Arabic" w:hAnsi="Traditional Arabic"/>
          <w:sz w:val="28"/>
          <w:rtl/>
        </w:rPr>
        <w:t xml:space="preserve"> </w:t>
      </w:r>
      <w:r>
        <w:rPr>
          <w:rFonts w:ascii="Traditional Arabic" w:hAnsi="Traditional Arabic"/>
          <w:b/>
          <w:bCs/>
          <w:sz w:val="28"/>
          <w:rtl/>
        </w:rPr>
        <w:t xml:space="preserve">وإلى لجنة المناقشة الموقرة على تفضلها بقراءة هذا العمل وتقييمه.</w:t>
      </w:r>
    </w:p>
    <w:bookmarkEnd w:id="10"/>
    <w:bookmarkStart w:id="11" w:name="الملخص"/>
    <w:p>
      <w:pPr>
        <w:pStyle w:val="Heading2"/>
        <w:bidi/>
      </w:pPr>
      <w:r>
        <w:rPr>
          <w:b/>
          <w:sz w:val="36"/>
          <w:rtl/>
        </w:rPr>
        <w:t xml:space="preserve">الملخص</w:t>
      </w:r>
    </w:p>
    <w:p>
      <w:pPr>
        <w:bidi/>
        <w:spacing w:line="360" w:lineRule="auto"/>
        <w:jc w:val="right"/>
      </w:pPr>
      <w:r>
        <w:rPr>
          <w:rFonts w:ascii="Traditional Arabic" w:hAnsi="Traditional Arabic"/>
          <w:b/>
          <w:bCs/>
          <w:sz w:val="28"/>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Fonts w:ascii="Traditional Arabic" w:hAnsi="Traditional Arabic"/>
          <w:sz w:val="28"/>
          <w:rtl/>
        </w:rPr>
        <w:t xml:space="preserve"> </w:t>
      </w:r>
      <w:r>
        <w:rPr>
          <w:rFonts w:ascii="Traditional Arabic" w:hAnsi="Traditional Arabic"/>
          <w:b/>
          <w:bCs/>
          <w:sz w:val="28"/>
          <w:rtl/>
        </w:rPr>
        <w:t xml:space="preserve">الكلمات المفتاحية: نظام دعم القرار، تسيير المخزونات، نموذج ويلسون، تحليل ABC، Excel/VBA، القطاع التربوي.</w:t>
      </w:r>
    </w:p>
    <w:bookmarkEnd w:id="11"/>
    <w:bookmarkStart w:id="12" w:name="résumé"/>
    <w:p>
      <w:pPr>
        <w:pStyle w:val="Heading2"/>
        <w:bidi/>
      </w:pPr>
      <w:r>
        <w:rPr>
          <w:b/>
          <w:sz w:val="36"/>
          <w:rtl/>
        </w:rPr>
        <w:t xml:space="preserve">Résumé</w:t>
      </w:r>
    </w:p>
    <w:p>
      <w:pPr>
        <w:bidi/>
        <w:spacing w:line="360" w:lineRule="auto"/>
        <w:jc w:val="right"/>
        <w:sectPr>
          <w:pgNumType w:fmt="none"/>
          <w:footnotePr>
            <w:numRestart w:val="eachSect"/>
          </w:footnotePr>
          <w:pgSz w:h="16838" w:w="11906"/>
          <w:pgMar w:bottom="1417" w:left="1417" w:right="1417" w:top="1417"/>
        </w:sectPr>
      </w:pPr>
      <w:r>
        <w:rPr>
          <w:rFonts w:ascii="Traditional Arabic" w:hAnsi="Traditional Arabic"/>
          <w:b/>
          <w:bCs/>
          <w:sz w:val="28"/>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Fonts w:ascii="Traditional Arabic" w:hAnsi="Traditional Arabic"/>
          <w:sz w:val="28"/>
          <w:rtl/>
        </w:rPr>
        <w:t xml:space="preserve"> </w:t>
      </w:r>
      <w:r>
        <w:rPr>
          <w:rFonts w:ascii="Traditional Arabic" w:hAnsi="Traditional Arabic"/>
          <w:b/>
          <w:bCs/>
          <w:sz w:val="28"/>
          <w:rtl/>
        </w:rPr>
        <w:t xml:space="preserve">Mots-clés : Système d’aide à la décision, gestion des stocks, modèle de Wilson, .analyse ABC, Excel/VBA, secteur éducatif</w:t>
      </w:r>
    </w:p>
    <w:bookmarkEnd w:id="12"/>
    <w:bookmarkStart w:id="20" w:name="المقدمة-العامة"/>
    <w:p>
      <w:pPr>
        <w:pStyle w:val="Heading1"/>
        <w:bidi/>
      </w:pPr>
      <w:r>
        <w:rPr>
          <w:b/>
          <w:sz w:val="44"/>
          <w:rtl/>
        </w:rPr>
        <w:t xml:space="preserve">المقدمة العامة</w:t>
      </w:r>
    </w:p>
    <w:bookmarkStart w:id="13" w:name="تمهيد"/>
    <w:p>
      <w:pPr>
        <w:pStyle w:val="Heading2"/>
        <w:bidi/>
      </w:pPr>
      <w:r>
        <w:rPr>
          <w:b/>
          <w:sz w:val="36"/>
          <w:rtl/>
        </w:rPr>
        <w:t xml:space="preserve">تمهيد</w:t>
      </w:r>
    </w:p>
    <w:p>
      <w:pPr>
        <w:bidi/>
        <w:spacing w:line="360" w:lineRule="auto"/>
        <w:jc w:val="right"/>
      </w:pPr>
      <w:r>
        <w:rPr>
          <w:rFonts w:ascii="Traditional Arabic" w:hAnsi="Traditional Arabic"/>
          <w:sz w:val="28"/>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3"/>
    <w:bookmarkStart w:id="14" w:name="الإشكالية"/>
    <w:p>
      <w:pPr>
        <w:pStyle w:val="Heading2"/>
        <w:bidi/>
      </w:pPr>
      <w:r>
        <w:rPr>
          <w:b/>
          <w:sz w:val="36"/>
          <w:rtl/>
        </w:rPr>
        <w:t xml:space="preserve">الإشكالية</w:t>
      </w:r>
    </w:p>
    <w:p>
      <w:pPr>
        <w:bidi/>
        <w:spacing w:line="360" w:lineRule="auto"/>
        <w:jc w:val="right"/>
      </w:pPr>
      <w:r>
        <w:rPr>
          <w:rFonts w:ascii="Traditional Arabic" w:hAnsi="Traditional Arabic"/>
          <w:sz w:val="28"/>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Fonts w:ascii="Traditional Arabic" w:hAnsi="Traditional Arabic"/>
          <w:sz w:val="28"/>
          <w:rtl/>
        </w:rPr>
        <w:t xml:space="preserve"> </w:t>
      </w:r>
      <w:r>
        <w:rPr>
          <w:rFonts w:ascii="Traditional Arabic" w:hAnsi="Traditional Arabic"/>
          <w:b/>
          <w:bCs/>
          <w:sz w:val="28"/>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4"/>
    <w:bookmarkStart w:id="15" w:name="الفرضيات"/>
    <w:p>
      <w:pPr>
        <w:pStyle w:val="Heading2"/>
        <w:bidi/>
      </w:pPr>
      <w:r>
        <w:rPr>
          <w:b/>
          <w:sz w:val="36"/>
          <w:rtl/>
        </w:rPr>
        <w:t xml:space="preserve">الفرضيات</w:t>
      </w:r>
    </w:p>
    <w:p>
      <w:pPr>
        <w:bidi/>
        <w:spacing w:line="360" w:lineRule="auto"/>
        <w:jc w:val="right"/>
      </w:pPr>
      <w:r>
        <w:rPr>
          <w:rFonts w:ascii="Traditional Arabic" w:hAnsi="Traditional Arabic"/>
          <w:sz w:val="28"/>
          <w:rtl/>
        </w:rPr>
        <w:t xml:space="preserve">تنطلق الدراسة من فرضيتين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5"/>
    <w:bookmarkStart w:id="16" w:name="أهداف-الدراسة"/>
    <w:p>
      <w:pPr>
        <w:pStyle w:val="Heading2"/>
        <w:bidi/>
      </w:pPr>
      <w:r>
        <w:rPr>
          <w:b/>
          <w:sz w:val="36"/>
          <w:rtl/>
        </w:rPr>
        <w:t xml:space="preserve">أهداف الدراسة</w:t>
      </w:r>
    </w:p>
    <w:p>
      <w:pPr>
        <w:bidi/>
        <w:spacing w:line="360" w:lineRule="auto"/>
        <w:jc w:val="right"/>
      </w:pPr>
      <w:r>
        <w:rPr>
          <w:rFonts w:ascii="Traditional Arabic" w:hAnsi="Traditional Arabic"/>
          <w:sz w:val="28"/>
          <w:rtl/>
        </w:rPr>
        <w:t xml:space="preserve">تصبو هذه الدراسة إلى تحقيق مجموعة من الأهداف المنهجية والتطبيقية:</w:t>
      </w:r>
      <w:r>
        <w:rPr>
          <w:rFonts w:ascii="Traditional Arabic" w:hAnsi="Traditional Arabic"/>
          <w:sz w:val="28"/>
          <w:rtl/>
        </w:rPr>
        <w:t xml:space="preserve"> </w:t>
      </w:r>
      <w:r>
        <w:rPr>
          <w:rFonts w:ascii="Traditional Arabic" w:hAnsi="Traditional Arabic"/>
          <w:sz w:val="28"/>
          <w:rtl/>
        </w:rPr>
        <w:t xml:space="preserve">- تشخيص الواقع الفعلي لنظام التسيير المخزني في مديرية التربية لولاية البيض وتحديد نقاط الضعف البنيوية.</w:t>
      </w:r>
      <w:r>
        <w:rPr>
          <w:rFonts w:ascii="Traditional Arabic" w:hAnsi="Traditional Arabic"/>
          <w:sz w:val="28"/>
          <w:rtl/>
        </w:rPr>
        <w:t xml:space="preserve"> </w:t>
      </w:r>
      <w:r>
        <w:rPr>
          <w:rFonts w:ascii="Traditional Arabic" w:hAnsi="Traditional Arabic"/>
          <w:sz w:val="28"/>
          <w:rtl/>
        </w:rPr>
        <w:t xml:space="preserve">- تطبيق النماذج الكمية (EOQ، ABC، XYZ) على بيانات ميدانية حقيقية لاستخراج مؤشرات داعمة للقرار.</w:t>
      </w:r>
      <w:r>
        <w:rPr>
          <w:rFonts w:ascii="Traditional Arabic" w:hAnsi="Traditional Arabic"/>
          <w:sz w:val="28"/>
          <w:rtl/>
        </w:rPr>
        <w:t xml:space="preserve"> </w:t>
      </w:r>
      <w:r>
        <w:rPr>
          <w:rFonts w:ascii="Traditional Arabic" w:hAnsi="Traditional Arabic"/>
          <w:sz w:val="28"/>
          <w:rtl/>
        </w:rPr>
        <w:t xml:space="preserve">- تصميم وإنجاز نظام معلوماتي متكامل (نظام دعم القرار) يعمل ببيئة Excel/VBA يُؤتمت دورة الشراء والتخزين ويُوفِّر رقابة آنية.</w:t>
      </w:r>
      <w:r>
        <w:rPr>
          <w:rFonts w:ascii="Traditional Arabic" w:hAnsi="Traditional Arabic"/>
          <w:sz w:val="28"/>
          <w:rtl/>
        </w:rPr>
        <w:t xml:space="preserve"> </w:t>
      </w:r>
      <w:r>
        <w:rPr>
          <w:rFonts w:ascii="Traditional Arabic" w:hAnsi="Traditional Arabic"/>
          <w:sz w:val="28"/>
          <w:rtl/>
        </w:rPr>
        <w:t xml:space="preserve">- تقييم أثر النظام المقترح على مؤشرات الأداء التشغيلية قبل وبعد التطبيق من خلال مقارنة كمية.</w:t>
      </w:r>
      <w:r>
        <w:rPr>
          <w:rFonts w:ascii="Traditional Arabic" w:hAnsi="Traditional Arabic"/>
          <w:sz w:val="28"/>
          <w:rtl/>
        </w:rPr>
        <w:t xml:space="preserve"> </w:t>
      </w:r>
      <w:r>
        <w:rPr>
          <w:rFonts w:ascii="Traditional Arabic" w:hAnsi="Traditional Arabic"/>
          <w:sz w:val="28"/>
          <w:rtl/>
        </w:rPr>
        <w:t xml:space="preserve">- تقديم توصيات عملية قابلة للتنفيذ لتعميم التجربة على نطاق أوسع.</w:t>
      </w:r>
    </w:p>
    <w:bookmarkEnd w:id="16"/>
    <w:bookmarkStart w:id="17" w:name="منهجية-البحث"/>
    <w:p>
      <w:pPr>
        <w:pStyle w:val="Heading2"/>
        <w:bidi/>
      </w:pPr>
      <w:r>
        <w:rPr>
          <w:b/>
          <w:sz w:val="36"/>
          <w:rtl/>
        </w:rPr>
        <w:t xml:space="preserve">منهجية البحث</w:t>
      </w:r>
    </w:p>
    <w:p>
      <w:pPr>
        <w:bidi/>
        <w:spacing w:line="360" w:lineRule="auto"/>
        <w:jc w:val="right"/>
      </w:pPr>
      <w:r>
        <w:rPr>
          <w:rFonts w:ascii="Traditional Arabic" w:hAnsi="Traditional Arabic"/>
          <w:sz w:val="28"/>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7"/>
    <w:bookmarkStart w:id="18" w:name="هيكل-الدراسة"/>
    <w:p>
      <w:pPr>
        <w:pStyle w:val="Heading2"/>
        <w:bidi/>
      </w:pPr>
      <w:r>
        <w:rPr>
          <w:b/>
          <w:sz w:val="36"/>
          <w:rtl/>
        </w:rPr>
        <w:t xml:space="preserve">هيكل الدراسة</w:t>
      </w:r>
    </w:p>
    <w:p>
      <w:pPr>
        <w:bidi/>
        <w:spacing w:line="360" w:lineRule="auto"/>
        <w:jc w:val="right"/>
      </w:pPr>
      <w:r>
        <w:rPr>
          <w:rFonts w:ascii="Traditional Arabic" w:hAnsi="Traditional Arabic"/>
          <w:sz w:val="28"/>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18"/>
    <w:bookmarkStart w:id="19" w:name="Xf59180c5cc222249dc6a39c05bc19cdf400d056"/>
    <w:p>
      <w:pPr>
        <w:pStyle w:val="Heading2"/>
        <w:bidi/>
      </w:pPr>
      <w:r>
        <w:rPr>
          <w:b/>
          <w:sz w:val="36"/>
          <w:rtl/>
        </w:rPr>
        <w:t xml:space="preserve">الانسجام مع منهاج BTS في تسيير المخزونات واللوجستيك (TAG1801)</w:t>
      </w:r>
    </w:p>
    <w:p>
      <w:pPr>
        <w:bidi/>
        <w:spacing w:line="360" w:lineRule="auto"/>
        <w:jc w:val="right"/>
      </w:pPr>
      <w:r>
        <w:rPr>
          <w:rFonts w:ascii="Traditional Arabic" w:hAnsi="Traditional Arabic"/>
          <w:sz w:val="28"/>
          <w:rtl/>
        </w:rPr>
        <w:t xml:space="preserve">صُمِّمت هذه المذكرة لتغطي مجمل الكفاءات المستهدفة في منهاج شهادة التقني السامي في تسيير المخزونات واللوجستيك، وفق التصنيف التالي:</w:t>
      </w:r>
      <w:r>
        <w:rPr>
          <w:rFonts w:ascii="Traditional Arabic" w:hAnsi="Traditional Arabic"/>
          <w:sz w:val="28"/>
          <w:rtl/>
        </w:rPr>
        <w:t xml:space="preserve"> </w:t>
      </w:r>
      <w:r>
        <w:rPr>
          <w:rFonts w:ascii="Traditional Arabic" w:hAnsi="Traditional Arabic"/>
          <w:b/>
          <w:bCs/>
          <w:sz w:val="28"/>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pPr>
            <w:r>
              <w:rPr>
                <w:rtl/>
              </w:rPr>
              <w:t xml:space="preserve">السداسي</w:t>
            </w:r>
          </w:p>
        </w:tc>
        <w:tc>
          <w:tcPr>
            <w:tcW w:w="2077618" w:type="dxa"/>
          </w:tcPr>
          <w:p>
            <w:pPr>
              <w:pStyle w:val="Compact"/>
              <w:bidi/>
            </w:pPr>
            <w:r>
              <w:rPr>
                <w:rtl/>
              </w:rPr>
              <w:t xml:space="preserve">المقاييس المُغطَّاة</w:t>
            </w:r>
          </w:p>
        </w:tc>
        <w:tc>
          <w:tcPr>
            <w:tcW w:w="2744507" w:type="dxa"/>
          </w:tcPr>
          <w:p>
            <w:pPr>
              <w:pStyle w:val="Compact"/>
              <w:bidi/>
            </w:pPr>
            <w:r>
              <w:rPr>
                <w:rtl/>
              </w:rPr>
              <w:t xml:space="preserve">مظاهر التغطية في المذكرة</w:t>
            </w:r>
          </w:p>
        </w:tc>
      </w:tr>
      <w:tr>
        <w:tc>
          <w:tcPr>
            <w:tcW w:w="487873" w:type="dxa"/>
          </w:tcPr>
          <w:p>
            <w:pPr>
              <w:pStyle w:val="Compact"/>
              <w:bidi/>
            </w:pPr>
            <w:r>
              <w:rPr>
                <w:rtl/>
              </w:rPr>
              <w:t xml:space="preserve">الأول</w:t>
            </w:r>
          </w:p>
        </w:tc>
        <w:tc>
          <w:tcPr>
            <w:tcW w:w="2077618" w:type="dxa"/>
          </w:tcPr>
          <w:p>
            <w:pPr>
              <w:pStyle w:val="Compact"/>
              <w:bidi/>
            </w:pPr>
            <w:r>
              <w:rPr>
                <w:rtl/>
              </w:rPr>
              <w:t xml:space="preserve">تحديد وجمع المعلومات الداخلية والخارجية (18)</w:t>
            </w:r>
          </w:p>
        </w:tc>
        <w:tc>
          <w:tcPr>
            <w:tcW w:w="2744507" w:type="dxa"/>
          </w:tcPr>
          <w:p>
            <w:pPr>
              <w:pStyle w:val="Compact"/>
              <w:bidi/>
            </w:pPr>
            <w:r>
              <w:rPr>
                <w:rtl/>
              </w:rPr>
              <w:t xml:space="preserve">التشخيص الميداني، جمع بيانات المخزون (الفصل الثاني)</w:t>
            </w:r>
          </w:p>
        </w:tc>
      </w:tr>
      <w:tr>
        <w:tc>
          <w:tcPr>
            <w:tcW w:w="487873" w:type="dxa"/>
          </w:tcPr>
          <w:p>
            <w:pPr>
              <w:pStyle w:val="Compact"/>
            </w:pPr>
          </w:p>
        </w:tc>
        <w:tc>
          <w:tcPr>
            <w:tcW w:w="2077618" w:type="dxa"/>
          </w:tcPr>
          <w:p>
            <w:pPr>
              <w:pStyle w:val="Compact"/>
              <w:bidi/>
            </w:pPr>
            <w:r>
              <w:rPr>
                <w:rtl/>
              </w:rPr>
              <w:t xml:space="preserve">دراسة الأسعار وشروط التفاوض (19)</w:t>
            </w:r>
          </w:p>
        </w:tc>
        <w:tc>
          <w:tcPr>
            <w:tcW w:w="2744507" w:type="dxa"/>
          </w:tcPr>
          <w:p>
            <w:pPr>
              <w:pStyle w:val="Compact"/>
              <w:bidi/>
            </w:pPr>
            <w:r>
              <w:rPr>
                <w:rtl/>
              </w:rPr>
              <w:t xml:space="preserve">تحليل تكاليف الطلب والاحتفاظ، معادلة ويلسون (الفصل الأول)</w:t>
            </w:r>
          </w:p>
        </w:tc>
      </w:tr>
      <w:tr>
        <w:tc>
          <w:tcPr>
            <w:tcW w:w="487873" w:type="dxa"/>
          </w:tcPr>
          <w:p>
            <w:pPr>
              <w:pStyle w:val="Compact"/>
            </w:pPr>
          </w:p>
        </w:tc>
        <w:tc>
          <w:tcPr>
            <w:tcW w:w="2077618" w:type="dxa"/>
          </w:tcPr>
          <w:p>
            <w:pPr>
              <w:pStyle w:val="Compact"/>
              <w:bidi/>
            </w:pPr>
            <w:r>
              <w:rPr>
                <w:rtl/>
              </w:rPr>
              <w:t xml:space="preserve">القانون الاجتماعي (20)</w:t>
            </w:r>
          </w:p>
        </w:tc>
        <w:tc>
          <w:tcPr>
            <w:tcW w:w="2744507" w:type="dxa"/>
          </w:tcPr>
          <w:p>
            <w:pPr>
              <w:pStyle w:val="Compact"/>
              <w:bidi/>
            </w:pPr>
            <w:r>
              <w:rPr>
                <w:rtl/>
              </w:rPr>
              <w:t xml:space="preserve">الإطار التنظيمي للوظيفة العمومية (الفصل الثاني)</w:t>
            </w:r>
          </w:p>
        </w:tc>
      </w:tr>
      <w:tr>
        <w:tc>
          <w:tcPr>
            <w:tcW w:w="487873" w:type="dxa"/>
          </w:tcPr>
          <w:p>
            <w:pPr>
              <w:pStyle w:val="Compact"/>
            </w:pPr>
          </w:p>
        </w:tc>
        <w:tc>
          <w:tcPr>
            <w:tcW w:w="2077618" w:type="dxa"/>
          </w:tcPr>
          <w:p>
            <w:pPr>
              <w:pStyle w:val="Compact"/>
              <w:bidi/>
            </w:pPr>
            <w:r>
              <w:rPr>
                <w:rtl/>
              </w:rPr>
              <w:t xml:space="preserve">الإعلام الآلي (21)</w:t>
            </w:r>
          </w:p>
        </w:tc>
        <w:tc>
          <w:tcPr>
            <w:tcW w:w="2744507" w:type="dxa"/>
          </w:tcPr>
          <w:p>
            <w:pPr>
              <w:pStyle w:val="Compact"/>
              <w:bidi/>
            </w:pPr>
            <w:r>
              <w:rPr>
                <w:rtl/>
              </w:rPr>
              <w:t xml:space="preserve">تصميم نظام Excel/VBA (الفصل الثالث)</w:t>
            </w:r>
          </w:p>
        </w:tc>
      </w:tr>
      <w:tr>
        <w:tc>
          <w:tcPr>
            <w:tcW w:w="487873" w:type="dxa"/>
          </w:tcPr>
          <w:p>
            <w:pPr>
              <w:pStyle w:val="Compact"/>
            </w:pPr>
          </w:p>
        </w:tc>
        <w:tc>
          <w:tcPr>
            <w:tcW w:w="2077618" w:type="dxa"/>
          </w:tcPr>
          <w:p>
            <w:pPr>
              <w:pStyle w:val="Compact"/>
              <w:bidi/>
            </w:pPr>
            <w:r>
              <w:rPr>
                <w:rtl/>
              </w:rPr>
              <w:t xml:space="preserve">الرياضيات العامة (22)</w:t>
            </w:r>
          </w:p>
        </w:tc>
        <w:tc>
          <w:tcPr>
            <w:tcW w:w="2744507" w:type="dxa"/>
          </w:tcPr>
          <w:p>
            <w:pPr>
              <w:pStyle w:val="Compact"/>
              <w:bidi/>
            </w:pPr>
            <w:r>
              <w:rPr>
                <w:rtl/>
              </w:rPr>
              <w:t xml:space="preserve">الاشتقاق الرياضي لنموذج EOQ وCMUP (الفصل الأول)</w:t>
            </w:r>
          </w:p>
        </w:tc>
      </w:tr>
      <w:tr>
        <w:tc>
          <w:tcPr>
            <w:tcW w:w="487873" w:type="dxa"/>
          </w:tcPr>
          <w:p>
            <w:pPr>
              <w:pStyle w:val="Compact"/>
              <w:bidi/>
            </w:pPr>
            <w:r>
              <w:rPr>
                <w:rtl/>
              </w:rPr>
              <w:t xml:space="preserve">الثاني</w:t>
            </w:r>
          </w:p>
        </w:tc>
        <w:tc>
          <w:tcPr>
            <w:tcW w:w="2077618" w:type="dxa"/>
          </w:tcPr>
          <w:p>
            <w:pPr>
              <w:pStyle w:val="Compact"/>
              <w:bidi/>
            </w:pPr>
            <w:r>
              <w:rPr>
                <w:rtl/>
              </w:rPr>
              <w:t xml:space="preserve">البحث واختيار الموردين (23)</w:t>
            </w:r>
          </w:p>
        </w:tc>
        <w:tc>
          <w:tcPr>
            <w:tcW w:w="2744507" w:type="dxa"/>
          </w:tcPr>
          <w:p>
            <w:pPr>
              <w:pStyle w:val="Compact"/>
              <w:bidi/>
            </w:pPr>
            <w:r>
              <w:rPr>
                <w:rtl/>
              </w:rPr>
              <w:t xml:space="preserve">معايير تقييم الموردين (الفصل الأول، المبحث الخامس)</w:t>
            </w:r>
          </w:p>
        </w:tc>
      </w:tr>
      <w:tr>
        <w:tc>
          <w:tcPr>
            <w:tcW w:w="487873" w:type="dxa"/>
          </w:tcPr>
          <w:p>
            <w:pPr>
              <w:pStyle w:val="Compact"/>
            </w:pPr>
          </w:p>
        </w:tc>
        <w:tc>
          <w:tcPr>
            <w:tcW w:w="2077618" w:type="dxa"/>
          </w:tcPr>
          <w:p>
            <w:pPr>
              <w:pStyle w:val="Compact"/>
              <w:bidi/>
            </w:pPr>
            <w:r>
              <w:rPr>
                <w:rtl/>
              </w:rPr>
              <w:t xml:space="preserve">إعداد ومراقبة أمر الشراء (24)</w:t>
            </w:r>
          </w:p>
        </w:tc>
        <w:tc>
          <w:tcPr>
            <w:tcW w:w="2744507" w:type="dxa"/>
          </w:tcPr>
          <w:p>
            <w:pPr>
              <w:pStyle w:val="Compact"/>
              <w:bidi/>
            </w:pPr>
            <w:r>
              <w:rPr>
                <w:rtl/>
              </w:rPr>
              <w:t xml:space="preserve">الدورة المستندية الكاملة (الفصل الأول، المبحث الثالث)</w:t>
            </w:r>
          </w:p>
        </w:tc>
      </w:tr>
      <w:tr>
        <w:tc>
          <w:tcPr>
            <w:tcW w:w="487873" w:type="dxa"/>
          </w:tcPr>
          <w:p>
            <w:pPr>
              <w:pStyle w:val="Compact"/>
            </w:pPr>
          </w:p>
        </w:tc>
        <w:tc>
          <w:tcPr>
            <w:tcW w:w="2077618" w:type="dxa"/>
          </w:tcPr>
          <w:p>
            <w:pPr>
              <w:pStyle w:val="Compact"/>
              <w:bidi/>
            </w:pPr>
            <w:r>
              <w:rPr>
                <w:rtl/>
              </w:rPr>
              <w:t xml:space="preserve">الحساب التجاري (25)</w:t>
            </w:r>
          </w:p>
        </w:tc>
        <w:tc>
          <w:tcPr>
            <w:tcW w:w="2744507" w:type="dxa"/>
          </w:tcPr>
          <w:p>
            <w:pPr>
              <w:pStyle w:val="Compact"/>
              <w:bidi/>
            </w:pPr>
            <w:r>
              <w:rPr>
                <w:rtl/>
              </w:rPr>
              <w:t xml:space="preserve">حسابات التكلفة الإجمالية، CMUP المتحرك (الفصل الأول)</w:t>
            </w:r>
          </w:p>
        </w:tc>
      </w:tr>
      <w:tr>
        <w:tc>
          <w:tcPr>
            <w:tcW w:w="487873" w:type="dxa"/>
          </w:tcPr>
          <w:p>
            <w:pPr>
              <w:pStyle w:val="Compact"/>
            </w:pPr>
          </w:p>
        </w:tc>
        <w:tc>
          <w:tcPr>
            <w:tcW w:w="2077618" w:type="dxa"/>
          </w:tcPr>
          <w:p>
            <w:pPr>
              <w:pStyle w:val="Compact"/>
              <w:bidi/>
            </w:pPr>
            <w:r>
              <w:rPr>
                <w:rtl/>
              </w:rPr>
              <w:t xml:space="preserve">تطبيق قواعد الصحة والأمن والبيئة (26)</w:t>
            </w:r>
          </w:p>
        </w:tc>
        <w:tc>
          <w:tcPr>
            <w:tcW w:w="2744507" w:type="dxa"/>
          </w:tcPr>
          <w:p>
            <w:pPr>
              <w:pStyle w:val="Compact"/>
              <w:bidi/>
            </w:pPr>
            <w:r>
              <w:rPr>
                <w:rtl/>
              </w:rPr>
              <w:t xml:space="preserve">حماية البيانات، ACID، الصلاحيات (الفصل الثالث)</w:t>
            </w:r>
          </w:p>
        </w:tc>
      </w:tr>
      <w:tr>
        <w:tc>
          <w:tcPr>
            <w:tcW w:w="487873" w:type="dxa"/>
          </w:tcPr>
          <w:p>
            <w:pPr>
              <w:pStyle w:val="Compact"/>
            </w:pPr>
          </w:p>
        </w:tc>
        <w:tc>
          <w:tcPr>
            <w:tcW w:w="2077618" w:type="dxa"/>
          </w:tcPr>
          <w:p>
            <w:pPr>
              <w:pStyle w:val="Compact"/>
              <w:bidi/>
            </w:pPr>
            <w:r>
              <w:rPr>
                <w:rtl/>
              </w:rPr>
              <w:t xml:space="preserve">القانون التجاري (27)</w:t>
            </w:r>
          </w:p>
        </w:tc>
        <w:tc>
          <w:tcPr>
            <w:tcW w:w="2744507" w:type="dxa"/>
          </w:tcPr>
          <w:p>
            <w:pPr>
              <w:pStyle w:val="Compact"/>
              <w:bidi/>
            </w:pPr>
            <w:r>
              <w:rPr>
                <w:rtl/>
              </w:rPr>
              <w:t xml:space="preserve">الصفقات العمومية، المرسوم 15-247 (الفصل الثاني)</w:t>
            </w:r>
          </w:p>
        </w:tc>
      </w:tr>
      <w:tr>
        <w:tc>
          <w:tcPr>
            <w:tcW w:w="487873" w:type="dxa"/>
          </w:tcPr>
          <w:p>
            <w:pPr>
              <w:pStyle w:val="Compact"/>
            </w:pPr>
          </w:p>
        </w:tc>
        <w:tc>
          <w:tcPr>
            <w:tcW w:w="2077618" w:type="dxa"/>
          </w:tcPr>
          <w:p>
            <w:pPr>
              <w:pStyle w:val="Compact"/>
              <w:bidi/>
            </w:pPr>
            <w:r>
              <w:rPr>
                <w:rtl/>
              </w:rPr>
              <w:t xml:space="preserve">الوثائق التجارية (28)</w:t>
            </w:r>
          </w:p>
        </w:tc>
        <w:tc>
          <w:tcPr>
            <w:tcW w:w="2744507" w:type="dxa"/>
          </w:tcPr>
          <w:p>
            <w:pPr>
              <w:pStyle w:val="Compact"/>
              <w:bidi/>
            </w:pPr>
            <w:r>
              <w:rPr>
                <w:rtl/>
              </w:rPr>
              <w:t xml:space="preserve">أوامر الشراء، وصل الاستلام، الفواتير (الفصل الأول)</w:t>
            </w:r>
          </w:p>
        </w:tc>
      </w:tr>
      <w:tr>
        <w:tc>
          <w:tcPr>
            <w:tcW w:w="487873" w:type="dxa"/>
          </w:tcPr>
          <w:p>
            <w:pPr>
              <w:pStyle w:val="Compact"/>
              <w:bidi/>
            </w:pPr>
            <w:r>
              <w:rPr>
                <w:rtl/>
              </w:rPr>
              <w:t xml:space="preserve">الثالث</w:t>
            </w:r>
          </w:p>
        </w:tc>
        <w:tc>
          <w:tcPr>
            <w:tcW w:w="2077618" w:type="dxa"/>
          </w:tcPr>
          <w:p>
            <w:pPr>
              <w:pStyle w:val="Compact"/>
              <w:bidi/>
            </w:pPr>
            <w:r>
              <w:rPr>
                <w:rtl/>
              </w:rPr>
              <w:t xml:space="preserve">تسجيل ومراقبة التوريدات (29)</w:t>
            </w:r>
          </w:p>
        </w:tc>
        <w:tc>
          <w:tcPr>
            <w:tcW w:w="2744507" w:type="dxa"/>
          </w:tcPr>
          <w:p>
            <w:pPr>
              <w:pStyle w:val="Compact"/>
              <w:bidi/>
            </w:pPr>
            <w:r>
              <w:rPr>
                <w:rtl/>
              </w:rPr>
              <w:t xml:space="preserve">سجل الحركات الرقمي، CMUP الآلي (الفصل الثالث)</w:t>
            </w:r>
          </w:p>
        </w:tc>
      </w:tr>
      <w:tr>
        <w:tc>
          <w:tcPr>
            <w:tcW w:w="487873" w:type="dxa"/>
          </w:tcPr>
          <w:p>
            <w:pPr>
              <w:pStyle w:val="Compact"/>
            </w:pPr>
          </w:p>
        </w:tc>
        <w:tc>
          <w:tcPr>
            <w:tcW w:w="2077618" w:type="dxa"/>
          </w:tcPr>
          <w:p>
            <w:pPr>
              <w:pStyle w:val="Compact"/>
              <w:bidi/>
            </w:pPr>
            <w:r>
              <w:rPr>
                <w:rtl/>
              </w:rPr>
              <w:t xml:space="preserve">إجراء الجرد الفعلي (30)</w:t>
            </w:r>
          </w:p>
        </w:tc>
        <w:tc>
          <w:tcPr>
            <w:tcW w:w="2744507" w:type="dxa"/>
          </w:tcPr>
          <w:p>
            <w:pPr>
              <w:pStyle w:val="Compact"/>
              <w:bidi/>
            </w:pPr>
            <w:r>
              <w:rPr>
                <w:rtl/>
              </w:rPr>
              <w:t xml:space="preserve">الجرد الآلي، مقارنة الرصيد الفعلي بالدفتري (الفصل الرابع)</w:t>
            </w:r>
          </w:p>
        </w:tc>
      </w:tr>
      <w:tr>
        <w:tc>
          <w:tcPr>
            <w:tcW w:w="487873" w:type="dxa"/>
          </w:tcPr>
          <w:p>
            <w:pPr>
              <w:pStyle w:val="Compact"/>
            </w:pPr>
          </w:p>
        </w:tc>
        <w:tc>
          <w:tcPr>
            <w:tcW w:w="2077618" w:type="dxa"/>
          </w:tcPr>
          <w:p>
            <w:pPr>
              <w:pStyle w:val="Compact"/>
              <w:bidi/>
            </w:pPr>
            <w:r>
              <w:rPr>
                <w:rtl/>
              </w:rPr>
              <w:t xml:space="preserve">إجراء الجرد المحاسبي (31)</w:t>
            </w:r>
          </w:p>
        </w:tc>
        <w:tc>
          <w:tcPr>
            <w:tcW w:w="2744507" w:type="dxa"/>
          </w:tcPr>
          <w:p>
            <w:pPr>
              <w:pStyle w:val="Compact"/>
              <w:bidi/>
            </w:pPr>
            <w:r>
              <w:rPr>
                <w:rtl/>
              </w:rPr>
              <w:t xml:space="preserve">تقييم المخزون، CMUP، FIFO (الفصل الأول)</w:t>
            </w:r>
          </w:p>
        </w:tc>
      </w:tr>
      <w:tr>
        <w:tc>
          <w:tcPr>
            <w:tcW w:w="487873" w:type="dxa"/>
          </w:tcPr>
          <w:p>
            <w:pPr>
              <w:pStyle w:val="Compact"/>
            </w:pPr>
          </w:p>
        </w:tc>
        <w:tc>
          <w:tcPr>
            <w:tcW w:w="2077618" w:type="dxa"/>
          </w:tcPr>
          <w:p>
            <w:pPr>
              <w:pStyle w:val="Compact"/>
              <w:bidi/>
            </w:pPr>
            <w:r>
              <w:rPr>
                <w:rtl/>
              </w:rPr>
              <w:t xml:space="preserve">دراسة وسائل النقل (32)</w:t>
            </w:r>
          </w:p>
        </w:tc>
        <w:tc>
          <w:tcPr>
            <w:tcW w:w="2744507" w:type="dxa"/>
          </w:tcPr>
          <w:p>
            <w:pPr>
              <w:pStyle w:val="Compact"/>
              <w:bidi/>
            </w:pPr>
            <w:r>
              <w:rPr>
                <w:rtl/>
              </w:rPr>
              <w:t xml:space="preserve">أثر الموقع الجغرافي على سلاسل الإمداد (الفصل الثاني)</w:t>
            </w:r>
          </w:p>
        </w:tc>
      </w:tr>
      <w:tr>
        <w:tc>
          <w:tcPr>
            <w:tcW w:w="487873" w:type="dxa"/>
          </w:tcPr>
          <w:p>
            <w:pPr>
              <w:pStyle w:val="Compact"/>
            </w:pPr>
          </w:p>
        </w:tc>
        <w:tc>
          <w:tcPr>
            <w:tcW w:w="2077618" w:type="dxa"/>
          </w:tcPr>
          <w:p>
            <w:pPr>
              <w:pStyle w:val="Compact"/>
              <w:bidi/>
            </w:pPr>
            <w:r>
              <w:rPr>
                <w:rtl/>
              </w:rPr>
              <w:t xml:space="preserve">تحديد الاحتياجات وعناصر برنامج التوريد (33)</w:t>
            </w:r>
          </w:p>
        </w:tc>
        <w:tc>
          <w:tcPr>
            <w:tcW w:w="2744507" w:type="dxa"/>
          </w:tcPr>
          <w:p>
            <w:pPr>
              <w:pStyle w:val="Compact"/>
              <w:bidi/>
            </w:pPr>
            <w:r>
              <w:rPr>
                <w:rtl/>
              </w:rPr>
              <w:t xml:space="preserve">تقدير D من البيانات الفعلية، ROP الفردي (الفصل الثالث)</w:t>
            </w:r>
          </w:p>
        </w:tc>
      </w:tr>
      <w:tr>
        <w:tc>
          <w:tcPr>
            <w:tcW w:w="487873" w:type="dxa"/>
          </w:tcPr>
          <w:p>
            <w:pPr>
              <w:pStyle w:val="Compact"/>
            </w:pPr>
          </w:p>
        </w:tc>
        <w:tc>
          <w:tcPr>
            <w:tcW w:w="2077618" w:type="dxa"/>
          </w:tcPr>
          <w:p>
            <w:pPr>
              <w:pStyle w:val="Compact"/>
              <w:bidi/>
            </w:pPr>
            <w:r>
              <w:rPr>
                <w:rtl/>
              </w:rPr>
              <w:t xml:space="preserve">الإدارة الفعالة للتوريدات (34)</w:t>
            </w:r>
          </w:p>
        </w:tc>
        <w:tc>
          <w:tcPr>
            <w:tcW w:w="2744507" w:type="dxa"/>
          </w:tcPr>
          <w:p>
            <w:pPr>
              <w:pStyle w:val="Compact"/>
              <w:bidi/>
            </w:pPr>
            <w:r>
              <w:rPr>
                <w:rtl/>
              </w:rPr>
              <w:t xml:space="preserve">محرك الذكاء المحلي، ABC-XYZ (الفصل الثالث)</w:t>
            </w:r>
          </w:p>
        </w:tc>
      </w:tr>
      <w:tr>
        <w:tc>
          <w:tcPr>
            <w:tcW w:w="487873" w:type="dxa"/>
          </w:tcPr>
          <w:p>
            <w:pPr>
              <w:pStyle w:val="Compact"/>
            </w:pPr>
          </w:p>
        </w:tc>
        <w:tc>
          <w:tcPr>
            <w:tcW w:w="2077618" w:type="dxa"/>
          </w:tcPr>
          <w:p>
            <w:pPr>
              <w:pStyle w:val="Compact"/>
              <w:bidi/>
            </w:pPr>
            <w:r>
              <w:rPr>
                <w:rtl/>
              </w:rPr>
              <w:t xml:space="preserve">تقنيات التعبير والتواصل (35)</w:t>
            </w:r>
          </w:p>
        </w:tc>
        <w:tc>
          <w:tcPr>
            <w:tcW w:w="2744507" w:type="dxa"/>
          </w:tcPr>
          <w:p>
            <w:pPr>
              <w:pStyle w:val="Compact"/>
              <w:bidi/>
            </w:pPr>
            <w:r>
              <w:rPr>
                <w:rtl/>
              </w:rPr>
              <w:t xml:space="preserve">واجهة المستخدم، لوحة القيادة (الفصل الرابع)</w:t>
            </w:r>
          </w:p>
        </w:tc>
      </w:tr>
      <w:tr>
        <w:tc>
          <w:tcPr>
            <w:tcW w:w="487873" w:type="dxa"/>
          </w:tcPr>
          <w:p>
            <w:pPr>
              <w:pStyle w:val="Compact"/>
            </w:pPr>
          </w:p>
        </w:tc>
        <w:tc>
          <w:tcPr>
            <w:tcW w:w="2077618" w:type="dxa"/>
          </w:tcPr>
          <w:p>
            <w:pPr>
              <w:pStyle w:val="Compact"/>
              <w:bidi/>
            </w:pPr>
            <w:r>
              <w:rPr>
                <w:rtl/>
              </w:rPr>
              <w:t xml:space="preserve">اقتصاد المؤسسة (36)</w:t>
            </w:r>
          </w:p>
        </w:tc>
        <w:tc>
          <w:tcPr>
            <w:tcW w:w="2744507" w:type="dxa"/>
          </w:tcPr>
          <w:p>
            <w:pPr>
              <w:pStyle w:val="Compact"/>
              <w:bidi/>
            </w:pPr>
            <w:r>
              <w:rPr>
                <w:rtl/>
              </w:rPr>
              <w:t xml:space="preserve">تحليل التكاليف، العائد على الاستثمار (الفصل الرابع)</w:t>
            </w:r>
          </w:p>
        </w:tc>
      </w:tr>
      <w:tr>
        <w:tc>
          <w:tcPr>
            <w:tcW w:w="487873" w:type="dxa"/>
          </w:tcPr>
          <w:p>
            <w:pPr>
              <w:pStyle w:val="Compact"/>
            </w:pPr>
          </w:p>
        </w:tc>
        <w:tc>
          <w:tcPr>
            <w:tcW w:w="2077618" w:type="dxa"/>
          </w:tcPr>
          <w:p>
            <w:pPr>
              <w:pStyle w:val="Compact"/>
              <w:bidi/>
            </w:pPr>
            <w:r>
              <w:rPr>
                <w:rtl/>
              </w:rPr>
              <w:t xml:space="preserve">الإحصاء الوصفي (37)</w:t>
            </w:r>
          </w:p>
        </w:tc>
        <w:tc>
          <w:tcPr>
            <w:tcW w:w="2744507" w:type="dxa"/>
          </w:tcPr>
          <w:p>
            <w:pPr>
              <w:pStyle w:val="Compact"/>
              <w:bidi/>
            </w:pPr>
            <w:r>
              <w:rPr>
                <w:rtl/>
              </w:rPr>
              <w:t xml:space="preserve">معامل التباين CV، تحليل XYZ (الفصل الثاني)</w:t>
            </w:r>
          </w:p>
        </w:tc>
      </w:tr>
      <w:tr>
        <w:tc>
          <w:tcPr>
            <w:tcW w:w="487873" w:type="dxa"/>
          </w:tcPr>
          <w:p>
            <w:pPr>
              <w:pStyle w:val="Compact"/>
              <w:bidi/>
            </w:pPr>
            <w:r>
              <w:rPr>
                <w:rtl/>
              </w:rPr>
              <w:t xml:space="preserve">الرابع</w:t>
            </w:r>
          </w:p>
        </w:tc>
        <w:tc>
          <w:tcPr>
            <w:tcW w:w="2077618" w:type="dxa"/>
          </w:tcPr>
          <w:p>
            <w:pPr>
              <w:pStyle w:val="Compact"/>
              <w:bidi/>
            </w:pPr>
            <w:r>
              <w:rPr>
                <w:rtl/>
              </w:rPr>
              <w:t xml:space="preserve">التخطيط الاستراتيجي للوجستيك (38)</w:t>
            </w:r>
          </w:p>
        </w:tc>
        <w:tc>
          <w:tcPr>
            <w:tcW w:w="2744507" w:type="dxa"/>
          </w:tcPr>
          <w:p>
            <w:pPr>
              <w:pStyle w:val="Compact"/>
              <w:bidi/>
            </w:pPr>
            <w:r>
              <w:rPr>
                <w:rtl/>
              </w:rPr>
              <w:t xml:space="preserve">مصفوفة ABC-XYZ، الاستراتيجيات الموجهة (الفصل الثاني)</w:t>
            </w:r>
          </w:p>
        </w:tc>
      </w:tr>
      <w:tr>
        <w:tc>
          <w:tcPr>
            <w:tcW w:w="487873" w:type="dxa"/>
          </w:tcPr>
          <w:p>
            <w:pPr>
              <w:pStyle w:val="Compact"/>
            </w:pPr>
          </w:p>
        </w:tc>
        <w:tc>
          <w:tcPr>
            <w:tcW w:w="2077618" w:type="dxa"/>
          </w:tcPr>
          <w:p>
            <w:pPr>
              <w:pStyle w:val="Compact"/>
              <w:bidi/>
            </w:pPr>
            <w:r>
              <w:rPr>
                <w:rtl/>
              </w:rPr>
              <w:t xml:space="preserve">التخطيط الاستراتيجي (39)</w:t>
            </w:r>
          </w:p>
        </w:tc>
        <w:tc>
          <w:tcPr>
            <w:tcW w:w="2744507" w:type="dxa"/>
          </w:tcPr>
          <w:p>
            <w:pPr>
              <w:pStyle w:val="Compact"/>
              <w:bidi/>
            </w:pPr>
            <w:r>
              <w:rPr>
                <w:rtl/>
              </w:rPr>
              <w:t xml:space="preserve">توصيات الانتقال نحو قاعدة بيانات Access/Odoo (الفصل الرابع)</w:t>
            </w:r>
          </w:p>
        </w:tc>
      </w:tr>
      <w:tr>
        <w:tc>
          <w:tcPr>
            <w:tcW w:w="487873" w:type="dxa"/>
          </w:tcPr>
          <w:p>
            <w:pPr>
              <w:pStyle w:val="Compact"/>
            </w:pPr>
          </w:p>
        </w:tc>
        <w:tc>
          <w:tcPr>
            <w:tcW w:w="2077618" w:type="dxa"/>
          </w:tcPr>
          <w:p>
            <w:pPr>
              <w:pStyle w:val="Compact"/>
              <w:bidi/>
            </w:pPr>
            <w:r>
              <w:rPr>
                <w:rtl/>
              </w:rPr>
              <w:t xml:space="preserve">تجديد الأمر (40)</w:t>
            </w:r>
          </w:p>
        </w:tc>
        <w:tc>
          <w:tcPr>
            <w:tcW w:w="2744507" w:type="dxa"/>
          </w:tcPr>
          <w:p>
            <w:pPr>
              <w:pStyle w:val="Compact"/>
              <w:bidi/>
            </w:pPr>
            <w:r>
              <w:rPr>
                <w:rtl/>
              </w:rPr>
              <w:t xml:space="preserve">أتمتة ROP، التنبيه الآلي (الفصل الثالث)</w:t>
            </w:r>
          </w:p>
        </w:tc>
      </w:tr>
      <w:tr>
        <w:tc>
          <w:tcPr>
            <w:tcW w:w="487873" w:type="dxa"/>
          </w:tcPr>
          <w:p>
            <w:pPr>
              <w:pStyle w:val="Compact"/>
            </w:pPr>
          </w:p>
        </w:tc>
        <w:tc>
          <w:tcPr>
            <w:tcW w:w="2077618" w:type="dxa"/>
          </w:tcPr>
          <w:p>
            <w:pPr>
              <w:pStyle w:val="Compact"/>
              <w:bidi/>
            </w:pPr>
            <w:r>
              <w:rPr>
                <w:rtl/>
              </w:rPr>
              <w:t xml:space="preserve">المتابعة والتحكم في المواد المسلَّمة (41)</w:t>
            </w:r>
          </w:p>
        </w:tc>
        <w:tc>
          <w:tcPr>
            <w:tcW w:w="2744507" w:type="dxa"/>
          </w:tcPr>
          <w:p>
            <w:pPr>
              <w:pStyle w:val="Compact"/>
              <w:bidi/>
            </w:pPr>
            <w:r>
              <w:rPr>
                <w:rtl/>
              </w:rPr>
              <w:t xml:space="preserve">سلسلة الحراسة السداسية (الفصل الثالث)</w:t>
            </w:r>
          </w:p>
        </w:tc>
      </w:tr>
      <w:tr>
        <w:tc>
          <w:tcPr>
            <w:tcW w:w="487873" w:type="dxa"/>
          </w:tcPr>
          <w:p>
            <w:pPr>
              <w:pStyle w:val="Compact"/>
            </w:pPr>
          </w:p>
        </w:tc>
        <w:tc>
          <w:tcPr>
            <w:tcW w:w="2077618" w:type="dxa"/>
          </w:tcPr>
          <w:p>
            <w:pPr>
              <w:pStyle w:val="Compact"/>
              <w:bidi/>
            </w:pPr>
            <w:r>
              <w:rPr>
                <w:rtl/>
              </w:rPr>
              <w:t xml:space="preserve">تنظيم الوسائل اللوجستيكية (42)</w:t>
            </w:r>
          </w:p>
        </w:tc>
        <w:tc>
          <w:tcPr>
            <w:tcW w:w="2744507" w:type="dxa"/>
          </w:tcPr>
          <w:p>
            <w:pPr>
              <w:pStyle w:val="Compact"/>
              <w:bidi/>
            </w:pPr>
            <w:r>
              <w:rPr>
                <w:rtl/>
              </w:rPr>
              <w:t xml:space="preserve">هندسة أوراق العمل، بنية المستودع (الفصل الثالث)</w:t>
            </w:r>
          </w:p>
        </w:tc>
      </w:tr>
      <w:tr>
        <w:tc>
          <w:tcPr>
            <w:tcW w:w="487873" w:type="dxa"/>
          </w:tcPr>
          <w:p>
            <w:pPr>
              <w:pStyle w:val="Compact"/>
            </w:pPr>
          </w:p>
        </w:tc>
        <w:tc>
          <w:tcPr>
            <w:tcW w:w="2077618" w:type="dxa"/>
          </w:tcPr>
          <w:p>
            <w:pPr>
              <w:pStyle w:val="Compact"/>
              <w:bidi/>
            </w:pPr>
            <w:r>
              <w:rPr>
                <w:rtl/>
              </w:rPr>
              <w:t xml:space="preserve">التسيير الميزانياتي (43)</w:t>
            </w:r>
          </w:p>
        </w:tc>
        <w:tc>
          <w:tcPr>
            <w:tcW w:w="2744507" w:type="dxa"/>
          </w:tcPr>
          <w:p>
            <w:pPr>
              <w:pStyle w:val="Compact"/>
              <w:bidi/>
            </w:pPr>
            <w:r>
              <w:rPr>
                <w:rtl/>
              </w:rPr>
              <w:t xml:space="preserve">تكلفة الطلب S المُستخرجة ميدانياً (الفصل الأول)</w:t>
            </w:r>
          </w:p>
        </w:tc>
      </w:tr>
      <w:tr>
        <w:tc>
          <w:tcPr>
            <w:tcW w:w="487873" w:type="dxa"/>
          </w:tcPr>
          <w:p>
            <w:pPr>
              <w:pStyle w:val="Compact"/>
            </w:pPr>
          </w:p>
        </w:tc>
        <w:tc>
          <w:tcPr>
            <w:tcW w:w="2077618" w:type="dxa"/>
          </w:tcPr>
          <w:p>
            <w:pPr>
              <w:pStyle w:val="Compact"/>
              <w:bidi/>
            </w:pPr>
            <w:r>
              <w:rPr>
                <w:rtl/>
              </w:rPr>
              <w:t xml:space="preserve">الإنجليزية التجارية (44)</w:t>
            </w:r>
          </w:p>
        </w:tc>
        <w:tc>
          <w:tcPr>
            <w:tcW w:w="2744507" w:type="dxa"/>
          </w:tcPr>
          <w:p>
            <w:pPr>
              <w:pStyle w:val="Compact"/>
              <w:bidi/>
            </w:pPr>
            <w:r>
              <w:rPr>
                <w:rtl/>
              </w:rPr>
              <w:t xml:space="preserve">الملخص الإنجليزي Résumé</w:t>
            </w:r>
          </w:p>
        </w:tc>
      </w:tr>
      <w:tr>
        <w:tc>
          <w:tcPr>
            <w:tcW w:w="487873" w:type="dxa"/>
          </w:tcPr>
          <w:p>
            <w:pPr>
              <w:pStyle w:val="Compact"/>
            </w:pPr>
          </w:p>
        </w:tc>
        <w:tc>
          <w:tcPr>
            <w:tcW w:w="2077618" w:type="dxa"/>
          </w:tcPr>
          <w:p>
            <w:pPr>
              <w:pStyle w:val="Compact"/>
              <w:bidi/>
            </w:pPr>
            <w:r>
              <w:rPr>
                <w:rtl/>
              </w:rPr>
              <w:t xml:space="preserve">تنظيم المواد (45)</w:t>
            </w:r>
          </w:p>
        </w:tc>
        <w:tc>
          <w:tcPr>
            <w:tcW w:w="2744507" w:type="dxa"/>
          </w:tcPr>
          <w:p>
            <w:pPr>
              <w:pStyle w:val="Compact"/>
              <w:bidi/>
            </w:pPr>
            <w:r>
              <w:rPr>
                <w:rtl/>
              </w:rPr>
              <w:t xml:space="preserve">تصنيف ABC، ترميز الأصناف ART-001→ART-012 (الفصل الثاني)</w:t>
            </w:r>
          </w:p>
        </w:tc>
      </w:tr>
      <w:tr>
        <w:tc>
          <w:tcPr>
            <w:tcW w:w="487873" w:type="dxa"/>
          </w:tcPr>
          <w:p>
            <w:pPr>
              <w:pStyle w:val="Compact"/>
            </w:pPr>
          </w:p>
        </w:tc>
        <w:tc>
          <w:tcPr>
            <w:tcW w:w="2077618" w:type="dxa"/>
          </w:tcPr>
          <w:p>
            <w:pPr>
              <w:pStyle w:val="Compact"/>
              <w:bidi/>
            </w:pPr>
            <w:r>
              <w:rPr>
                <w:rtl/>
              </w:rPr>
              <w:t xml:space="preserve">المنهجية (46)</w:t>
            </w:r>
          </w:p>
        </w:tc>
        <w:tc>
          <w:tcPr>
            <w:tcW w:w="2744507" w:type="dxa"/>
          </w:tcPr>
          <w:p>
            <w:pPr>
              <w:pStyle w:val="Compact"/>
              <w:bidi/>
            </w:pPr>
            <w:r>
              <w:rPr>
                <w:rtl/>
              </w:rPr>
              <w:t xml:space="preserve">المنهج الوصفي التحليلي + التجريبي التطبيقي (المقدمة)</w:t>
            </w:r>
          </w:p>
        </w:tc>
      </w:tr>
      <w:tr>
        <w:tc>
          <w:tcPr>
            <w:tcW w:w="487873" w:type="dxa"/>
          </w:tcPr>
          <w:p>
            <w:pPr>
              <w:pStyle w:val="Compact"/>
            </w:pPr>
          </w:p>
        </w:tc>
        <w:tc>
          <w:tcPr>
            <w:tcW w:w="2077618" w:type="dxa"/>
          </w:tcPr>
          <w:p>
            <w:pPr>
              <w:pStyle w:val="Compact"/>
              <w:bidi/>
            </w:pPr>
            <w:r>
              <w:rPr>
                <w:rtl/>
              </w:rPr>
              <w:t xml:space="preserve">المعجم اللوجستيكي (47)</w:t>
            </w:r>
          </w:p>
        </w:tc>
        <w:tc>
          <w:tcPr>
            <w:tcW w:w="2744507" w:type="dxa"/>
          </w:tcPr>
          <w:p>
            <w:pPr>
              <w:pStyle w:val="Compact"/>
              <w:bidi/>
            </w:pPr>
            <w:r>
              <w:rPr>
                <w:rtl/>
              </w:rPr>
              <w:t xml:space="preserve">جدول المختصرات والرموز التقنية (خاتمة المذكرة)</w:t>
            </w:r>
          </w:p>
        </w:tc>
      </w:tr>
    </w:tbl>
    <w:bookmarkEnd w:id="19"/>
    <w:bookmarkEnd w:id="20"/>
    <w:bookmarkStart w:id="51" w:name="Xdded5c7f65391e1348f873ece249db48d441899"/>
    <w:p>
      <w:pPr>
        <w:pStyle w:val="Heading1"/>
        <w:bidi/>
      </w:pPr>
      <w:r>
        <w:rPr>
          <w:b/>
          <w:sz w:val="44"/>
          <w:rtl/>
        </w:rPr>
        <w:t xml:space="preserve">الفصل الأول: الإطار النظري للتسيير اللوجيستي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28" w:name="X948e1094553a531d6db6f4893473d29311c3135"/>
    <w:p>
      <w:pPr>
        <w:pStyle w:val="Heading2"/>
        <w:bidi/>
      </w:pPr>
      <w:r>
        <w:rPr>
          <w:b/>
          <w:sz w:val="36"/>
          <w:rtl/>
        </w:rPr>
        <w:t xml:space="preserve">المبحث الأول: المفاهيم الأساسية للتسيير اللوجيستي</w:t>
      </w:r>
    </w:p>
    <w:bookmarkStart w:id="22" w:name="X247cbabf78344c01f65d8fa3842cf79ae40a79e"/>
    <w:p>
      <w:pPr>
        <w:pStyle w:val="Heading3"/>
        <w:bidi/>
      </w:pPr>
      <w:r>
        <w:rPr>
          <w:b/>
          <w:sz w:val="32"/>
          <w:rtl/>
        </w:rPr>
        <w:t xml:space="preserve">1. مفهوم التسيير اللوجيستي (Logistics Management)</w:t>
      </w:r>
    </w:p>
    <w:p>
      <w:pPr>
        <w:bidi/>
        <w:spacing w:line="360" w:lineRule="auto"/>
        <w:jc w:val="right"/>
      </w:pPr>
      <w:r>
        <w:rPr>
          <w:rFonts w:ascii="Traditional Arabic" w:hAnsi="Traditional Arabic"/>
          <w:sz w:val="28"/>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Fonts w:ascii="Traditional Arabic" w:hAnsi="Traditional Arabic"/>
          <w:sz w:val="28"/>
          <w:rtl/>
        </w:rPr>
        <w:t xml:space="preserve"> </w:t>
      </w:r>
      <w:r>
        <w:rPr>
          <w:rFonts w:ascii="Traditional Arabic" w:hAnsi="Traditional Arabic"/>
          <w:sz w:val="28"/>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Fonts w:ascii="Traditional Arabic" w:hAnsi="Traditional Arabic"/>
          <w:sz w:val="28"/>
          <w:rtl/>
        </w:rPr>
        <w:t xml:space="preserve"> </w:t>
      </w:r>
      <w:r>
        <w:rPr>
          <w:rStyle w:val="FootnoteReference"/>
          <w:rFonts w:ascii="Traditional Arabic" w:hAnsi="Traditional Arabic"/>
          <w:sz w:val="28"/>
        </w:rPr>
        <w:footnoteReference w:id="21"/>
      </w:r>
      <w:r>
        <w:rPr>
          <w:rFonts w:ascii="Traditional Arabic" w:hAnsi="Traditional Arabic"/>
          <w:sz w:val="28"/>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2"/>
    <w:bookmarkStart w:id="24" w:name="X78f649da7f72f06c121a511f1800ef6cecef41e"/>
    <w:p>
      <w:pPr>
        <w:pStyle w:val="Heading3"/>
        <w:bidi/>
      </w:pPr>
      <w:r>
        <w:rPr>
          <w:b/>
          <w:sz w:val="32"/>
          <w:rtl/>
        </w:rPr>
        <w:t xml:space="preserve">2. إدارة سلسلة التوريد (Supply Chain Management - SCM)</w:t>
      </w:r>
    </w:p>
    <w:p>
      <w:pPr>
        <w:bidi/>
        <w:spacing w:line="360" w:lineRule="auto"/>
        <w:jc w:val="right"/>
      </w:pPr>
      <w:r>
        <w:rPr>
          <w:rFonts w:ascii="Traditional Arabic" w:hAnsi="Traditional Arabic"/>
          <w:sz w:val="28"/>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Fonts w:ascii="Traditional Arabic" w:hAnsi="Traditional Arabic"/>
          <w:sz w:val="28"/>
          <w:rtl/>
        </w:rPr>
        <w:t xml:space="preserve"> </w:t>
      </w:r>
      <w:r>
        <w:rPr>
          <w:rFonts w:ascii="Traditional Arabic" w:hAnsi="Traditional Arabic"/>
          <w:sz w:val="28"/>
          <w:rtl/>
        </w:rPr>
        <w:t xml:space="preserve">“Global Supply Chain Forum”</w:t>
      </w:r>
      <w:r>
        <w:rPr>
          <w:rFonts w:ascii="Traditional Arabic" w:hAnsi="Traditional Arabic"/>
          <w:sz w:val="28"/>
          <w:rtl/>
        </w:rPr>
        <w:t xml:space="preserve"> </w:t>
      </w:r>
      <w:r>
        <w:rPr>
          <w:rFonts w:ascii="Traditional Arabic" w:hAnsi="Traditional Arabic"/>
          <w:sz w:val="28"/>
          <w:rtl/>
        </w:rPr>
        <w:t xml:space="preserve">(GSCF)، تُعرَّف SCM بأنها:</w:t>
      </w:r>
      <w:r>
        <w:rPr>
          <w:rFonts w:ascii="Traditional Arabic" w:hAnsi="Traditional Arabic"/>
          <w:sz w:val="28"/>
          <w:rtl/>
        </w:rPr>
        <w:t xml:space="preserve"> </w:t>
      </w:r>
      <w:r>
        <w:rPr>
          <w:rFonts w:ascii="Traditional Arabic" w:hAnsi="Traditional Arabic"/>
          <w:sz w:val="28"/>
          <w:rtl/>
        </w:rPr>
        <w:t xml:space="preserve">“تكامل العمليات التجارية الرئيسية عبر امتداد سلسلة التوريد، بهدف خلق قيمة للزبائن وأصحاب المصلحة”</w:t>
      </w:r>
      <w:r>
        <w:rPr>
          <w:rFonts w:ascii="Traditional Arabic" w:hAnsi="Traditional Arabic"/>
          <w:sz w:val="28"/>
          <w:rtl/>
        </w:rPr>
        <w:t xml:space="preserve">. وقد طوّر الباحثان Cooper &amp; Lambert (2000) نموذج GSCF الذي يُحدد 8 عمليات رئيسية في SCM</w:t>
      </w:r>
      <w:r>
        <w:rPr>
          <w:rFonts w:ascii="Traditional Arabic" w:hAnsi="Traditional Arabic"/>
          <w:sz w:val="28"/>
          <w:rtl/>
        </w:rPr>
        <w:t xml:space="preserve"> </w:t>
      </w:r>
      <w:r>
        <w:rPr>
          <w:rStyle w:val="FootnoteReference"/>
          <w:rFonts w:ascii="Traditional Arabic" w:hAnsi="Traditional Arabic"/>
          <w:sz w:val="28"/>
        </w:rPr>
        <w:footnoteReference w:id="23"/>
      </w:r>
      <w:r>
        <w:rPr>
          <w:rFonts w:ascii="Traditional Arabic" w:hAnsi="Traditional Arabic"/>
          <w:sz w:val="28"/>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4"/>
    <w:bookmarkStart w:id="27" w:name="دور-المستودعات-وتصنيفها"/>
    <w:p>
      <w:pPr>
        <w:pStyle w:val="Heading3"/>
        <w:bidi/>
      </w:pPr>
      <w:r>
        <w:rPr>
          <w:b/>
          <w:sz w:val="32"/>
          <w:rtl/>
        </w:rPr>
        <w:t xml:space="preserve">3. دور المستودعات وتصنيفها</w:t>
      </w:r>
    </w:p>
    <w:p>
      <w:pPr>
        <w:bidi/>
        <w:spacing w:line="360" w:lineRule="auto"/>
        <w:jc w:val="right"/>
      </w:pPr>
      <w:r>
        <w:rPr>
          <w:rFonts w:ascii="Traditional Arabic" w:hAnsi="Traditional Arabic"/>
          <w:sz w:val="28"/>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Fonts w:ascii="Traditional Arabic" w:hAnsi="Traditional Arabic"/>
          <w:sz w:val="28"/>
          <w:rtl/>
        </w:rPr>
        <w:t xml:space="preserve"> </w:t>
      </w:r>
      <w:r>
        <w:rPr>
          <w:rStyle w:val="FootnoteReference"/>
          <w:rFonts w:ascii="Traditional Arabic" w:hAnsi="Traditional Arabic"/>
          <w:sz w:val="28"/>
        </w:rPr>
        <w:footnoteReference w:id="25"/>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تجميع الشحنات: تجميع كميات صغيرة من موردين مختلفين في شحنة واحدة موحدة لتقليل تكاليف النقل وتحسين مردودية وسائل الشحن.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تجزئة الشحنات: تفكيك الشحنات الكبيرة الواردة إلى وحدات أصغر تتناسب مع احتياجات المستهلكين النهائيين أو الوحدات الداخلية.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الحماية والتأمين: الحفاظ على سلامة المخزون من التلف المادي أو الضياع أو السرقة، وضمان ظروف تخزين ملائمة (حرارة، رطوبة، تهوية).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Fonts w:ascii="Traditional Arabic" w:hAnsi="Traditional Arabic"/>
          <w:b/>
          <w:bCs/>
          <w:sz w:val="28"/>
          <w:rtl/>
        </w:rPr>
        <w:t xml:space="preserve"> </w:t>
      </w:r>
      <w:r>
        <w:rPr>
          <w:rStyle w:val="FootnoteReference"/>
          <w:rFonts w:ascii="Traditional Arabic" w:hAnsi="Traditional Arabic"/>
          <w:sz w:val="28"/>
        </w:rPr>
        <w:footnoteReference w:id="26"/>
      </w:r>
      <w:r>
        <w:rPr>
          <w:rFonts w:ascii="Traditional Arabic" w:hAnsi="Traditional Arabic"/>
          <w:b/>
          <w:bCs/>
          <w:sz w:val="28"/>
          <w:rtl/>
        </w:rPr>
        <w:t xml:space="preserve">.</w:t>
      </w:r>
    </w:p>
    <w:bookmarkEnd w:id="27"/>
    <w:bookmarkEnd w:id="28"/>
    <w:bookmarkStart w:id="34" w:name="Xb98e67e6d1739a4d79f518326bb9bac61b25523"/>
    <w:p>
      <w:pPr>
        <w:pStyle w:val="Heading2"/>
        <w:bidi/>
      </w:pPr>
      <w:r>
        <w:rPr>
          <w:b/>
          <w:sz w:val="36"/>
          <w:rtl/>
        </w:rPr>
        <w:t xml:space="preserve">المبحث الثاني: تسيير المخزونات في القطاع العام</w:t>
      </w:r>
    </w:p>
    <w:bookmarkStart w:id="29" w:name="X4346af033012f584f0f53ef9c9230c3d59e87ac"/>
    <w:p>
      <w:pPr>
        <w:pStyle w:val="Heading3"/>
        <w:bidi/>
      </w:pPr>
      <w:r>
        <w:rPr>
          <w:b/>
          <w:sz w:val="32"/>
          <w:rtl/>
        </w:rPr>
        <w:t xml:space="preserve">أولاً: تعريف المخزون وأهميته في المؤسسة العمومية</w:t>
      </w:r>
    </w:p>
    <w:p>
      <w:pPr>
        <w:bidi/>
        <w:spacing w:line="360" w:lineRule="auto"/>
        <w:jc w:val="right"/>
      </w:pPr>
      <w:r>
        <w:rPr>
          <w:rFonts w:ascii="Traditional Arabic" w:hAnsi="Traditional Arabic"/>
          <w:sz w:val="28"/>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29"/>
    <w:bookmarkStart w:id="30" w:name="ثانيا-أهمية-تسيير-المخزون"/>
    <w:p>
      <w:pPr>
        <w:pStyle w:val="Heading3"/>
        <w:bidi/>
      </w:pPr>
      <w:r>
        <w:rPr>
          <w:b/>
          <w:sz w:val="32"/>
          <w:rtl/>
        </w:rPr>
        <w:t xml:space="preserve">ثانياً: أهمية تسيير المخزون</w:t>
      </w:r>
    </w:p>
    <w:p>
      <w:pPr>
        <w:bidi/>
        <w:spacing w:line="360" w:lineRule="auto"/>
        <w:jc w:val="right"/>
      </w:pPr>
      <w:r>
        <w:rPr>
          <w:rFonts w:ascii="Traditional Arabic" w:hAnsi="Traditional Arabic"/>
          <w:sz w:val="28"/>
          <w:rtl/>
        </w:rPr>
        <w:t xml:space="preserve">تبرز أهمية تسيير المخزون من خلال أربع وظائف استراتيجية متكاملة تتفاعل فيما بينها لتشكل منظومة الإدارة المخزنية: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rFonts w:ascii="Traditional Arabic" w:hAnsi="Traditional Arabic"/>
          <w:b/>
          <w:bCs/>
          <w:sz w:val="28"/>
          <w:rtl/>
        </w:rPr>
        <w:t xml:space="preserve"> </w:t>
      </w:r>
      <w:r>
        <w:rPr>
          <w:rFonts w:ascii="Traditional Arabic" w:hAnsi="Traditional Arabic"/>
          <w:b/>
          <w:bCs/>
          <w:sz w:val="28"/>
          <w:rtl/>
        </w:rPr>
        <w:t xml:space="preserve">“نقطة التوازن”</w:t>
      </w:r>
      <w:r>
        <w:rPr>
          <w:rFonts w:ascii="Traditional Arabic" w:hAnsi="Traditional Arabic"/>
          <w:b/>
          <w:bCs/>
          <w:sz w:val="28"/>
          <w:rtl/>
        </w:rPr>
        <w:t xml:space="preserve"> </w:t>
      </w:r>
      <w:r>
        <w:rPr>
          <w:rFonts w:ascii="Traditional Arabic" w:hAnsi="Traditional Arabic"/>
          <w:b/>
          <w:bCs/>
          <w:sz w:val="28"/>
          <w:rtl/>
        </w:rPr>
        <w:t xml:space="preserve">بين هاتين الظاهرتين، وهو ما تُحققه النماذج الكمية التي ستُعرض لاحقاً في هذا الفصل.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0"/>
    <w:bookmarkStart w:id="33" w:name="ثالثا-الإطار-التنظيمي-الجزائري"/>
    <w:p>
      <w:pPr>
        <w:pStyle w:val="Heading3"/>
        <w:bidi/>
      </w:pPr>
      <w:r>
        <w:rPr>
          <w:b/>
          <w:sz w:val="32"/>
          <w:rtl/>
        </w:rPr>
        <w:t xml:space="preserve">ثالثاً: الإطار التنظيمي الجزائري</w:t>
      </w:r>
    </w:p>
    <w:p>
      <w:pPr>
        <w:bidi/>
        <w:spacing w:line="360" w:lineRule="auto"/>
        <w:jc w:val="right"/>
      </w:pPr>
      <w:r>
        <w:rPr>
          <w:rFonts w:ascii="Traditional Arabic" w:hAnsi="Traditional Arabic"/>
          <w:b/>
          <w:bCs/>
          <w:sz w:val="28"/>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rFonts w:ascii="Traditional Arabic" w:hAnsi="Traditional Arabic"/>
          <w:b/>
          <w:bCs/>
          <w:sz w:val="28"/>
          <w:rtl/>
        </w:rPr>
        <w:t xml:space="preserve"> </w:t>
      </w:r>
      <w:r>
        <w:rPr>
          <w:rStyle w:val="FootnoteReference"/>
          <w:rFonts w:ascii="Traditional Arabic" w:hAnsi="Traditional Arabic"/>
          <w:sz w:val="28"/>
        </w:rPr>
        <w:footnoteReference w:id="31"/>
      </w:r>
      <w:r>
        <w:rPr>
          <w:rFonts w:ascii="Traditional Arabic" w:hAnsi="Traditional Arabic"/>
          <w:b/>
          <w:bCs/>
          <w:sz w:val="28"/>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المالية المُسبقة: تخضع جميع عمليات الشراء التي تتجاوز عتبة مالية معيّنة (محددة سنوياً في قانون المالية) لرقابة</w:t>
      </w:r>
      <w:r>
        <w:rPr>
          <w:rFonts w:ascii="Traditional Arabic" w:hAnsi="Traditional Arabic"/>
          <w:b/>
          <w:bCs/>
          <w:sz w:val="28"/>
          <w:rtl/>
        </w:rPr>
        <w:t xml:space="preserve"> </w:t>
      </w:r>
      <w:r>
        <w:rPr>
          <w:rFonts w:ascii="Traditional Arabic" w:hAnsi="Traditional Arabic"/>
          <w:b/>
          <w:bCs/>
          <w:sz w:val="28"/>
          <w:rtl/>
        </w:rPr>
        <w:t xml:space="preserve">“المراقب المالي”</w:t>
      </w:r>
      <w:r>
        <w:rPr>
          <w:rFonts w:ascii="Traditional Arabic" w:hAnsi="Traditional Arabic"/>
          <w:b/>
          <w:bCs/>
          <w:sz w:val="28"/>
          <w:rtl/>
        </w:rPr>
        <w:t xml:space="preserve"> </w:t>
      </w:r>
      <w:r>
        <w:rPr>
          <w:rFonts w:ascii="Traditional Arabic" w:hAnsi="Traditional Arabic"/>
          <w:b/>
          <w:bCs/>
          <w:sz w:val="28"/>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rFonts w:ascii="Traditional Arabic" w:hAnsi="Traditional Arabic"/>
          <w:b/>
          <w:bCs/>
          <w:sz w:val="28"/>
          <w:rtl/>
        </w:rPr>
        <w:t xml:space="preserve"> </w:t>
      </w:r>
      <w:r>
        <w:rPr>
          <w:rFonts w:ascii="Traditional Arabic" w:hAnsi="Traditional Arabic"/>
          <w:b/>
          <w:bCs/>
          <w:sz w:val="28"/>
          <w:rtl/>
        </w:rPr>
        <w:t xml:space="preserve">“سلسلة التوثيق”</w:t>
      </w:r>
      <w:r>
        <w:rPr>
          <w:rFonts w:ascii="Traditional Arabic" w:hAnsi="Traditional Arabic"/>
          <w:b/>
          <w:bCs/>
          <w:sz w:val="28"/>
          <w:rtl/>
        </w:rPr>
        <w:t xml:space="preserve"> </w:t>
      </w:r>
      <w:r>
        <w:rPr>
          <w:rFonts w:ascii="Traditional Arabic" w:hAnsi="Traditional Arabic"/>
          <w:b/>
          <w:bCs/>
          <w:sz w:val="28"/>
          <w:rtl/>
        </w:rPr>
        <w:t xml:space="preserve">(Documentation Chain) التي تُمكّن أجهزة الرقابة من تتبع مسار كل دينار 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rFonts w:ascii="Traditional Arabic" w:hAnsi="Traditional Arabic"/>
          <w:b/>
          <w:bCs/>
          <w:sz w:val="28"/>
          <w:rtl/>
        </w:rPr>
        <w:t xml:space="preserve"> </w:t>
      </w:r>
      <w:r>
        <w:rPr>
          <w:rStyle w:val="FootnoteReference"/>
          <w:rFonts w:ascii="Traditional Arabic" w:hAnsi="Traditional Arabic"/>
          <w:sz w:val="28"/>
        </w:rPr>
        <w:footnoteReference w:id="32"/>
      </w:r>
      <w:r>
        <w:rPr>
          <w:rFonts w:ascii="Traditional Arabic" w:hAnsi="Traditional Arabic"/>
          <w:b/>
          <w:bCs/>
          <w:sz w:val="28"/>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3"/>
    <w:bookmarkEnd w:id="34"/>
    <w:bookmarkStart w:id="39" w:name="X0b33a1787aeef4eb8491627c0fcc2828f98e578"/>
    <w:p>
      <w:pPr>
        <w:pStyle w:val="Heading2"/>
        <w:bidi/>
      </w:pPr>
      <w:r>
        <w:rPr>
          <w:b/>
          <w:sz w:val="36"/>
          <w:rtl/>
        </w:rPr>
        <w:t xml:space="preserve">المبحث الثالث: إدارة الشراء والدورة المستندية</w:t>
      </w:r>
    </w:p>
    <w:bookmarkStart w:id="36" w:name="وظيفة-الشراء-procurement-function"/>
    <w:p>
      <w:pPr>
        <w:pStyle w:val="Heading3"/>
        <w:bidi/>
      </w:pPr>
      <w:r>
        <w:rPr>
          <w:b/>
          <w:sz w:val="32"/>
          <w:rtl/>
        </w:rPr>
        <w:t xml:space="preserve">1. وظيفة الشراء (Procurement Function)</w:t>
      </w:r>
    </w:p>
    <w:p>
      <w:pPr>
        <w:bidi/>
        <w:spacing w:line="360" w:lineRule="auto"/>
        <w:jc w:val="right"/>
      </w:pPr>
      <w:r>
        <w:rPr>
          <w:rFonts w:ascii="Traditional Arabic" w:hAnsi="Traditional Arabic"/>
          <w:b/>
          <w:bCs/>
          <w:sz w:val="28"/>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rFonts w:ascii="Traditional Arabic" w:hAnsi="Traditional Arabic"/>
          <w:b/>
          <w:bCs/>
          <w:sz w:val="28"/>
          <w:rtl/>
        </w:rPr>
        <w:t xml:space="preserve"> </w:t>
      </w:r>
      <w:r>
        <w:rPr>
          <w:rFonts w:ascii="Traditional Arabic" w:hAnsi="Traditional Arabic"/>
          <w:b/>
          <w:bCs/>
          <w:sz w:val="28"/>
          <w:rtl/>
        </w:rPr>
        <w:t xml:space="preserve">“الخمسة الصحيحة”</w:t>
      </w:r>
      <w:r>
        <w:rPr>
          <w:rFonts w:ascii="Traditional Arabic" w:hAnsi="Traditional Arabic"/>
          <w:b/>
          <w:bCs/>
          <w:sz w:val="28"/>
          <w:rtl/>
        </w:rPr>
        <w:t xml:space="preserve"> </w:t>
      </w:r>
      <w:r>
        <w:rPr>
          <w:rFonts w:ascii="Traditional Arabic" w:hAnsi="Traditional Arabic"/>
          <w:b/>
          <w:bCs/>
          <w:sz w:val="28"/>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Fonts w:ascii="Traditional Arabic" w:hAnsi="Traditional Arabic"/>
          <w:b/>
          <w:bCs/>
          <w:sz w:val="28"/>
          <w:rtl/>
        </w:rPr>
        <w:t xml:space="preserve"> </w:t>
      </w:r>
      <w:r>
        <w:rPr>
          <w:rStyle w:val="FootnoteReference"/>
          <w:rFonts w:ascii="Traditional Arabic" w:hAnsi="Traditional Arabic"/>
          <w:sz w:val="28"/>
        </w:rPr>
        <w:footnoteReference w:id="35"/>
      </w:r>
      <w:r>
        <w:rPr>
          <w:rFonts w:ascii="Traditional Arabic" w:hAnsi="Traditional Arabic"/>
          <w:b/>
          <w:bCs/>
          <w:sz w:val="28"/>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6"/>
    <w:bookmarkStart w:id="37" w:name="الدورة-المستندية-في-الإدارة-العمومية"/>
    <w:p>
      <w:pPr>
        <w:pStyle w:val="Heading3"/>
        <w:bidi/>
      </w:pPr>
      <w:r>
        <w:rPr>
          <w:b/>
          <w:sz w:val="32"/>
          <w:rtl/>
        </w:rPr>
        <w:t xml:space="preserve">2. الدورة المستندية في الإدارة العمومية</w:t>
      </w:r>
    </w:p>
    <w:p>
      <w:pPr>
        <w:bidi/>
        <w:spacing w:line="360" w:lineRule="auto"/>
        <w:jc w:val="right"/>
      </w:pPr>
      <w:r>
        <w:rPr>
          <w:rFonts w:ascii="Traditional Arabic" w:hAnsi="Traditional Arabic"/>
          <w:sz w:val="28"/>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استشارة الموردين: يتم التواصل مع ثلاثة موردين على الأقل (وفقاً لمبدأ المنافسة) لطلب عروض الأسعار والمواصفات الفنية.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وصل الاستلام: عند وصول السلع إلى المستودع، يتم فحصها كمياً ونوعياً ومطابقتها لأمر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7"/>
    <w:bookmarkStart w:id="38" w:name="التكامل-بين-الشراء-والتخزين"/>
    <w:p>
      <w:pPr>
        <w:pStyle w:val="Heading3"/>
        <w:bidi/>
      </w:pPr>
      <w:r>
        <w:rPr>
          <w:b/>
          <w:sz w:val="32"/>
          <w:rtl/>
        </w:rPr>
        <w:t xml:space="preserve">3. التكامل بين الشراء والتخزين</w:t>
      </w:r>
    </w:p>
    <w:p>
      <w:pPr>
        <w:bidi/>
        <w:spacing w:line="360" w:lineRule="auto"/>
        <w:jc w:val="right"/>
      </w:pPr>
      <w:r>
        <w:rPr>
          <w:rFonts w:ascii="Traditional Arabic" w:hAnsi="Traditional Arabic"/>
          <w:sz w:val="28"/>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Fonts w:ascii="Traditional Arabic" w:hAnsi="Traditional Arabic"/>
          <w:sz w:val="28"/>
          <w:rtl/>
        </w:rPr>
        <w:t xml:space="preserve"> </w:t>
      </w:r>
      <w:r>
        <w:rPr>
          <w:rFonts w:ascii="Traditional Arabic" w:hAnsi="Traditional Arabic"/>
          <w:sz w:val="28"/>
          <w:rtl/>
        </w:rPr>
        <w:t xml:space="preserve">“ثقوب سوداء”</w:t>
      </w:r>
      <w:r>
        <w:rPr>
          <w:rFonts w:ascii="Traditional Arabic" w:hAnsi="Traditional Arabic"/>
          <w:sz w:val="28"/>
          <w:rtl/>
        </w:rPr>
        <w:t xml:space="preserve"> </w:t>
      </w:r>
      <w:r>
        <w:rPr>
          <w:rFonts w:ascii="Traditional Arabic" w:hAnsi="Traditional Arabic"/>
          <w:sz w:val="28"/>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38"/>
    <w:bookmarkEnd w:id="39"/>
    <w:bookmarkStart w:id="46" w:name="Xe71e4b4fd93dee69f233a0223a30763675d81f6"/>
    <w:p>
      <w:pPr>
        <w:pStyle w:val="Heading2"/>
        <w:bidi/>
      </w:pPr>
      <w:r>
        <w:rPr>
          <w:b/>
          <w:sz w:val="36"/>
          <w:rtl/>
        </w:rPr>
        <w:t xml:space="preserve">المبحث الرابع: أدوات التقييم المحاسبي للمخزون</w:t>
      </w:r>
    </w:p>
    <w:bookmarkStart w:id="41" w:name="أولا-تحليل-abc"/>
    <w:p>
      <w:pPr>
        <w:pStyle w:val="Heading3"/>
        <w:bidi/>
      </w:pPr>
      <w:r>
        <w:rPr>
          <w:b/>
          <w:sz w:val="32"/>
          <w:rtl/>
        </w:rPr>
        <w:t xml:space="preserve">أولاً: تحليل ABC</w:t>
      </w:r>
    </w:p>
    <w:p>
      <w:pPr>
        <w:bidi/>
        <w:spacing w:line="360" w:lineRule="auto"/>
        <w:jc w:val="right"/>
      </w:pPr>
      <w:r>
        <w:rPr>
          <w:rFonts w:ascii="Traditional Arabic" w:hAnsi="Traditional Arabic"/>
          <w:sz w:val="28"/>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Fonts w:ascii="Traditional Arabic" w:hAnsi="Traditional Arabic"/>
          <w:b/>
          <w:bCs/>
          <w:sz w:val="28"/>
          <w:rtl/>
        </w:rPr>
        <w:t xml:space="preserve"> </w:t>
      </w:r>
      <w:r>
        <w:rPr>
          <w:rStyle w:val="FootnoteReference"/>
          <w:rFonts w:ascii="Traditional Arabic" w:hAnsi="Traditional Arabic"/>
          <w:sz w:val="28"/>
        </w:rPr>
        <w:footnoteReference w:id="40"/>
      </w:r>
      <w:r>
        <w:rPr>
          <w:rFonts w:ascii="Traditional Arabic" w:hAnsi="Traditional Arabic"/>
          <w:b/>
          <w:bCs/>
          <w:sz w:val="28"/>
          <w:rtl/>
        </w:rPr>
        <w:t xml:space="preserve">.</w:t>
      </w:r>
    </w:p>
    <w:bookmarkEnd w:id="41"/>
    <w:bookmarkStart w:id="43" w:name="X44798d37eec6a2af9f8be4fa3f7a1f92b208602"/>
    <w:p>
      <w:pPr>
        <w:pStyle w:val="Heading3"/>
        <w:bidi/>
      </w:pPr>
      <w:r>
        <w:rPr>
          <w:b/>
          <w:sz w:val="32"/>
          <w:rtl/>
        </w:rPr>
        <w:t xml:space="preserve">ثانياً: نموذج ويلسون للكمية الاقتصادية للطلب</w:t>
      </w:r>
    </w:p>
    <w:p>
      <w:pPr>
        <w:bidi/>
        <w:spacing w:line="360" w:lineRule="auto"/>
        <w:jc w:val="right"/>
      </w:pPr>
      <w:r>
        <w:rPr>
          <w:rFonts w:ascii="Traditional Arabic" w:hAnsi="Traditional Arabic"/>
          <w:b/>
          <w:bCs/>
          <w:sz w:val="28"/>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Fonts w:ascii="Traditional Arabic" w:hAnsi="Traditional Arabic"/>
          <w:b/>
          <w:bCs/>
          <w:sz w:val="28"/>
          <w:rtl/>
        </w:rPr>
        <w:t xml:space="preserve"> </w:t>
      </w:r>
      <w:r>
        <w:rPr>
          <w:rStyle w:val="FootnoteReference"/>
          <w:rFonts w:ascii="Traditional Arabic" w:hAnsi="Traditional Arabic"/>
          <w:sz w:val="28"/>
        </w:rPr>
        <w:footnoteReference w:id="42"/>
      </w:r>
      <w:r>
        <w:rPr>
          <w:rFonts w:ascii="Traditional Arabic" w:hAnsi="Traditional Arabic"/>
          <w:b/>
          <w:bCs/>
          <w:sz w:val="28"/>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spacing w:line="360" w:lineRule="auto"/>
        <w:jc w:val="right"/>
      </w:pPr>
      <w:r>
        <w:rPr>
          <w:rFonts w:ascii="Traditional Arabic" w:hAnsi="Traditional Arabic"/>
          <w:sz w:val="28"/>
          <w:rtl/>
        </w:rPr>
        <w:t xml:space="preserve">حيث: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TC: التكلفة الإجمالية السنوية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 الطلب السنوي (وحدة/سنة)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Q: كمية الطلب (متغير القرار)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S: تكلفة إصدار الطلبية الواحدة (دج)</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I: معدل الاحتفاظ بالمخزون السنوي (%)</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spacing w:line="360" w:lineRule="auto"/>
        <w:jc w:val="right"/>
      </w:pPr>
      <w:r>
        <w:rPr>
          <w:rFonts w:ascii="Traditional Arabic" w:hAnsi="Traditional Arabic"/>
          <w:sz w:val="28"/>
          <w:rtl/>
        </w:rPr>
        <w:t xml:space="preserve">ومنه:</w:t>
      </w:r>
    </w:p>
    <w:p>
      <w:pPr>
        <w:numPr>
          <w:ilvl w:val="0"/>
          <w:numId w:val="1001"/>
        </w:numPr>
        <w:bidi/>
        <w:spacing w:line="360" w:lineRule="auto"/>
        <w:jc w:val="right"/>
      </w:pPr>
      <w:r>
        <w:rPr>
          <w:rFonts w:ascii="Traditional Arabic" w:hAnsi="Traditional Arabic"/>
          <w:b/>
          <w:bCs/>
          <w:sz w:val="28"/>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spacing w:line="360" w:lineRule="auto"/>
        <w:jc w:val="right"/>
      </w:pPr>
      <w:r>
        <w:rPr>
          <w:rFonts w:ascii="Traditional Arabic" w:hAnsi="Traditional Arabic"/>
          <w:sz w:val="28"/>
          <w:rtl/>
        </w:rPr>
        <w:t xml:space="preserve">تكون التكلفة الإجمالية الدنيا عند هذه الكمية:</w:t>
      </w:r>
    </w:p>
    <w:p>
      <w:pPr>
        <w:numPr>
          <w:ilvl w:val="0"/>
          <w:numId w:val="1001"/>
        </w:numPr>
        <w:bidi/>
        <w:spacing w:line="360" w:lineRule="auto"/>
        <w:jc w:val="right"/>
      </w:pPr>
      <w:r>
        <w:rPr>
          <w:rFonts w:ascii="Traditional Arabic" w:hAnsi="Traditional Arabic"/>
          <w:b/>
          <w:bCs/>
          <w:sz w:val="28"/>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spacing w:line="360" w:lineRule="auto"/>
        <w:jc w:val="right"/>
      </w:pPr>
      <w:r>
        <w:rPr>
          <w:rFonts w:ascii="Traditional Arabic" w:hAnsi="Traditional Arabic"/>
          <w:sz w:val="28"/>
          <w:rtl/>
        </w:rPr>
        <w:t xml:space="preserve">وهذا يعني أنه يجب تقديم طلبية واحدة كل 365/9 ≈ 40 يوماً، وهو تردد معقول مقارنة بأجال التموين في مؤسسات القطاع العام.</w:t>
      </w:r>
    </w:p>
    <w:bookmarkEnd w:id="43"/>
    <w:bookmarkStart w:id="44" w:name="ثالثا-نقطة-إعادة-الطلب-ومخزون-الأمان"/>
    <w:p>
      <w:pPr>
        <w:pStyle w:val="Heading3"/>
        <w:bidi/>
      </w:pPr>
      <w:r>
        <w:rPr>
          <w:b/>
          <w:sz w:val="32"/>
          <w:rtl/>
        </w:rPr>
        <w:t xml:space="preserve">ثالثاً: نقطة إعادة الطلب ومخزون الأمان</w:t>
      </w:r>
    </w:p>
    <w:p>
      <w:pPr>
        <w:bidi/>
        <w:spacing w:line="360" w:lineRule="auto"/>
        <w:jc w:val="right"/>
      </w:pPr>
      <w:r>
        <w:rPr>
          <w:rFonts w:ascii="Traditional Arabic" w:hAnsi="Traditional Arabic"/>
          <w:b/>
          <w:bCs/>
          <w:sz w:val="28"/>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spacing w:line="360" w:lineRule="auto"/>
        <w:jc w:val="right"/>
      </w:pPr>
      <w:r>
        <w:rPr>
          <w:rFonts w:ascii="Traditional Arabic" w:hAnsi="Traditional Arabic"/>
          <w:b/>
          <w:bCs/>
          <w:sz w:val="28"/>
          <w:rtl/>
        </w:rPr>
        <w:t xml:space="preserve">نقطة إعادة الطلب = (الاستهلاك اليومي × أجل التسليم) + مخزون الأمان</w:t>
      </w:r>
      <w:r>
        <w:rPr>
          <w:rFonts w:ascii="Traditional Arabic" w:hAnsi="Traditional Arabic"/>
          <w:sz w:val="28"/>
          <w:rtl/>
        </w:rPr>
        <w:t xml:space="preserve"> </w:t>
      </w:r>
      <w:r>
        <w:rPr>
          <w:rFonts w:ascii="Traditional Arabic" w:hAnsi="Traditional Arabic"/>
          <w:sz w:val="28"/>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4"/>
    <w:bookmarkStart w:id="45" w:name="رابعا-طرق-تقييم-المخزون"/>
    <w:p>
      <w:pPr>
        <w:pStyle w:val="Heading3"/>
        <w:bidi/>
      </w:pPr>
      <w:r>
        <w:rPr>
          <w:b/>
          <w:sz w:val="32"/>
          <w:rtl/>
        </w:rPr>
        <w:t xml:space="preserve">رابعاً: طرق تقييم المخزون</w:t>
      </w:r>
    </w:p>
    <w:p>
      <w:pPr>
        <w:bidi/>
        <w:spacing w:line="360" w:lineRule="auto"/>
        <w:jc w:val="right"/>
      </w:pPr>
      <w:r>
        <w:rPr>
          <w:rFonts w:ascii="Traditional Arabic" w:hAnsi="Traditional Arabic"/>
          <w:sz w:val="28"/>
          <w:rtl/>
        </w:rPr>
        <w:t xml:space="preserve">تتعدد الطرق المحاسبية لتقييم قيمة الوحدات الخارجة من المخزون، وأبرزها: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FIFO (أول دخول أول خروج): تعتمد على إخراج الوحدات الأقدم أولاً. تُناسب المواد القابلة للتلف.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spacing w:line="360" w:lineRule="auto"/>
        <w:jc w:val="right"/>
      </w:pPr>
      <w:r>
        <w:rPr>
          <w:rFonts w:ascii="Traditional Arabic" w:hAnsi="Traditional Arabic"/>
          <w:b/>
          <w:bCs/>
          <w:sz w:val="28"/>
          <w:rtl/>
        </w:rPr>
        <w:t xml:space="preserve">CMUP = (قيمة الرصيد قبل الدخول + قيمة الدخول) ÷ (كمية الرصيد قبل الدخول + كمية الدخول)</w:t>
      </w:r>
      <w:r>
        <w:rPr>
          <w:rFonts w:ascii="Traditional Arabic" w:hAnsi="Traditional Arabic"/>
          <w:sz w:val="28"/>
          <w:rtl/>
        </w:rPr>
        <w:t xml:space="preserve">**</w:t>
      </w:r>
    </w:p>
    <w:bookmarkEnd w:id="45"/>
    <w:bookmarkEnd w:id="46"/>
    <w:bookmarkStart w:id="50" w:name="المبحث-الخامس-تقييم-الموردين-ومفهوم-erp"/>
    <w:p>
      <w:pPr>
        <w:pStyle w:val="Heading2"/>
        <w:bidi/>
      </w:pPr>
      <w:r>
        <w:rPr>
          <w:b/>
          <w:sz w:val="36"/>
          <w:rtl/>
        </w:rPr>
        <w:t xml:space="preserve">المبحث الخامس: تقييم الموردين ومفهوم ERP</w:t>
      </w:r>
    </w:p>
    <w:bookmarkStart w:id="47" w:name="تقييم-الموردين-supplier-evaluation"/>
    <w:p>
      <w:pPr>
        <w:pStyle w:val="Heading3"/>
        <w:bidi/>
      </w:pPr>
      <w:r>
        <w:rPr>
          <w:b/>
          <w:sz w:val="32"/>
          <w:rtl/>
        </w:rPr>
        <w:t xml:space="preserve">1. تقييم الموردين (Supplier Evaluation)</w:t>
      </w:r>
    </w:p>
    <w:p>
      <w:pPr>
        <w:bidi/>
        <w:spacing w:line="360" w:lineRule="auto"/>
        <w:jc w:val="right"/>
      </w:pPr>
      <w:r>
        <w:rPr>
          <w:rFonts w:ascii="Traditional Arabic" w:hAnsi="Traditional Arabic"/>
          <w:sz w:val="28"/>
          <w:rtl/>
        </w:rPr>
        <w:t xml:space="preserve">لضمان استمرارية التزويد بجودة عالية، يجب على المؤسسة اعتماد نظام دوري لتقييم الموردين بناءً على معايير موضوعية، أهمها: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الجودة (Quality): مدى مطابقة المواد الموردة للمواصفات التقنية المطلوبة.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الالتزام بالآجال : القدرة على تسليم الطلبيات في المواعيد المتفق عليها.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التنافسية السعرية (Pricing): موازنة السعر مع القيمة والجودة المقدمة.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الموثوقية والخدمة (Reliability &amp; Service): سرعة الاستجابة للمشاكل، ومرونة التعامل، وتقديم الدعم الفني إذا لزم الأمر.</w:t>
      </w:r>
    </w:p>
    <w:bookmarkEnd w:id="47"/>
    <w:bookmarkStart w:id="49" w:name="Xb68060b29c3c1e1f393cce9f99a443e0fc48320"/>
    <w:p>
      <w:pPr>
        <w:pStyle w:val="Heading3"/>
        <w:bidi/>
      </w:pPr>
      <w:r>
        <w:rPr>
          <w:b/>
          <w:sz w:val="32"/>
          <w:rtl/>
        </w:rPr>
        <w:t xml:space="preserve">2. مفهوم الأنظمة المندمجة (ERP - Enterprise Resource Planning)</w:t>
      </w:r>
    </w:p>
    <w:p>
      <w:pPr>
        <w:bidi/>
        <w:spacing w:line="360" w:lineRule="auto"/>
        <w:jc w:val="right"/>
      </w:pPr>
      <w:r>
        <w:rPr>
          <w:rFonts w:ascii="Traditional Arabic" w:hAnsi="Traditional Arabic"/>
          <w:b/>
          <w:bCs/>
          <w:sz w:val="28"/>
          <w:rtl/>
        </w:rPr>
        <w:t xml:space="preserve">تُمثل الأنظمة المندمجة الجيل الحديث من البرمجيات الإدارية</w:t>
      </w:r>
      <w:r>
        <w:rPr>
          <w:rFonts w:ascii="Traditional Arabic" w:hAnsi="Traditional Arabic"/>
          <w:b/>
          <w:bCs/>
          <w:sz w:val="28"/>
          <w:rtl/>
        </w:rPr>
        <w:t xml:space="preserve"> </w:t>
      </w:r>
      <w:r>
        <w:rPr>
          <w:rStyle w:val="FootnoteReference"/>
          <w:rFonts w:ascii="Traditional Arabic" w:hAnsi="Traditional Arabic"/>
          <w:sz w:val="28"/>
        </w:rPr>
        <w:footnoteReference w:id="48"/>
      </w:r>
      <w:r>
        <w:rPr>
          <w:rFonts w:ascii="Traditional Arabic" w:hAnsi="Traditional Arabic"/>
          <w:b/>
          <w:bCs/>
          <w:sz w:val="28"/>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البيانات (Data Integrity): القضاء على تضارب المعلومات بين المصالح المختلفة (مثلاً: مطابقة رصيد المستودع مع الرصيد المحاسبي تلقائياً).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السرعة والفاعلية: توفير معلومات آنية (Real-time) تدعم اتخاذ القرارات السريعة.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الرقابة والشفافية: تسهيل عمليات التدقيق من خلال تتبع مسار كل عملية (Audit Trail) من الطلب إلى الدفع.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spacing w:line="360" w:lineRule="auto"/>
        <w:jc w:val="right"/>
      </w:pPr>
      <w:r>
        <w:rPr>
          <w:rFonts w:ascii="Traditional Arabic" w:hAnsi="Traditional Arabic"/>
          <w:b/>
          <w:bCs/>
          <w:sz w:val="28"/>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49"/>
    <w:bookmarkEnd w:id="50"/>
    <w:bookmarkEnd w:id="51"/>
    <w:bookmarkStart w:id="99" w:name="Xfd09630af81a064bb869de4cc3333972b7b71f8"/>
    <w:p>
      <w:pPr>
        <w:pStyle w:val="Heading1"/>
        <w:bidi/>
      </w:pPr>
      <w:r>
        <w:rPr>
          <w:b/>
          <w:sz w:val="44"/>
          <w:rtl/>
        </w:rPr>
        <w:t xml:space="preserve">الفصل الثاني: الإطار العملي والتشخيص الميداني</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4" w:name="Xd96d29689cd7b7c28a53e63cb30434c1b4e42ae"/>
    <w:p>
      <w:pPr>
        <w:pStyle w:val="Heading2"/>
        <w:bidi/>
      </w:pPr>
      <w:r>
        <w:rPr>
          <w:b/>
          <w:sz w:val="36"/>
          <w:rtl/>
        </w:rPr>
        <w:t xml:space="preserve">المبحث الأول: النماذج الرياضية للتسيير الكمي للمخزون</w:t>
      </w:r>
    </w:p>
    <w:p>
      <w:pPr>
        <w:bidi/>
        <w:spacing w:line="360" w:lineRule="auto"/>
        <w:jc w:val="right"/>
      </w:pPr>
      <w:r>
        <w:rPr>
          <w:rFonts w:ascii="Traditional Arabic" w:hAnsi="Traditional Arabic"/>
          <w:sz w:val="28"/>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59" w:name="Xfd010b0e6ec43a71a31832c4aa57c4a1ebd67ff"/>
    <w:p>
      <w:pPr>
        <w:pStyle w:val="Heading3"/>
        <w:bidi/>
      </w:pPr>
      <w:r>
        <w:rPr>
          <w:b/>
          <w:sz w:val="32"/>
          <w:rtl/>
        </w:rPr>
        <w:t xml:space="preserve">المطلب الأول: نموذج ويلسون للكمية الاقتصادية للطلب</w:t>
      </w:r>
    </w:p>
    <w:bookmarkStart w:id="54" w:name="أولا-الإطار-المرجعي-للنموذج"/>
    <w:p>
      <w:pPr>
        <w:pStyle w:val="Heading4"/>
        <w:bidi/>
      </w:pPr>
      <w:r>
        <w:rPr>
          <w:rtl/>
        </w:rPr>
        <w:t xml:space="preserve">أولاً: الإطار المرجعي للنموذج</w:t>
      </w:r>
    </w:p>
    <w:p>
      <w:pPr>
        <w:bidi/>
        <w:spacing w:line="360" w:lineRule="auto"/>
        <w:jc w:val="right"/>
      </w:pPr>
      <w:r>
        <w:rPr>
          <w:rFonts w:ascii="Traditional Arabic" w:hAnsi="Traditional Arabic"/>
          <w:sz w:val="28"/>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Fonts w:ascii="Traditional Arabic" w:hAnsi="Traditional Arabic"/>
          <w:sz w:val="28"/>
          <w:rtl/>
        </w:rPr>
        <w:t xml:space="preserve"> </w:t>
      </w:r>
      <w:r>
        <w:rPr>
          <w:rStyle w:val="FootnoteReference"/>
          <w:rFonts w:ascii="Traditional Arabic" w:hAnsi="Traditional Arabic"/>
          <w:sz w:val="28"/>
        </w:rPr>
        <w:footnoteReference w:id="52"/>
      </w:r>
    </w:p>
    <w:p>
      <w:pPr>
        <w:bidi/>
        <w:spacing w:line="360" w:lineRule="auto"/>
        <w:jc w:val="right"/>
      </w:pPr>
      <w:r>
        <w:rPr>
          <w:rFonts w:ascii="Traditional Arabic" w:hAnsi="Traditional Arabic"/>
          <w:sz w:val="28"/>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Fonts w:ascii="Traditional Arabic" w:hAnsi="Traditional Arabic"/>
          <w:sz w:val="28"/>
          <w:rtl/>
        </w:rPr>
        <w:t xml:space="preserve"> </w:t>
      </w:r>
      <w:r>
        <w:rPr>
          <w:rStyle w:val="FootnoteReference"/>
          <w:rFonts w:ascii="Traditional Arabic" w:hAnsi="Traditional Arabic"/>
          <w:sz w:val="28"/>
        </w:rPr>
        <w:footnoteReference w:id="53"/>
      </w:r>
    </w:p>
    <w:bookmarkEnd w:id="54"/>
    <w:bookmarkStart w:id="56" w:name="ثانيا-التطبيق-على-الصنف-المرجعي-art-001"/>
    <w:p>
      <w:pPr>
        <w:pStyle w:val="Heading4"/>
        <w:bidi/>
      </w:pPr>
      <w:r>
        <w:rPr>
          <w:rtl/>
        </w:rPr>
        <w:t xml:space="preserve">ثانياً: التطبيق على الصنف المرجعي ART-001</w:t>
      </w:r>
    </w:p>
    <w:p>
      <w:pPr>
        <w:bidi/>
        <w:spacing w:line="360" w:lineRule="auto"/>
        <w:jc w:val="right"/>
      </w:pPr>
      <w:r>
        <w:rPr>
          <w:rFonts w:ascii="Traditional Arabic" w:hAnsi="Traditional Arabic"/>
          <w:b/>
          <w:bCs/>
          <w:sz w:val="28"/>
          <w:rtl/>
        </w:rPr>
        <w:t xml:space="preserve">استُخرجت البيانات التالية ميدانياً من سجلات مصلحة المخازن خلال 38 يوم عمل، ومن وثائق مصلحة الميزانية:</w:t>
      </w:r>
      <w:r>
        <w:rPr>
          <w:rFonts w:ascii="Traditional Arabic" w:hAnsi="Traditional Arabic"/>
          <w:b/>
          <w:bCs/>
          <w:sz w:val="28"/>
          <w:rtl/>
        </w:rPr>
        <w:t xml:space="preserve"> </w:t>
      </w:r>
      <w:r>
        <w:rPr>
          <w:rStyle w:val="FootnoteReference"/>
          <w:rFonts w:ascii="Traditional Arabic" w:hAnsi="Traditional Arabic"/>
          <w:sz w:val="28"/>
        </w:rPr>
        <w:footnoteReference w:id="55"/>
      </w:r>
      <w:r>
        <w:rPr>
          <w:rFonts w:ascii="Traditional Arabic" w:hAnsi="Traditional Arabic"/>
          <w:sz w:val="28"/>
          <w:rtl/>
        </w:rPr>
        <w:t xml:space="preserve"> </w:t>
      </w:r>
      <w:r>
        <w:rPr>
          <w:rFonts w:ascii="Traditional Arabic" w:hAnsi="Traditional Arabic"/>
          <w:b/>
          <w:bCs/>
          <w:sz w:val="28"/>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pPr>
            <w:r>
              <w:rPr>
                <w:rtl/>
              </w:rPr>
              <w:t xml:space="preserve">المُعامل</w:t>
            </w:r>
          </w:p>
        </w:tc>
        <w:tc>
          <w:tcPr>
            <w:tcW w:w="1253873" w:type="dxa"/>
          </w:tcPr>
          <w:p>
            <w:pPr>
              <w:pStyle w:val="Compact"/>
              <w:bidi/>
            </w:pPr>
            <w:r>
              <w:rPr>
                <w:rtl/>
              </w:rPr>
              <w:t xml:space="preserve">القيمة الميدانية</w:t>
            </w:r>
          </w:p>
        </w:tc>
        <w:tc>
          <w:tcPr>
            <w:tcW w:w="2396193" w:type="dxa"/>
          </w:tcPr>
          <w:p>
            <w:pPr>
              <w:pStyle w:val="Compact"/>
              <w:bidi/>
            </w:pPr>
            <w:r>
              <w:rPr>
                <w:rtl/>
              </w:rPr>
              <w:t xml:space="preserve">المصدر</w:t>
            </w:r>
          </w:p>
        </w:tc>
      </w:tr>
      <w:tr>
        <w:tc>
          <w:tcPr>
            <w:tcW w:w="1659932" w:type="dxa"/>
          </w:tcPr>
          <w:p>
            <w:pPr>
              <w:pStyle w:val="Compact"/>
              <w:bidi/>
            </w:pPr>
            <w:r>
              <w:rPr>
                <w:rtl/>
              </w:rPr>
              <w:t xml:space="preserve">الطلب السنوي (D)</w:t>
            </w:r>
          </w:p>
        </w:tc>
        <w:tc>
          <w:tcPr>
            <w:tcW w:w="1253873" w:type="dxa"/>
          </w:tcPr>
          <w:p>
            <w:pPr>
              <w:pStyle w:val="Compact"/>
              <w:bidi/>
            </w:pPr>
            <w:r>
              <w:rPr>
                <w:rtl/>
              </w:rPr>
              <w:t xml:space="preserve">789 وحدة</w:t>
            </w:r>
          </w:p>
        </w:tc>
        <w:tc>
          <w:tcPr>
            <w:tcW w:w="2396193" w:type="dxa"/>
          </w:tcPr>
          <w:p>
            <w:pPr>
              <w:pStyle w:val="Compact"/>
              <w:bidi/>
            </w:pPr>
            <w:r>
              <w:rPr>
                <w:rtl/>
              </w:rPr>
              <w:t xml:space="preserve">جرد فعلي + إسقاط سنوي</w:t>
            </w:r>
          </w:p>
        </w:tc>
      </w:tr>
      <w:tr>
        <w:tc>
          <w:tcPr>
            <w:tcW w:w="1659932" w:type="dxa"/>
          </w:tcPr>
          <w:p>
            <w:pPr>
              <w:pStyle w:val="Compact"/>
              <w:bidi/>
            </w:pPr>
            <w:r>
              <w:rPr>
                <w:rtl/>
              </w:rPr>
              <w:t xml:space="preserve">تكلفة إصدار الطلبية (S)</w:t>
            </w:r>
          </w:p>
        </w:tc>
        <w:tc>
          <w:tcPr>
            <w:tcW w:w="1253873" w:type="dxa"/>
          </w:tcPr>
          <w:p>
            <w:pPr>
              <w:pStyle w:val="Compact"/>
              <w:bidi/>
            </w:pPr>
            <w:r>
              <w:rPr>
                <w:rtl/>
              </w:rPr>
              <w:t xml:space="preserve">801.45 دج</w:t>
            </w:r>
          </w:p>
        </w:tc>
        <w:tc>
          <w:tcPr>
            <w:tcW w:w="2396193" w:type="dxa"/>
          </w:tcPr>
          <w:p>
            <w:pPr>
              <w:pStyle w:val="Compact"/>
              <w:bidi/>
            </w:pPr>
            <w:r>
              <w:rPr>
                <w:rtl/>
              </w:rPr>
              <w:t xml:space="preserve">تحليل التكاليف الإدارية الفعلية</w:t>
            </w:r>
          </w:p>
        </w:tc>
      </w:tr>
      <w:tr>
        <w:tc>
          <w:tcPr>
            <w:tcW w:w="1659932" w:type="dxa"/>
          </w:tcPr>
          <w:p>
            <w:pPr>
              <w:pStyle w:val="Compact"/>
              <w:bidi/>
            </w:pPr>
            <w:r>
              <w:rPr>
                <w:rtl/>
              </w:rPr>
              <w:t xml:space="preserve">سعر الوحدة (PU)</w:t>
            </w:r>
          </w:p>
        </w:tc>
        <w:tc>
          <w:tcPr>
            <w:tcW w:w="1253873" w:type="dxa"/>
          </w:tcPr>
          <w:p>
            <w:pPr>
              <w:pStyle w:val="Compact"/>
              <w:bidi/>
            </w:pPr>
            <w:r>
              <w:rPr>
                <w:rtl/>
              </w:rPr>
              <w:t xml:space="preserve">4,500 دج</w:t>
            </w:r>
          </w:p>
        </w:tc>
        <w:tc>
          <w:tcPr>
            <w:tcW w:w="2396193" w:type="dxa"/>
          </w:tcPr>
          <w:p>
            <w:pPr>
              <w:pStyle w:val="Compact"/>
              <w:bidi/>
            </w:pPr>
            <w:r>
              <w:rPr>
                <w:rtl/>
              </w:rPr>
              <w:t xml:space="preserve">فاتورة ENAP الجزائر</w:t>
            </w:r>
          </w:p>
        </w:tc>
      </w:tr>
      <w:tr>
        <w:tc>
          <w:tcPr>
            <w:tcW w:w="1659932" w:type="dxa"/>
          </w:tcPr>
          <w:p>
            <w:pPr>
              <w:pStyle w:val="Compact"/>
              <w:bidi/>
            </w:pPr>
            <w:r>
              <w:rPr>
                <w:rtl/>
              </w:rPr>
              <w:t xml:space="preserve">معدل الاحتفاظ (I)</w:t>
            </w:r>
          </w:p>
        </w:tc>
        <w:tc>
          <w:tcPr>
            <w:tcW w:w="1253873" w:type="dxa"/>
          </w:tcPr>
          <w:p>
            <w:pPr>
              <w:pStyle w:val="Compact"/>
              <w:bidi/>
            </w:pPr>
            <w:r>
              <w:rPr>
                <w:rtl/>
              </w:rPr>
              <w:t xml:space="preserve">20%</w:t>
            </w:r>
          </w:p>
        </w:tc>
        <w:tc>
          <w:tcPr>
            <w:tcW w:w="2396193" w:type="dxa"/>
          </w:tcPr>
          <w:p>
            <w:pPr>
              <w:pStyle w:val="Compact"/>
              <w:bidi/>
            </w:pPr>
            <w:r>
              <w:rPr>
                <w:rtl/>
              </w:rPr>
              <w:t xml:space="preserve">معيار CNEPD للقطاع العمومي</w:t>
            </w:r>
          </w:p>
        </w:tc>
      </w:tr>
    </w:tbl>
    <w:p>
      <w:pPr>
        <w:bidi/>
        <w:spacing w:line="360" w:lineRule="auto"/>
        <w:jc w:val="right"/>
      </w:pPr>
      <w:r>
        <w:rPr>
          <w:rFonts w:ascii="Traditional Arabic" w:hAnsi="Traditional Arabic"/>
          <w:sz w:val="28"/>
          <w:rtl/>
        </w:rPr>
        <w:t xml:space="preserve">بتطبيق المعادلة:</w:t>
      </w:r>
    </w:p>
    <w:bookmarkEnd w:id="56"/>
    <w:bookmarkStart w:id="57" w:name="ثالثا-التحقق-من-التوازن-الرياضي-المثالي"/>
    <w:p>
      <w:pPr>
        <w:pStyle w:val="Heading4"/>
        <w:bidi/>
      </w:pPr>
      <w:r>
        <w:rPr>
          <w:rtl/>
        </w:rPr>
        <w:t xml:space="preserve">ثالثاً: التحقق من التوازن الرياضي المثالي</w:t>
      </w:r>
    </w:p>
    <w:p>
      <w:pPr>
        <w:bidi/>
        <w:spacing w:line="360" w:lineRule="auto"/>
        <w:jc w:val="right"/>
      </w:pPr>
      <w:r>
        <w:rPr>
          <w:rFonts w:ascii="Traditional Arabic" w:hAnsi="Traditional Arabic"/>
          <w:sz w:val="28"/>
          <w:rtl/>
        </w:rPr>
        <w:t xml:space="preserve">التكلفة الإجمالية عند الكمية المثلى Q* = 37:</w:t>
      </w:r>
    </w:p>
    <w:p>
      <w:pPr>
        <w:bidi/>
        <w:spacing w:line="360" w:lineRule="auto"/>
        <w:jc w:val="right"/>
      </w:pPr>
      <w:r>
        <w:rPr>
          <w:rFonts w:ascii="Traditional Arabic" w:hAnsi="Traditional Arabic"/>
          <w:sz w:val="28"/>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7"/>
    <w:bookmarkStart w:id="58" w:name="رابعا-نقطة-إعادة-الطلب-ومخزون-الأمان"/>
    <w:p>
      <w:pPr>
        <w:pStyle w:val="Heading4"/>
        <w:bidi/>
      </w:pPr>
      <w:r>
        <w:rPr>
          <w:rtl/>
        </w:rPr>
        <w:t xml:space="preserve">رابعاً: نقطة إعادة الطلب ومخزون الأمان</w:t>
      </w:r>
    </w:p>
    <w:p>
      <w:pPr>
        <w:bidi/>
        <w:spacing w:line="360" w:lineRule="auto"/>
        <w:jc w:val="right"/>
      </w:pPr>
      <w:r>
        <w:rPr>
          <w:rFonts w:ascii="Traditional Arabic" w:hAnsi="Traditional Arabic"/>
          <w:sz w:val="28"/>
          <w:rtl/>
        </w:rPr>
        <w:t xml:space="preserve">لا يكتمل النموذج دون تحديد المستوى الحرج للمخزون الذي عنده تُصدَر الطلبية التالية:</w:t>
      </w:r>
    </w:p>
    <w:p>
      <w:pPr>
        <w:bidi/>
        <w:spacing w:line="360" w:lineRule="auto"/>
        <w:jc w:val="right"/>
      </w:pPr>
      <w:r>
        <w:rPr>
          <w:rFonts w:ascii="Traditional Arabic" w:hAnsi="Traditional Arabic"/>
          <w:b/>
          <w:bCs/>
          <w:sz w:val="28"/>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58"/>
    <w:bookmarkEnd w:id="59"/>
    <w:bookmarkStart w:id="62" w:name="X52ea18e5737fce8615e1c3ca4723e15512be477"/>
    <w:p>
      <w:pPr>
        <w:pStyle w:val="Heading3"/>
        <w:bidi/>
      </w:pPr>
      <w:r>
        <w:rPr>
          <w:b/>
          <w:sz w:val="32"/>
          <w:rtl/>
        </w:rPr>
        <w:t xml:space="preserve">المطلب الثاني: تحليل ABC وتطبيقه على مخزون المديرية</w:t>
      </w:r>
    </w:p>
    <w:bookmarkStart w:id="60" w:name="أولا-منهجية-التصنيف-ومعاييره-الكمية"/>
    <w:p>
      <w:pPr>
        <w:pStyle w:val="Heading4"/>
        <w:bidi/>
      </w:pPr>
      <w:r>
        <w:rPr>
          <w:rtl/>
        </w:rPr>
        <w:t xml:space="preserve">أولاً: منهجية التصنيف ومعاييره الكمية</w:t>
      </w:r>
    </w:p>
    <w:p>
      <w:pPr>
        <w:bidi/>
        <w:spacing w:line="360" w:lineRule="auto"/>
        <w:jc w:val="right"/>
      </w:pPr>
      <w:r>
        <w:rPr>
          <w:rFonts w:ascii="Traditional Arabic" w:hAnsi="Traditional Arabic"/>
          <w:sz w:val="28"/>
          <w:rtl/>
        </w:rPr>
        <w:t xml:space="preserve">يصنف تحليل ABC المخزون حسب القيمة الاستهلاكية السنوية، وفق مبدأ باريتو. تُحسب القيمة لكل صنف:</w:t>
      </w:r>
    </w:p>
    <w:p>
      <w:pPr>
        <w:bidi/>
        <w:spacing w:line="360" w:lineRule="auto"/>
        <w:jc w:val="right"/>
      </w:pPr>
      <w:r>
        <w:rPr>
          <w:rFonts w:ascii="Traditional Arabic" w:hAnsi="Traditional Arabic"/>
          <w:sz w:val="28"/>
          <w:rtl/>
        </w:rPr>
        <w:t xml:space="preserve">ثم تُرتَّب الأصناف تنازلياً ويُحسب الوزن التراكمي:</w:t>
      </w:r>
      <w:r>
        <w:rPr>
          <w:rFonts w:ascii="Traditional Arabic" w:hAnsi="Traditional Arabic"/>
          <w:sz w:val="28"/>
          <w:rtl/>
        </w:rPr>
        <w:t xml:space="preserve"> </w:t>
      </w:r>
      <w:r>
        <w:rPr>
          <w:rFonts w:ascii="Traditional Arabic" w:hAnsi="Traditional Arabic"/>
          <w:b/>
          <w:bCs/>
          <w:sz w:val="28"/>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pPr>
            <w:r>
              <w:rPr>
                <w:rtl/>
              </w:rPr>
              <w:t xml:space="preserve">الفئة</w:t>
            </w:r>
          </w:p>
        </w:tc>
        <w:tc>
          <w:tcPr>
            <w:tcW w:w="988481" w:type="dxa"/>
          </w:tcPr>
          <w:p>
            <w:pPr>
              <w:pStyle w:val="Compact"/>
              <w:bidi/>
            </w:pPr>
            <w:r>
              <w:rPr>
                <w:rtl/>
              </w:rPr>
              <w:t xml:space="preserve">نسبة الأصناف</w:t>
            </w:r>
          </w:p>
        </w:tc>
        <w:tc>
          <w:tcPr>
            <w:tcW w:w="903349" w:type="dxa"/>
          </w:tcPr>
          <w:p>
            <w:pPr>
              <w:pStyle w:val="Compact"/>
              <w:bidi/>
            </w:pPr>
            <w:r>
              <w:rPr>
                <w:rtl/>
              </w:rPr>
              <w:t xml:space="preserve">نسبة القيمة</w:t>
            </w:r>
          </w:p>
        </w:tc>
        <w:tc>
          <w:tcPr>
            <w:tcW w:w="1073613" w:type="dxa"/>
          </w:tcPr>
          <w:p>
            <w:pPr>
              <w:pStyle w:val="Compact"/>
              <w:bidi/>
            </w:pPr>
            <w:r>
              <w:rPr>
                <w:rtl/>
              </w:rPr>
              <w:t xml:space="preserve">دورية الرقابة</w:t>
            </w:r>
          </w:p>
        </w:tc>
        <w:tc>
          <w:tcPr>
            <w:tcW w:w="1551300" w:type="dxa"/>
          </w:tcPr>
          <w:p>
            <w:pPr>
              <w:pStyle w:val="Compact"/>
              <w:bidi/>
            </w:pPr>
            <w:r>
              <w:rPr>
                <w:rtl/>
              </w:rPr>
              <w:t xml:space="preserve">أداة التسيير</w:t>
            </w:r>
          </w:p>
        </w:tc>
      </w:tr>
      <w:tr>
        <w:tc>
          <w:tcPr>
            <w:tcW w:w="493254" w:type="dxa"/>
          </w:tcPr>
          <w:p>
            <w:pPr>
              <w:pStyle w:val="Compact"/>
              <w:bidi/>
            </w:pPr>
            <w:r>
              <w:rPr>
                <w:rtl/>
              </w:rPr>
              <w:t xml:space="preserve">A</w:t>
            </w:r>
          </w:p>
        </w:tc>
        <w:tc>
          <w:tcPr>
            <w:tcW w:w="988481" w:type="dxa"/>
          </w:tcPr>
          <w:p>
            <w:pPr>
              <w:pStyle w:val="Compact"/>
              <w:bidi/>
            </w:pPr>
            <w:r>
              <w:rPr>
                <w:rtl/>
              </w:rPr>
              <w:t xml:space="preserve">≈ 10-20%</w:t>
            </w:r>
          </w:p>
        </w:tc>
        <w:tc>
          <w:tcPr>
            <w:tcW w:w="903349" w:type="dxa"/>
          </w:tcPr>
          <w:p>
            <w:pPr>
              <w:pStyle w:val="Compact"/>
              <w:bidi/>
            </w:pPr>
            <w:r>
              <w:rPr>
                <w:rtl/>
              </w:rPr>
              <w:t xml:space="preserve">≈ 70-80%</w:t>
            </w:r>
          </w:p>
        </w:tc>
        <w:tc>
          <w:tcPr>
            <w:tcW w:w="1073613" w:type="dxa"/>
          </w:tcPr>
          <w:p>
            <w:pPr>
              <w:pStyle w:val="Compact"/>
              <w:bidi/>
            </w:pPr>
            <w:r>
              <w:rPr>
                <w:rtl/>
              </w:rPr>
              <w:t xml:space="preserve">شهرية مستمرة</w:t>
            </w:r>
          </w:p>
        </w:tc>
        <w:tc>
          <w:tcPr>
            <w:tcW w:w="1551300" w:type="dxa"/>
          </w:tcPr>
          <w:p>
            <w:pPr>
              <w:pStyle w:val="Compact"/>
              <w:bidi/>
            </w:pPr>
            <w:r>
              <w:rPr>
                <w:rtl/>
              </w:rPr>
              <w:t xml:space="preserve">نموذج ويلسون الصارم</w:t>
            </w:r>
          </w:p>
        </w:tc>
      </w:tr>
      <w:tr>
        <w:tc>
          <w:tcPr>
            <w:tcW w:w="493254" w:type="dxa"/>
          </w:tcPr>
          <w:p>
            <w:pPr>
              <w:pStyle w:val="Compact"/>
              <w:bidi/>
            </w:pPr>
            <w:r>
              <w:rPr>
                <w:rtl/>
              </w:rPr>
              <w:t xml:space="preserve">B</w:t>
            </w:r>
          </w:p>
        </w:tc>
        <w:tc>
          <w:tcPr>
            <w:tcW w:w="988481" w:type="dxa"/>
          </w:tcPr>
          <w:p>
            <w:pPr>
              <w:pStyle w:val="Compact"/>
              <w:bidi/>
            </w:pPr>
            <w:r>
              <w:rPr>
                <w:rtl/>
              </w:rPr>
              <w:t xml:space="preserve">≈ 20-30%</w:t>
            </w:r>
          </w:p>
        </w:tc>
        <w:tc>
          <w:tcPr>
            <w:tcW w:w="903349" w:type="dxa"/>
          </w:tcPr>
          <w:p>
            <w:pPr>
              <w:pStyle w:val="Compact"/>
              <w:bidi/>
            </w:pPr>
            <w:r>
              <w:rPr>
                <w:rtl/>
              </w:rPr>
              <w:t xml:space="preserve">≈ 15-20%</w:t>
            </w:r>
          </w:p>
        </w:tc>
        <w:tc>
          <w:tcPr>
            <w:tcW w:w="1073613" w:type="dxa"/>
          </w:tcPr>
          <w:p>
            <w:pPr>
              <w:pStyle w:val="Compact"/>
              <w:bidi/>
            </w:pPr>
            <w:r>
              <w:rPr>
                <w:rtl/>
              </w:rPr>
              <w:t xml:space="preserve">فصلية</w:t>
            </w:r>
          </w:p>
        </w:tc>
        <w:tc>
          <w:tcPr>
            <w:tcW w:w="1551300" w:type="dxa"/>
          </w:tcPr>
          <w:p>
            <w:pPr>
              <w:pStyle w:val="Compact"/>
              <w:bidi/>
            </w:pPr>
            <w:r>
              <w:rPr>
                <w:rtl/>
              </w:rPr>
              <w:t xml:space="preserve">هوامش أمان أوسع</w:t>
            </w:r>
          </w:p>
        </w:tc>
      </w:tr>
      <w:tr>
        <w:tc>
          <w:tcPr>
            <w:tcW w:w="493254" w:type="dxa"/>
          </w:tcPr>
          <w:p>
            <w:pPr>
              <w:pStyle w:val="Compact"/>
              <w:bidi/>
            </w:pPr>
            <w:r>
              <w:rPr>
                <w:rtl/>
              </w:rPr>
              <w:t xml:space="preserve">C</w:t>
            </w:r>
          </w:p>
        </w:tc>
        <w:tc>
          <w:tcPr>
            <w:tcW w:w="988481" w:type="dxa"/>
          </w:tcPr>
          <w:p>
            <w:pPr>
              <w:pStyle w:val="Compact"/>
              <w:bidi/>
            </w:pPr>
            <w:r>
              <w:rPr>
                <w:rtl/>
              </w:rPr>
              <w:t xml:space="preserve">≈ 50-70%</w:t>
            </w:r>
          </w:p>
        </w:tc>
        <w:tc>
          <w:tcPr>
            <w:tcW w:w="903349" w:type="dxa"/>
          </w:tcPr>
          <w:p>
            <w:pPr>
              <w:pStyle w:val="Compact"/>
              <w:bidi/>
            </w:pPr>
            <w:r>
              <w:rPr>
                <w:rtl/>
              </w:rPr>
              <w:t xml:space="preserve">≈ 5-10%</w:t>
            </w:r>
          </w:p>
        </w:tc>
        <w:tc>
          <w:tcPr>
            <w:tcW w:w="1073613" w:type="dxa"/>
          </w:tcPr>
          <w:p>
            <w:pPr>
              <w:pStyle w:val="Compact"/>
              <w:bidi/>
            </w:pPr>
            <w:r>
              <w:rPr>
                <w:rtl/>
              </w:rPr>
              <w:t xml:space="preserve">نصف سنوية</w:t>
            </w:r>
          </w:p>
        </w:tc>
        <w:tc>
          <w:tcPr>
            <w:tcW w:w="1551300" w:type="dxa"/>
          </w:tcPr>
          <w:p>
            <w:pPr>
              <w:pStyle w:val="Compact"/>
              <w:bidi/>
            </w:pPr>
            <w:r>
              <w:rPr>
                <w:rtl/>
              </w:rPr>
              <w:t xml:space="preserve">تموين مبسط</w:t>
            </w:r>
          </w:p>
        </w:tc>
      </w:tr>
    </w:tbl>
    <w:bookmarkEnd w:id="60"/>
    <w:bookmarkStart w:id="61" w:name="ثانيا-تطبيق-التحليل-على-بيانات-المديرية"/>
    <w:p>
      <w:pPr>
        <w:pStyle w:val="Heading4"/>
        <w:bidi/>
      </w:pPr>
      <w:r>
        <w:rPr>
          <w:rtl/>
        </w:rPr>
        <w:t xml:space="preserve">ثانياً: تطبيق التحليل على بيانات المديرية</w:t>
      </w:r>
    </w:p>
    <w:p>
      <w:pPr>
        <w:bidi/>
        <w:spacing w:line="360" w:lineRule="auto"/>
        <w:jc w:val="right"/>
      </w:pPr>
      <w:r>
        <w:rPr>
          <w:rFonts w:ascii="Traditional Arabic" w:hAnsi="Traditional Arabic"/>
          <w:b/>
          <w:bCs/>
          <w:sz w:val="28"/>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1"/>
    <w:bookmarkEnd w:id="62"/>
    <w:bookmarkStart w:id="73" w:name="X3d546febf7430a2ea3250247e57315bf530ac8e"/>
    <w:p>
      <w:pPr>
        <w:pStyle w:val="Heading3"/>
        <w:bidi/>
      </w:pPr>
      <w:r>
        <w:rPr>
          <w:b/>
          <w:sz w:val="32"/>
          <w:rtl/>
        </w:rPr>
        <w:t xml:space="preserve">المطلب الثالث: تحليل XYZ ومصفوفة القرار ABC-XYZ</w:t>
      </w:r>
    </w:p>
    <w:p>
      <w:pPr>
        <w:bidi/>
        <w:spacing w:line="360" w:lineRule="auto"/>
        <w:jc w:val="right"/>
      </w:pPr>
      <w:r>
        <w:rPr>
          <w:rFonts w:ascii="Traditional Arabic" w:hAnsi="Traditional Arabic"/>
          <w:sz w:val="28"/>
          <w:rtl/>
        </w:rPr>
        <w:t xml:space="preserve">يضيف تحليل XYZ بُعداً سلوكياً إلى تحليل ABC. يصنف الأصناف حسب استقرار الطلب باستخدام معامل التباين (CV):</w:t>
      </w:r>
    </w:p>
    <w:p>
      <w:pPr>
        <w:bidi/>
        <w:spacing w:line="360" w:lineRule="auto"/>
        <w:jc w:val="right"/>
      </w:pPr>
      <w:r>
        <w:rPr>
          <w:rFonts w:ascii="Traditional Arabic" w:hAnsi="Traditional Arabic"/>
          <w:sz w:val="28"/>
          <w:rtl/>
        </w:rPr>
        <w:t xml:space="preserve">حيث σ = الانحراف المعياري للطلب الدوري، وμ = متوسطه.</w:t>
      </w:r>
      <w:r>
        <w:rPr>
          <w:rFonts w:ascii="Traditional Arabic" w:hAnsi="Traditional Arabic"/>
          <w:sz w:val="28"/>
          <w:rtl/>
        </w:rPr>
        <w:t xml:space="preserve"> </w:t>
      </w:r>
      <w:r>
        <w:rPr>
          <w:rFonts w:ascii="Traditional Arabic" w:hAnsi="Traditional Arabic"/>
          <w:b/>
          <w:bCs/>
          <w:sz w:val="28"/>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pPr>
            <w:r>
              <w:rPr>
                <w:rtl/>
              </w:rPr>
              <w:t xml:space="preserve">الفئة</w:t>
            </w:r>
          </w:p>
        </w:tc>
        <w:tc>
          <w:tcPr>
            <w:tcW w:w="1004601" w:type="dxa"/>
          </w:tcPr>
          <w:p>
            <w:pPr>
              <w:pStyle w:val="Compact"/>
              <w:bidi/>
            </w:pPr>
            <w:r>
              <w:rPr>
                <w:rtl/>
              </w:rPr>
              <w:t xml:space="preserve">معيار CV</w:t>
            </w:r>
          </w:p>
        </w:tc>
        <w:tc>
          <w:tcPr>
            <w:tcW w:w="1769469" w:type="dxa"/>
          </w:tcPr>
          <w:p>
            <w:pPr>
              <w:pStyle w:val="Compact"/>
              <w:bidi/>
            </w:pPr>
            <w:r>
              <w:rPr>
                <w:rtl/>
              </w:rPr>
              <w:t xml:space="preserve">طبيعة الطلب</w:t>
            </w:r>
          </w:p>
        </w:tc>
        <w:tc>
          <w:tcPr>
            <w:tcW w:w="1872212" w:type="dxa"/>
          </w:tcPr>
          <w:p>
            <w:pPr>
              <w:pStyle w:val="Compact"/>
              <w:bidi/>
            </w:pPr>
            <w:r>
              <w:rPr>
                <w:rtl/>
              </w:rPr>
              <w:t xml:space="preserve">السياسة المناسبة</w:t>
            </w:r>
          </w:p>
        </w:tc>
      </w:tr>
      <w:tr>
        <w:tc>
          <w:tcPr>
            <w:tcW w:w="513716" w:type="dxa"/>
          </w:tcPr>
          <w:p>
            <w:pPr>
              <w:pStyle w:val="Compact"/>
              <w:bidi/>
            </w:pPr>
            <w:r>
              <w:rPr>
                <w:rtl/>
              </w:rPr>
              <w:t xml:space="preserve">X</w:t>
            </w:r>
          </w:p>
        </w:tc>
        <w:tc>
          <w:tcPr>
            <w:tcW w:w="1004601" w:type="dxa"/>
          </w:tcPr>
          <w:p>
            <w:pPr>
              <w:pStyle w:val="Compact"/>
              <w:bidi/>
            </w:pPr>
            <w:r>
              <w:rPr>
                <w:rtl/>
              </w:rPr>
              <w:t xml:space="preserve">CV &lt; 0.10</w:t>
            </w:r>
          </w:p>
        </w:tc>
        <w:tc>
          <w:tcPr>
            <w:tcW w:w="1769469" w:type="dxa"/>
          </w:tcPr>
          <w:p>
            <w:pPr>
              <w:pStyle w:val="Compact"/>
              <w:bidi/>
            </w:pPr>
            <w:r>
              <w:rPr>
                <w:rtl/>
              </w:rPr>
              <w:t xml:space="preserve">مستقر وقابل للتنبؤ</w:t>
            </w:r>
          </w:p>
        </w:tc>
        <w:tc>
          <w:tcPr>
            <w:tcW w:w="1872212" w:type="dxa"/>
          </w:tcPr>
          <w:p>
            <w:pPr>
              <w:pStyle w:val="Compact"/>
              <w:bidi/>
            </w:pPr>
            <w:r>
              <w:rPr>
                <w:rtl/>
              </w:rPr>
              <w:t xml:space="preserve">نموذج ويلسون الصارم</w:t>
            </w:r>
          </w:p>
        </w:tc>
      </w:tr>
      <w:tr>
        <w:tc>
          <w:tcPr>
            <w:tcW w:w="513716" w:type="dxa"/>
          </w:tcPr>
          <w:p>
            <w:pPr>
              <w:pStyle w:val="Compact"/>
              <w:bidi/>
            </w:pPr>
            <w:r>
              <w:rPr>
                <w:rtl/>
              </w:rPr>
              <w:t xml:space="preserve">Y</w:t>
            </w:r>
          </w:p>
        </w:tc>
        <w:tc>
          <w:tcPr>
            <w:tcW w:w="1004601" w:type="dxa"/>
          </w:tcPr>
          <w:p>
            <w:pPr>
              <w:pStyle w:val="Compact"/>
              <w:bidi/>
            </w:pPr>
            <w:r>
              <w:rPr>
                <w:rtl/>
              </w:rPr>
              <w:t xml:space="preserve">0.10 ≤ CV &lt; 0.25</w:t>
            </w:r>
          </w:p>
        </w:tc>
        <w:tc>
          <w:tcPr>
            <w:tcW w:w="1769469" w:type="dxa"/>
          </w:tcPr>
          <w:p>
            <w:pPr>
              <w:pStyle w:val="Compact"/>
              <w:bidi/>
            </w:pPr>
            <w:r>
              <w:rPr>
                <w:rtl/>
              </w:rPr>
              <w:t xml:space="preserve">تذبذب موسمي معتدل</w:t>
            </w:r>
          </w:p>
        </w:tc>
        <w:tc>
          <w:tcPr>
            <w:tcW w:w="1872212" w:type="dxa"/>
          </w:tcPr>
          <w:p>
            <w:pPr>
              <w:pStyle w:val="Compact"/>
              <w:bidi/>
            </w:pPr>
            <w:r>
              <w:rPr>
                <w:rtl/>
              </w:rPr>
              <w:t xml:space="preserve">مخزون أمان مُعزَّز</w:t>
            </w:r>
          </w:p>
        </w:tc>
      </w:tr>
      <w:tr>
        <w:tc>
          <w:tcPr>
            <w:tcW w:w="513716" w:type="dxa"/>
          </w:tcPr>
          <w:p>
            <w:pPr>
              <w:pStyle w:val="Compact"/>
              <w:bidi/>
            </w:pPr>
            <w:r>
              <w:rPr>
                <w:rtl/>
              </w:rPr>
              <w:t xml:space="preserve">Z</w:t>
            </w:r>
          </w:p>
        </w:tc>
        <w:tc>
          <w:tcPr>
            <w:tcW w:w="1004601" w:type="dxa"/>
          </w:tcPr>
          <w:p>
            <w:pPr>
              <w:pStyle w:val="Compact"/>
              <w:bidi/>
            </w:pPr>
            <w:r>
              <w:rPr>
                <w:rtl/>
              </w:rPr>
              <w:t xml:space="preserve">CV ≥ 0.25</w:t>
            </w:r>
          </w:p>
        </w:tc>
        <w:tc>
          <w:tcPr>
            <w:tcW w:w="1769469" w:type="dxa"/>
          </w:tcPr>
          <w:p>
            <w:pPr>
              <w:pStyle w:val="Compact"/>
              <w:bidi/>
            </w:pPr>
            <w:r>
              <w:rPr>
                <w:rtl/>
              </w:rPr>
              <w:t xml:space="preserve">غير منتظم</w:t>
            </w:r>
          </w:p>
        </w:tc>
        <w:tc>
          <w:tcPr>
            <w:tcW w:w="1872212" w:type="dxa"/>
          </w:tcPr>
          <w:p>
            <w:pPr>
              <w:pStyle w:val="Compact"/>
              <w:bidi/>
            </w:pPr>
            <w:r>
              <w:rPr>
                <w:rtl/>
              </w:rPr>
              <w:t xml:space="preserve">احتياط استثنائي</w:t>
            </w:r>
          </w:p>
        </w:tc>
      </w:tr>
    </w:tbl>
    <w:p>
      <w:pPr>
        <w:bidi/>
        <w:spacing w:line="360" w:lineRule="auto"/>
        <w:jc w:val="right"/>
      </w:pPr>
      <w:r>
        <w:rPr>
          <w:rFonts w:ascii="Traditional Arabic" w:hAnsi="Traditional Arabic"/>
          <w:b/>
          <w:bCs/>
          <w:sz w:val="28"/>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rFonts w:ascii="Traditional Arabic" w:hAnsi="Traditional Arabic"/>
          <w:b/>
          <w:bCs/>
          <w:sz w:val="28"/>
          <w:rtl/>
        </w:rPr>
        <w:t xml:space="preserve"> </w:t>
      </w:r>
      <w:r>
        <w:rPr>
          <w:rStyle w:val="FootnoteReference"/>
          <w:rFonts w:ascii="Traditional Arabic" w:hAnsi="Traditional Arabic"/>
          <w:sz w:val="28"/>
        </w:rPr>
        <w:footnoteReference w:id="63"/>
      </w:r>
      <w:r>
        <w:rPr>
          <w:rFonts w:ascii="Traditional Arabic" w:hAnsi="Traditional Arabic"/>
          <w:b/>
          <w:bCs/>
          <w:sz w:val="28"/>
          <w:rtl/>
        </w:rPr>
        <w:t xml:space="preserve"> </w:t>
      </w:r>
      <w:r>
        <w:rPr>
          <w:rStyle w:val="FootnoteReference"/>
          <w:rFonts w:ascii="Traditional Arabic" w:hAnsi="Traditional Arabic"/>
          <w:sz w:val="28"/>
        </w:rPr>
        <w:footnoteReference w:id="64"/>
      </w:r>
      <w:r>
        <w:rPr>
          <w:rFonts w:ascii="Traditional Arabic" w:hAnsi="Traditional Arabic"/>
          <w:b/>
          <w:bCs/>
          <w:sz w:val="28"/>
          <w:rtl/>
        </w:rPr>
        <w:t xml:space="preserve"> </w:t>
      </w:r>
      <w:r>
        <w:rPr>
          <w:rStyle w:val="FootnoteReference"/>
          <w:rFonts w:ascii="Traditional Arabic" w:hAnsi="Traditional Arabic"/>
          <w:sz w:val="28"/>
        </w:rPr>
        <w:footnoteReference w:id="65"/>
      </w:r>
      <w:r>
        <w:rPr>
          <w:rFonts w:ascii="Traditional Arabic" w:hAnsi="Traditional Arabic"/>
          <w:b/>
          <w:bCs/>
          <w:sz w:val="28"/>
          <w:rtl/>
        </w:rPr>
        <w:t xml:space="preserve"> </w:t>
      </w:r>
      <w:r>
        <w:rPr>
          <w:rStyle w:val="FootnoteReference"/>
          <w:rFonts w:ascii="Traditional Arabic" w:hAnsi="Traditional Arabic"/>
          <w:sz w:val="28"/>
        </w:rPr>
        <w:footnoteReference w:id="66"/>
      </w:r>
      <w:r>
        <w:rPr>
          <w:rFonts w:ascii="Traditional Arabic" w:hAnsi="Traditional Arabic"/>
          <w:b/>
          <w:bCs/>
          <w:sz w:val="28"/>
          <w:rtl/>
        </w:rPr>
        <w:t xml:space="preserve"> </w:t>
      </w:r>
      <w:r>
        <w:rPr>
          <w:rStyle w:val="FootnoteReference"/>
          <w:rFonts w:ascii="Traditional Arabic" w:hAnsi="Traditional Arabic"/>
          <w:sz w:val="28"/>
        </w:rPr>
        <w:footnoteReference w:id="67"/>
      </w:r>
      <w:r>
        <w:rPr>
          <w:rFonts w:ascii="Traditional Arabic" w:hAnsi="Traditional Arabic"/>
          <w:b/>
          <w:bCs/>
          <w:sz w:val="28"/>
          <w:rtl/>
        </w:rPr>
        <w:t xml:space="preserve"> </w:t>
      </w:r>
      <w:r>
        <w:rPr>
          <w:rStyle w:val="FootnoteReference"/>
          <w:rFonts w:ascii="Traditional Arabic" w:hAnsi="Traditional Arabic"/>
          <w:sz w:val="28"/>
        </w:rPr>
        <w:footnoteReference w:id="68"/>
      </w:r>
      <w:r>
        <w:rPr>
          <w:rFonts w:ascii="Traditional Arabic" w:hAnsi="Traditional Arabic"/>
          <w:b/>
          <w:bCs/>
          <w:sz w:val="28"/>
          <w:rtl/>
        </w:rPr>
        <w:t xml:space="preserve"> </w:t>
      </w:r>
      <w:r>
        <w:rPr>
          <w:rStyle w:val="FootnoteReference"/>
          <w:rFonts w:ascii="Traditional Arabic" w:hAnsi="Traditional Arabic"/>
          <w:sz w:val="28"/>
        </w:rPr>
        <w:footnoteReference w:id="69"/>
      </w:r>
      <w:r>
        <w:rPr>
          <w:rFonts w:ascii="Traditional Arabic" w:hAnsi="Traditional Arabic"/>
          <w:b/>
          <w:bCs/>
          <w:sz w:val="28"/>
          <w:rtl/>
        </w:rPr>
        <w:t xml:space="preserve"> </w:t>
      </w:r>
      <w:r>
        <w:rPr>
          <w:rStyle w:val="FootnoteReference"/>
          <w:rFonts w:ascii="Traditional Arabic" w:hAnsi="Traditional Arabic"/>
          <w:sz w:val="28"/>
        </w:rPr>
        <w:footnoteReference w:id="70"/>
      </w:r>
      <w:r>
        <w:rPr>
          <w:rFonts w:ascii="Traditional Arabic" w:hAnsi="Traditional Arabic"/>
          <w:b/>
          <w:bCs/>
          <w:sz w:val="28"/>
          <w:rtl/>
        </w:rPr>
        <w:t xml:space="preserve"> </w:t>
      </w:r>
      <w:r>
        <w:rPr>
          <w:rStyle w:val="FootnoteReference"/>
          <w:rFonts w:ascii="Traditional Arabic" w:hAnsi="Traditional Arabic"/>
          <w:sz w:val="28"/>
        </w:rPr>
        <w:footnoteReference w:id="71"/>
      </w:r>
      <w:r>
        <w:rPr>
          <w:rFonts w:ascii="Traditional Arabic" w:hAnsi="Traditional Arabic"/>
          <w:b/>
          <w:bCs/>
          <w:sz w:val="28"/>
          <w:rtl/>
        </w:rPr>
        <w:t xml:space="preserve"> </w:t>
      </w:r>
      <w:r>
        <w:rPr>
          <w:rStyle w:val="FootnoteReference"/>
          <w:rFonts w:ascii="Traditional Arabic" w:hAnsi="Traditional Arabic"/>
          <w:sz w:val="28"/>
        </w:rPr>
        <w:footnoteReference w:id="72"/>
      </w:r>
    </w:p>
    <w:p>
      <w:pPr>
        <w:bidi/>
        <w:spacing w:line="360" w:lineRule="auto"/>
        <w:jc w:val="right"/>
      </w:pPr>
      <w:r>
        <w:rPr>
          <w:rFonts w:ascii="Traditional Arabic" w:hAnsi="Traditional Arabic"/>
          <w:b/>
          <w:bCs/>
          <w:sz w:val="28"/>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3"/>
    <w:bookmarkEnd w:id="74"/>
    <w:bookmarkStart w:id="86" w:name="المبحث-الثاني-الإطار-الجغرافي-والمؤسسي"/>
    <w:p>
      <w:pPr>
        <w:pStyle w:val="Heading2"/>
        <w:bidi/>
      </w:pPr>
      <w:r>
        <w:rPr>
          <w:b/>
          <w:sz w:val="36"/>
          <w:rtl/>
        </w:rPr>
        <w:t xml:space="preserve">المبحث الثاني: الإطار الجغرافي والمؤسسي</w:t>
      </w:r>
    </w:p>
    <w:p>
      <w:pPr>
        <w:bidi/>
        <w:spacing w:line="360" w:lineRule="auto"/>
        <w:jc w:val="right"/>
      </w:pPr>
      <w:r>
        <w:rPr>
          <w:rFonts w:ascii="Traditional Arabic" w:hAnsi="Traditional Arabic"/>
          <w:sz w:val="28"/>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7" w:name="Xe4f249edd1737d467925de2bc2b8314c0457ef9"/>
    <w:p>
      <w:pPr>
        <w:pStyle w:val="Heading3"/>
        <w:bidi/>
      </w:pPr>
      <w:r>
        <w:rPr>
          <w:b/>
          <w:sz w:val="32"/>
          <w:rtl/>
        </w:rPr>
        <w:t xml:space="preserve">المطلب الأول: ولاية البيض — الإطار الجغرافي والأثر اللوجيستي</w:t>
      </w:r>
    </w:p>
    <w:bookmarkStart w:id="75" w:name="أولا-الموقع-والخصائص-الجغرافية"/>
    <w:p>
      <w:pPr>
        <w:pStyle w:val="Heading4"/>
        <w:bidi/>
      </w:pPr>
      <w:r>
        <w:rPr>
          <w:rtl/>
        </w:rPr>
        <w:t xml:space="preserve">أولاً: الموقع والخصائص الجغرافية</w:t>
      </w:r>
    </w:p>
    <w:p>
      <w:pPr>
        <w:bidi/>
        <w:spacing w:line="360" w:lineRule="auto"/>
        <w:jc w:val="right"/>
      </w:pPr>
      <w:r>
        <w:rPr>
          <w:rFonts w:ascii="Traditional Arabic" w:hAnsi="Traditional Arabic"/>
          <w:b/>
          <w:bCs/>
          <w:sz w:val="28"/>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5"/>
    <w:bookmarkStart w:id="76" w:name="ثانيا-تأثير-الموقع-على-سلاسل-الإمداد"/>
    <w:p>
      <w:pPr>
        <w:pStyle w:val="Heading4"/>
        <w:bidi/>
      </w:pPr>
      <w:r>
        <w:rPr>
          <w:rtl/>
        </w:rPr>
        <w:t xml:space="preserve">ثانياً: تأثير الموقع على سلاسل الإمداد</w:t>
      </w:r>
    </w:p>
    <w:p>
      <w:pPr>
        <w:bidi/>
        <w:spacing w:line="360" w:lineRule="auto"/>
        <w:jc w:val="right"/>
      </w:pPr>
      <w:r>
        <w:rPr>
          <w:rFonts w:ascii="Traditional Arabic" w:hAnsi="Traditional Arabic"/>
          <w:b/>
          <w:bCs/>
          <w:sz w:val="28"/>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6"/>
    <w:bookmarkEnd w:id="77"/>
    <w:bookmarkStart w:id="81" w:name="X3f57fa00f89ba85d9588878684ea58fb7f040ef"/>
    <w:p>
      <w:pPr>
        <w:pStyle w:val="Heading3"/>
        <w:bidi/>
      </w:pPr>
      <w:r>
        <w:rPr>
          <w:b/>
          <w:sz w:val="32"/>
          <w:rtl/>
        </w:rPr>
        <w:t xml:space="preserve">المطلب الثاني: تقديم مديرية التربية لولاية البيض</w:t>
      </w:r>
    </w:p>
    <w:bookmarkStart w:id="79" w:name="أولا-الوضع-القانوني-والمهام-المؤسسية"/>
    <w:p>
      <w:pPr>
        <w:pStyle w:val="Heading4"/>
        <w:bidi/>
      </w:pPr>
      <w:r>
        <w:rPr>
          <w:rtl/>
        </w:rPr>
        <w:t xml:space="preserve">أولاً: الوضع القانوني والمهام المؤسسية</w:t>
      </w:r>
    </w:p>
    <w:p>
      <w:pPr>
        <w:bidi/>
        <w:spacing w:line="360" w:lineRule="auto"/>
        <w:jc w:val="right"/>
      </w:pPr>
      <w:r>
        <w:rPr>
          <w:rFonts w:ascii="Traditional Arabic" w:hAnsi="Traditional Arabic"/>
          <w:sz w:val="28"/>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الثانية (التسيير البشري): إدارة المنظومة البشرية الشاملة من موظفين إداريين وإطارات 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Fonts w:ascii="Traditional Arabic" w:hAnsi="Traditional Arabic"/>
          <w:b/>
          <w:bCs/>
          <w:sz w:val="28"/>
          <w:rtl/>
        </w:rPr>
        <w:t xml:space="preserve"> </w:t>
      </w:r>
      <w:r>
        <w:rPr>
          <w:rStyle w:val="FootnoteReference"/>
          <w:rFonts w:ascii="Traditional Arabic" w:hAnsi="Traditional Arabic"/>
          <w:sz w:val="28"/>
        </w:rPr>
        <w:footnoteReference w:id="78"/>
      </w:r>
      <w:r>
        <w:rPr>
          <w:rFonts w:ascii="Traditional Arabic" w:hAnsi="Traditional Arabic"/>
          <w:b/>
          <w:bCs/>
          <w:sz w:val="28"/>
          <w:rtl/>
        </w:rPr>
        <w:t xml:space="preserve">.</w:t>
      </w:r>
    </w:p>
    <w:bookmarkEnd w:id="79"/>
    <w:bookmarkStart w:id="80" w:name="X01d3ef8a5826c75c8439d1097f2a09587d09e67"/>
    <w:p>
      <w:pPr>
        <w:pStyle w:val="Heading4"/>
        <w:bidi/>
      </w:pPr>
      <w:r>
        <w:rPr>
          <w:rtl/>
        </w:rPr>
        <w:t xml:space="preserve">ثانياً: الهيكل التنظيمي وعلاقته بدورة التخزين</w:t>
      </w:r>
    </w:p>
    <w:p>
      <w:pPr>
        <w:bidi/>
        <w:spacing w:line="360" w:lineRule="auto"/>
        <w:jc w:val="right"/>
      </w:pPr>
      <w:r>
        <w:rPr>
          <w:rFonts w:ascii="Traditional Arabic" w:hAnsi="Traditional Arabic"/>
          <w:b/>
          <w:bCs/>
          <w:sz w:val="28"/>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0"/>
    <w:bookmarkEnd w:id="81"/>
    <w:bookmarkStart w:id="85" w:name="Xe95b080e745ed60cca3f74edd213d00166ee89f"/>
    <w:p>
      <w:pPr>
        <w:pStyle w:val="Heading3"/>
        <w:bidi/>
      </w:pPr>
      <w:r>
        <w:rPr>
          <w:b/>
          <w:sz w:val="32"/>
          <w:rtl/>
        </w:rPr>
        <w:t xml:space="preserve">المطلب الثالث: وصف مصلحة المخازن وتقييم بيئتها التشغيلية</w:t>
      </w:r>
    </w:p>
    <w:bookmarkStart w:id="83" w:name="أولا-البنية-المادية-والواقع-التجهيزي"/>
    <w:p>
      <w:pPr>
        <w:pStyle w:val="Heading4"/>
        <w:bidi/>
      </w:pPr>
      <w:r>
        <w:rPr>
          <w:rtl/>
        </w:rPr>
        <w:t xml:space="preserve">أولاً: البنية المادية والواقع التجهيزي</w:t>
      </w:r>
    </w:p>
    <w:p>
      <w:pPr>
        <w:bidi/>
        <w:spacing w:line="360" w:lineRule="auto"/>
        <w:jc w:val="right"/>
      </w:pPr>
      <w:r>
        <w:rPr>
          <w:rFonts w:ascii="Traditional Arabic" w:hAnsi="Traditional Arabic"/>
          <w:b/>
          <w:bCs/>
          <w:sz w:val="28"/>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Fonts w:ascii="Traditional Arabic" w:hAnsi="Traditional Arabic"/>
          <w:b/>
          <w:bCs/>
          <w:sz w:val="28"/>
          <w:rtl/>
        </w:rPr>
        <w:t xml:space="preserve"> </w:t>
      </w:r>
      <w:r>
        <w:rPr>
          <w:rStyle w:val="FootnoteReference"/>
          <w:rFonts w:ascii="Traditional Arabic" w:hAnsi="Traditional Arabic"/>
          <w:sz w:val="28"/>
        </w:rPr>
        <w:footnoteReference w:id="82"/>
      </w:r>
      <w:r>
        <w:rPr>
          <w:rFonts w:ascii="Traditional Arabic" w:hAnsi="Traditional Arabic"/>
          <w:b/>
          <w:bCs/>
          <w:sz w:val="28"/>
          <w:rtl/>
        </w:rPr>
        <w:t xml:space="preserve">.</w:t>
      </w:r>
    </w:p>
    <w:bookmarkEnd w:id="83"/>
    <w:bookmarkStart w:id="84" w:name="Xf538c3815bf5bc34642ae68a16b1ad061eeda6a"/>
    <w:p>
      <w:pPr>
        <w:pStyle w:val="Heading4"/>
        <w:bidi/>
      </w:pPr>
      <w:r>
        <w:rPr>
          <w:rtl/>
        </w:rPr>
        <w:t xml:space="preserve">ثانياً: نظام التسيير الحالي وقيوده الهيكلية</w:t>
      </w:r>
    </w:p>
    <w:p>
      <w:pPr>
        <w:bidi/>
        <w:spacing w:line="360" w:lineRule="auto"/>
        <w:jc w:val="right"/>
      </w:pPr>
      <w:r>
        <w:rPr>
          <w:rFonts w:ascii="Traditional Arabic" w:hAnsi="Traditional Arabic"/>
          <w:sz w:val="28"/>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Fonts w:ascii="Traditional Arabic" w:hAnsi="Traditional Arabic"/>
          <w:sz w:val="28"/>
          <w:rtl/>
        </w:rPr>
        <w:t xml:space="preserve"> </w:t>
      </w:r>
      <w:r>
        <w:rPr>
          <w:rFonts w:ascii="Traditional Arabic" w:hAnsi="Traditional Arabic"/>
          <w:sz w:val="28"/>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4"/>
    <w:bookmarkEnd w:id="85"/>
    <w:bookmarkEnd w:id="86"/>
    <w:bookmarkStart w:id="98" w:name="X45c22bf0528f185d6de6f59ddda56ed6c67ca33"/>
    <w:p>
      <w:pPr>
        <w:pStyle w:val="Heading2"/>
        <w:bidi/>
      </w:pPr>
      <w:r>
        <w:rPr>
          <w:b/>
          <w:sz w:val="36"/>
          <w:rtl/>
        </w:rPr>
        <w:t xml:space="preserve">المبحث الثالث: التشخيص الميداني وتحليل الفجوات</w:t>
      </w:r>
    </w:p>
    <w:p>
      <w:pPr>
        <w:bidi/>
        <w:spacing w:line="360" w:lineRule="auto"/>
        <w:jc w:val="right"/>
      </w:pPr>
      <w:r>
        <w:rPr>
          <w:rFonts w:ascii="Traditional Arabic" w:hAnsi="Traditional Arabic"/>
          <w:sz w:val="28"/>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Fonts w:ascii="Traditional Arabic" w:hAnsi="Traditional Arabic"/>
          <w:sz w:val="28"/>
          <w:rtl/>
        </w:rPr>
        <w:t xml:space="preserve"> </w:t>
      </w:r>
      <w:r>
        <w:rPr>
          <w:rFonts w:ascii="Traditional Arabic" w:hAnsi="Traditional Arabic"/>
          <w:sz w:val="28"/>
          <w:rtl/>
        </w:rPr>
        <w:t xml:space="preserve">“الفجوة التشغيلية”</w:t>
      </w:r>
      <w:r>
        <w:rPr>
          <w:rFonts w:ascii="Traditional Arabic" w:hAnsi="Traditional Arabic"/>
          <w:sz w:val="28"/>
          <w:rtl/>
        </w:rPr>
        <w:t xml:space="preserve"> </w:t>
      </w:r>
      <w:r>
        <w:rPr>
          <w:rFonts w:ascii="Traditional Arabic" w:hAnsi="Traditional Arabic"/>
          <w:sz w:val="28"/>
          <w:rtl/>
        </w:rPr>
        <w:t xml:space="preserve">التي يسعى نظام دعم القرار v13.3 إلى ردمها.</w:t>
      </w:r>
    </w:p>
    <w:bookmarkStart w:id="88" w:name="المطلب-الأول-التحليل-الكمي-جدول-رقم-04"/>
    <w:p>
      <w:pPr>
        <w:pStyle w:val="Heading3"/>
        <w:bidi/>
      </w:pPr>
      <w:r>
        <w:rPr>
          <w:b/>
          <w:sz w:val="32"/>
          <w:rtl/>
        </w:rPr>
        <w:t xml:space="preserve">المطلب الأول: التحليل الكمي — جدول رقم 04</w:t>
      </w:r>
    </w:p>
    <w:p>
      <w:pPr>
        <w:bidi/>
        <w:spacing w:line="360" w:lineRule="auto"/>
        <w:jc w:val="right"/>
      </w:pPr>
      <w:r>
        <w:rPr>
          <w:rFonts w:ascii="Traditional Arabic" w:hAnsi="Traditional Arabic"/>
          <w:sz w:val="28"/>
          <w:rtl/>
        </w:rPr>
        <w:t xml:space="preserve">المؤشرات الكمية المثالية المحتسبة وفق نموذج Wilson EOQ:</w:t>
      </w:r>
      <w:r>
        <w:rPr>
          <w:rFonts w:ascii="Traditional Arabic" w:hAnsi="Traditional Arabic"/>
          <w:sz w:val="28"/>
          <w:rtl/>
        </w:rPr>
        <w:t xml:space="preserve"> </w:t>
      </w:r>
      <w:r>
        <w:rPr>
          <w:rFonts w:ascii="Traditional Arabic" w:hAnsi="Traditional Arabic"/>
          <w:b/>
          <w:bCs/>
          <w:sz w:val="28"/>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pPr>
            <w:r>
              <w:rPr>
                <w:rtl/>
              </w:rPr>
              <w:t xml:space="preserve">الصنف</w:t>
            </w:r>
          </w:p>
        </w:tc>
        <w:tc>
          <w:tcPr>
            <w:tcW w:w="508079" w:type="dxa"/>
          </w:tcPr>
          <w:p>
            <w:pPr>
              <w:pStyle w:val="Compact"/>
              <w:bidi/>
            </w:pPr>
            <w:r>
              <w:rPr>
                <w:rtl/>
              </w:rPr>
              <w:t xml:space="preserve">الطلب السنوي (D)</w:t>
            </w:r>
          </w:p>
        </w:tc>
        <w:tc>
          <w:tcPr>
            <w:tcW w:w="493687" w:type="dxa"/>
          </w:tcPr>
          <w:p>
            <w:pPr>
              <w:pStyle w:val="Compact"/>
              <w:bidi/>
            </w:pPr>
            <w:r>
              <w:rPr>
                <w:rtl/>
              </w:rPr>
              <w:t xml:space="preserve">تكلفة الطلب (S)</w:t>
            </w:r>
          </w:p>
        </w:tc>
        <w:tc>
          <w:tcPr>
            <w:tcW w:w="493687" w:type="dxa"/>
          </w:tcPr>
          <w:p>
            <w:pPr>
              <w:pStyle w:val="Compact"/>
              <w:bidi/>
            </w:pPr>
            <w:r>
              <w:rPr>
                <w:rtl/>
              </w:rPr>
              <w:t xml:space="preserve">سعر الوحدة (PU)</w:t>
            </w:r>
          </w:p>
        </w:tc>
        <w:tc>
          <w:tcPr>
            <w:tcW w:w="544227" w:type="dxa"/>
          </w:tcPr>
          <w:p>
            <w:pPr>
              <w:pStyle w:val="Compact"/>
              <w:bidi/>
            </w:pPr>
            <w:r>
              <w:rPr>
                <w:rtl/>
              </w:rPr>
              <w:t xml:space="preserve">معدل الاحتفاظ (I)</w:t>
            </w:r>
          </w:p>
        </w:tc>
        <w:tc>
          <w:tcPr>
            <w:tcW w:w="710910" w:type="dxa"/>
          </w:tcPr>
          <w:p>
            <w:pPr>
              <w:pStyle w:val="Compact"/>
              <w:bidi/>
            </w:pPr>
            <w:r>
              <w:rPr>
                <w:rtl/>
              </w:rPr>
              <w:t xml:space="preserve">الكمية الاقتصادية (Q*)</w:t>
            </w:r>
          </w:p>
        </w:tc>
        <w:tc>
          <w:tcPr>
            <w:tcW w:w="682794" w:type="dxa"/>
          </w:tcPr>
          <w:p>
            <w:pPr>
              <w:pStyle w:val="Compact"/>
              <w:bidi/>
            </w:pPr>
            <w:r>
              <w:rPr>
                <w:rtl/>
              </w:rPr>
              <w:t xml:space="preserve">نقطة إعادة الطلب (ROP)</w:t>
            </w:r>
          </w:p>
        </w:tc>
        <w:tc>
          <w:tcPr>
            <w:tcW w:w="530170" w:type="dxa"/>
          </w:tcPr>
          <w:p>
            <w:pPr>
              <w:pStyle w:val="Compact"/>
              <w:bidi/>
            </w:pPr>
            <w:r>
              <w:rPr>
                <w:rtl/>
              </w:rPr>
              <w:t xml:space="preserve">مخزون الأمان (SS)</w:t>
            </w:r>
          </w:p>
        </w:tc>
      </w:tr>
      <w:tr>
        <w:tc>
          <w:tcPr>
            <w:tcW w:w="596441" w:type="dxa"/>
          </w:tcPr>
          <w:p>
            <w:pPr>
              <w:pStyle w:val="Compact"/>
              <w:bidi/>
            </w:pPr>
            <w:r>
              <w:rPr>
                <w:rtl/>
              </w:rPr>
              <w:t xml:space="preserve">ART-001 Toner G030</w:t>
            </w:r>
          </w:p>
        </w:tc>
        <w:tc>
          <w:tcPr>
            <w:tcW w:w="508079" w:type="dxa"/>
          </w:tcPr>
          <w:p>
            <w:pPr>
              <w:pStyle w:val="Compact"/>
              <w:bidi/>
            </w:pPr>
            <w:r>
              <w:rPr>
                <w:rtl/>
              </w:rPr>
              <w:t xml:space="preserve">789</w:t>
            </w:r>
          </w:p>
        </w:tc>
        <w:tc>
          <w:tcPr>
            <w:tcW w:w="493687" w:type="dxa"/>
          </w:tcPr>
          <w:p>
            <w:pPr>
              <w:pStyle w:val="Compact"/>
              <w:bidi/>
            </w:pPr>
            <w:r>
              <w:rPr>
                <w:rtl/>
              </w:rPr>
              <w:t xml:space="preserve">801.45</w:t>
            </w:r>
          </w:p>
        </w:tc>
        <w:tc>
          <w:tcPr>
            <w:tcW w:w="493687" w:type="dxa"/>
          </w:tcPr>
          <w:p>
            <w:pPr>
              <w:pStyle w:val="Compact"/>
              <w:bidi/>
            </w:pPr>
            <w:r>
              <w:rPr>
                <w:rtl/>
              </w:rPr>
              <w:t xml:space="preserve">400</w:t>
            </w:r>
          </w:p>
        </w:tc>
        <w:tc>
          <w:tcPr>
            <w:tcW w:w="544227" w:type="dxa"/>
          </w:tcPr>
          <w:p>
            <w:pPr>
              <w:pStyle w:val="Compact"/>
              <w:bidi/>
            </w:pPr>
            <w:r>
              <w:rPr>
                <w:rtl/>
              </w:rPr>
              <w:t xml:space="preserve">20%</w:t>
            </w:r>
          </w:p>
        </w:tc>
        <w:tc>
          <w:tcPr>
            <w:tcW w:w="710910" w:type="dxa"/>
          </w:tcPr>
          <w:p>
            <w:pPr>
              <w:pStyle w:val="Compact"/>
              <w:bidi/>
            </w:pPr>
            <w:r>
              <w:rPr>
                <w:rtl/>
              </w:rPr>
              <w:t xml:space="preserve">37</w:t>
            </w:r>
          </w:p>
        </w:tc>
        <w:tc>
          <w:tcPr>
            <w:tcW w:w="682794" w:type="dxa"/>
          </w:tcPr>
          <w:p>
            <w:pPr>
              <w:pStyle w:val="Compact"/>
              <w:bidi/>
            </w:pPr>
            <w:r>
              <w:rPr>
                <w:rtl/>
              </w:rPr>
              <w:t xml:space="preserve">206</w:t>
            </w:r>
          </w:p>
        </w:tc>
        <w:tc>
          <w:tcPr>
            <w:tcW w:w="530170" w:type="dxa"/>
          </w:tcPr>
          <w:p>
            <w:pPr>
              <w:pStyle w:val="Compact"/>
              <w:bidi/>
            </w:pPr>
            <w:r>
              <w:rPr>
                <w:rtl/>
              </w:rPr>
              <w:t xml:space="preserve">200</w:t>
            </w:r>
          </w:p>
        </w:tc>
      </w:tr>
      <w:tr>
        <w:tc>
          <w:tcPr>
            <w:tcW w:w="596441" w:type="dxa"/>
          </w:tcPr>
          <w:p>
            <w:pPr>
              <w:pStyle w:val="Compact"/>
              <w:bidi/>
            </w:pPr>
            <w:r>
              <w:rPr>
                <w:rtl/>
              </w:rPr>
              <w:t xml:space="preserve">ART-002 ورق A4</w:t>
            </w:r>
          </w:p>
        </w:tc>
        <w:tc>
          <w:tcPr>
            <w:tcW w:w="508079" w:type="dxa"/>
          </w:tcPr>
          <w:p>
            <w:pPr>
              <w:pStyle w:val="Compact"/>
              <w:bidi/>
            </w:pPr>
            <w:r>
              <w:rPr>
                <w:rtl/>
              </w:rPr>
              <w:t xml:space="preserve">1,200</w:t>
            </w:r>
          </w:p>
        </w:tc>
        <w:tc>
          <w:tcPr>
            <w:tcW w:w="493687" w:type="dxa"/>
          </w:tcPr>
          <w:p>
            <w:pPr>
              <w:pStyle w:val="Compact"/>
              <w:bidi/>
            </w:pPr>
            <w:r>
              <w:rPr>
                <w:rtl/>
              </w:rPr>
              <w:t xml:space="preserve">500</w:t>
            </w:r>
          </w:p>
        </w:tc>
        <w:tc>
          <w:tcPr>
            <w:tcW w:w="493687" w:type="dxa"/>
          </w:tcPr>
          <w:p>
            <w:pPr>
              <w:pStyle w:val="Compact"/>
              <w:bidi/>
            </w:pPr>
            <w:r>
              <w:rPr>
                <w:rtl/>
              </w:rPr>
              <w:t xml:space="preserve">850</w:t>
            </w:r>
          </w:p>
        </w:tc>
        <w:tc>
          <w:tcPr>
            <w:tcW w:w="544227" w:type="dxa"/>
          </w:tcPr>
          <w:p>
            <w:pPr>
              <w:pStyle w:val="Compact"/>
              <w:bidi/>
            </w:pPr>
            <w:r>
              <w:rPr>
                <w:rtl/>
              </w:rPr>
              <w:t xml:space="preserve">15%</w:t>
            </w:r>
          </w:p>
        </w:tc>
        <w:tc>
          <w:tcPr>
            <w:tcW w:w="710910" w:type="dxa"/>
          </w:tcPr>
          <w:p>
            <w:pPr>
              <w:pStyle w:val="Compact"/>
              <w:bidi/>
            </w:pPr>
            <w:r>
              <w:rPr>
                <w:rtl/>
              </w:rPr>
              <w:t xml:space="preserve">97</w:t>
            </w:r>
          </w:p>
        </w:tc>
        <w:tc>
          <w:tcPr>
            <w:tcW w:w="682794" w:type="dxa"/>
          </w:tcPr>
          <w:p>
            <w:pPr>
              <w:pStyle w:val="Compact"/>
              <w:bidi/>
            </w:pPr>
            <w:r>
              <w:rPr>
                <w:rtl/>
              </w:rPr>
              <w:t xml:space="preserve">69.6</w:t>
            </w:r>
          </w:p>
        </w:tc>
        <w:tc>
          <w:tcPr>
            <w:tcW w:w="530170" w:type="dxa"/>
          </w:tcPr>
          <w:p>
            <w:pPr>
              <w:pStyle w:val="Compact"/>
              <w:bidi/>
            </w:pPr>
            <w:r>
              <w:rPr>
                <w:rtl/>
              </w:rPr>
              <w:t xml:space="preserve">60</w:t>
            </w:r>
          </w:p>
        </w:tc>
      </w:tr>
      <w:tr>
        <w:tc>
          <w:tcPr>
            <w:tcW w:w="596441" w:type="dxa"/>
          </w:tcPr>
          <w:p>
            <w:pPr>
              <w:pStyle w:val="Compact"/>
              <w:bidi/>
            </w:pPr>
            <w:r>
              <w:rPr>
                <w:rtl/>
              </w:rPr>
              <w:t xml:space="preserve">ART-003 ورق A3</w:t>
            </w:r>
          </w:p>
        </w:tc>
        <w:tc>
          <w:tcPr>
            <w:tcW w:w="508079" w:type="dxa"/>
          </w:tcPr>
          <w:p>
            <w:pPr>
              <w:pStyle w:val="Compact"/>
              <w:bidi/>
            </w:pPr>
            <w:r>
              <w:rPr>
                <w:rtl/>
              </w:rPr>
              <w:t xml:space="preserve">800</w:t>
            </w:r>
          </w:p>
        </w:tc>
        <w:tc>
          <w:tcPr>
            <w:tcW w:w="493687" w:type="dxa"/>
          </w:tcPr>
          <w:p>
            <w:pPr>
              <w:pStyle w:val="Compact"/>
              <w:bidi/>
            </w:pPr>
            <w:r>
              <w:rPr>
                <w:rtl/>
              </w:rPr>
              <w:t xml:space="preserve">400</w:t>
            </w:r>
          </w:p>
        </w:tc>
        <w:tc>
          <w:tcPr>
            <w:tcW w:w="493687" w:type="dxa"/>
          </w:tcPr>
          <w:p>
            <w:pPr>
              <w:pStyle w:val="Compact"/>
              <w:bidi/>
            </w:pPr>
            <w:r>
              <w:rPr>
                <w:rtl/>
              </w:rPr>
              <w:t xml:space="preserve">1,200</w:t>
            </w:r>
          </w:p>
        </w:tc>
        <w:tc>
          <w:tcPr>
            <w:tcW w:w="544227" w:type="dxa"/>
          </w:tcPr>
          <w:p>
            <w:pPr>
              <w:pStyle w:val="Compact"/>
              <w:bidi/>
            </w:pPr>
            <w:r>
              <w:rPr>
                <w:rtl/>
              </w:rPr>
              <w:t xml:space="preserve">15%</w:t>
            </w:r>
          </w:p>
        </w:tc>
        <w:tc>
          <w:tcPr>
            <w:tcW w:w="710910" w:type="dxa"/>
          </w:tcPr>
          <w:p>
            <w:pPr>
              <w:pStyle w:val="Compact"/>
              <w:bidi/>
            </w:pPr>
            <w:r>
              <w:rPr>
                <w:rtl/>
              </w:rPr>
              <w:t xml:space="preserve">60</w:t>
            </w:r>
          </w:p>
        </w:tc>
        <w:tc>
          <w:tcPr>
            <w:tcW w:w="682794" w:type="dxa"/>
          </w:tcPr>
          <w:p>
            <w:pPr>
              <w:pStyle w:val="Compact"/>
              <w:bidi/>
            </w:pPr>
            <w:r>
              <w:rPr>
                <w:rtl/>
              </w:rPr>
              <w:t xml:space="preserve">46.4</w:t>
            </w:r>
          </w:p>
        </w:tc>
        <w:tc>
          <w:tcPr>
            <w:tcW w:w="530170" w:type="dxa"/>
          </w:tcPr>
          <w:p>
            <w:pPr>
              <w:pStyle w:val="Compact"/>
              <w:bidi/>
            </w:pPr>
            <w:r>
              <w:rPr>
                <w:rtl/>
              </w:rPr>
              <w:t xml:space="preserve">40</w:t>
            </w:r>
          </w:p>
        </w:tc>
      </w:tr>
      <w:tr>
        <w:tc>
          <w:tcPr>
            <w:tcW w:w="596441" w:type="dxa"/>
          </w:tcPr>
          <w:p>
            <w:pPr>
              <w:pStyle w:val="Compact"/>
              <w:bidi/>
            </w:pPr>
            <w:r>
              <w:rPr>
                <w:rtl/>
              </w:rPr>
              <w:t xml:space="preserve">ART-004 صندوق أرشيف</w:t>
            </w:r>
          </w:p>
        </w:tc>
        <w:tc>
          <w:tcPr>
            <w:tcW w:w="508079" w:type="dxa"/>
          </w:tcPr>
          <w:p>
            <w:pPr>
              <w:pStyle w:val="Compact"/>
              <w:bidi/>
            </w:pPr>
            <w:r>
              <w:rPr>
                <w:rtl/>
              </w:rPr>
              <w:t xml:space="preserve">400</w:t>
            </w:r>
          </w:p>
        </w:tc>
        <w:tc>
          <w:tcPr>
            <w:tcW w:w="493687" w:type="dxa"/>
          </w:tcPr>
          <w:p>
            <w:pPr>
              <w:pStyle w:val="Compact"/>
              <w:bidi/>
            </w:pPr>
            <w:r>
              <w:rPr>
                <w:rtl/>
              </w:rPr>
              <w:t xml:space="preserve">350</w:t>
            </w:r>
          </w:p>
        </w:tc>
        <w:tc>
          <w:tcPr>
            <w:tcW w:w="493687" w:type="dxa"/>
          </w:tcPr>
          <w:p>
            <w:pPr>
              <w:pStyle w:val="Compact"/>
              <w:bidi/>
            </w:pPr>
            <w:r>
              <w:rPr>
                <w:rtl/>
              </w:rPr>
              <w:t xml:space="preserve">450</w:t>
            </w:r>
          </w:p>
        </w:tc>
        <w:tc>
          <w:tcPr>
            <w:tcW w:w="544227" w:type="dxa"/>
          </w:tcPr>
          <w:p>
            <w:pPr>
              <w:pStyle w:val="Compact"/>
              <w:bidi/>
            </w:pPr>
            <w:r>
              <w:rPr>
                <w:rtl/>
              </w:rPr>
              <w:t xml:space="preserve">10%</w:t>
            </w:r>
          </w:p>
        </w:tc>
        <w:tc>
          <w:tcPr>
            <w:tcW w:w="710910" w:type="dxa"/>
          </w:tcPr>
          <w:p>
            <w:pPr>
              <w:pStyle w:val="Compact"/>
              <w:bidi/>
            </w:pPr>
            <w:r>
              <w:rPr>
                <w:rtl/>
              </w:rPr>
              <w:t xml:space="preserve">79</w:t>
            </w:r>
          </w:p>
        </w:tc>
        <w:tc>
          <w:tcPr>
            <w:tcW w:w="682794" w:type="dxa"/>
          </w:tcPr>
          <w:p>
            <w:pPr>
              <w:pStyle w:val="Compact"/>
              <w:bidi/>
            </w:pPr>
            <w:r>
              <w:rPr>
                <w:rtl/>
              </w:rPr>
              <w:t xml:space="preserve">23.2</w:t>
            </w:r>
          </w:p>
        </w:tc>
        <w:tc>
          <w:tcPr>
            <w:tcW w:w="530170" w:type="dxa"/>
          </w:tcPr>
          <w:p>
            <w:pPr>
              <w:pStyle w:val="Compact"/>
              <w:bidi/>
            </w:pPr>
            <w:r>
              <w:rPr>
                <w:rtl/>
              </w:rPr>
              <w:t xml:space="preserve">20</w:t>
            </w:r>
          </w:p>
        </w:tc>
      </w:tr>
      <w:tr>
        <w:tc>
          <w:tcPr>
            <w:tcW w:w="596441" w:type="dxa"/>
          </w:tcPr>
          <w:p>
            <w:pPr>
              <w:pStyle w:val="Compact"/>
              <w:bidi/>
            </w:pPr>
            <w:r>
              <w:rPr>
                <w:rtl/>
              </w:rPr>
              <w:t xml:space="preserve">ART-005 دباسة مكتبية</w:t>
            </w:r>
          </w:p>
        </w:tc>
        <w:tc>
          <w:tcPr>
            <w:tcW w:w="508079" w:type="dxa"/>
          </w:tcPr>
          <w:p>
            <w:pPr>
              <w:pStyle w:val="Compact"/>
              <w:bidi/>
            </w:pPr>
            <w:r>
              <w:rPr>
                <w:rtl/>
              </w:rPr>
              <w:t xml:space="preserve">300</w:t>
            </w:r>
          </w:p>
        </w:tc>
        <w:tc>
          <w:tcPr>
            <w:tcW w:w="493687" w:type="dxa"/>
          </w:tcPr>
          <w:p>
            <w:pPr>
              <w:pStyle w:val="Compact"/>
              <w:bidi/>
            </w:pPr>
            <w:r>
              <w:rPr>
                <w:rtl/>
              </w:rPr>
              <w:t xml:space="preserve">200</w:t>
            </w:r>
          </w:p>
        </w:tc>
        <w:tc>
          <w:tcPr>
            <w:tcW w:w="493687" w:type="dxa"/>
          </w:tcPr>
          <w:p>
            <w:pPr>
              <w:pStyle w:val="Compact"/>
              <w:bidi/>
            </w:pPr>
            <w:r>
              <w:rPr>
                <w:rtl/>
              </w:rPr>
              <w:t xml:space="preserve">1,800</w:t>
            </w:r>
          </w:p>
        </w:tc>
        <w:tc>
          <w:tcPr>
            <w:tcW w:w="544227" w:type="dxa"/>
          </w:tcPr>
          <w:p>
            <w:pPr>
              <w:pStyle w:val="Compact"/>
              <w:bidi/>
            </w:pPr>
            <w:r>
              <w:rPr>
                <w:rtl/>
              </w:rPr>
              <w:t xml:space="preserve">10%</w:t>
            </w:r>
          </w:p>
        </w:tc>
        <w:tc>
          <w:tcPr>
            <w:tcW w:w="710910" w:type="dxa"/>
          </w:tcPr>
          <w:p>
            <w:pPr>
              <w:pStyle w:val="Compact"/>
              <w:bidi/>
            </w:pPr>
            <w:r>
              <w:rPr>
                <w:rtl/>
              </w:rPr>
              <w:t xml:space="preserve">26</w:t>
            </w:r>
          </w:p>
        </w:tc>
        <w:tc>
          <w:tcPr>
            <w:tcW w:w="682794" w:type="dxa"/>
          </w:tcPr>
          <w:p>
            <w:pPr>
              <w:pStyle w:val="Compact"/>
              <w:bidi/>
            </w:pPr>
            <w:r>
              <w:rPr>
                <w:rtl/>
              </w:rPr>
              <w:t xml:space="preserve">12.4</w:t>
            </w:r>
          </w:p>
        </w:tc>
        <w:tc>
          <w:tcPr>
            <w:tcW w:w="530170" w:type="dxa"/>
          </w:tcPr>
          <w:p>
            <w:pPr>
              <w:pStyle w:val="Compact"/>
              <w:bidi/>
            </w:pPr>
            <w:r>
              <w:rPr>
                <w:rtl/>
              </w:rPr>
              <w:t xml:space="preserve">10</w:t>
            </w:r>
          </w:p>
        </w:tc>
      </w:tr>
    </w:tbl>
    <w:bookmarkStart w:id="87" w:name="ثانيا-تحليل-النتائج-ودلالاتها-التشغيلية"/>
    <w:p>
      <w:pPr>
        <w:pStyle w:val="Heading4"/>
        <w:bidi/>
      </w:pPr>
      <w:r>
        <w:rPr>
          <w:rtl/>
        </w:rPr>
        <w:t xml:space="preserve">ثانياً: تحليل النتائج ودلالاتها التشغيلية</w:t>
      </w:r>
    </w:p>
    <w:p>
      <w:pPr>
        <w:bidi/>
        <w:spacing w:line="360" w:lineRule="auto"/>
        <w:jc w:val="right"/>
      </w:pPr>
      <w:r>
        <w:rPr>
          <w:rFonts w:ascii="Traditional Arabic" w:hAnsi="Traditional Arabic"/>
          <w:sz w:val="28"/>
          <w:rtl/>
        </w:rPr>
        <w:t xml:space="preserve">يُظهر التحليل النتائج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خطر التقدير الذاتي: في النظام اليدوي الحالي، يتم طلب جميع هذه الأصناف بناءً على</w:t>
      </w:r>
      <w:r>
        <w:rPr>
          <w:rFonts w:ascii="Traditional Arabic" w:hAnsi="Traditional Arabic"/>
          <w:b/>
          <w:bCs/>
          <w:sz w:val="28"/>
          <w:rtl/>
        </w:rPr>
        <w:t xml:space="preserve"> </w:t>
      </w:r>
      <w:r>
        <w:rPr>
          <w:rFonts w:ascii="Traditional Arabic" w:hAnsi="Traditional Arabic"/>
          <w:b/>
          <w:bCs/>
          <w:sz w:val="28"/>
          <w:rtl/>
        </w:rPr>
        <w:t xml:space="preserve">“تقدير تقريبي”</w:t>
      </w:r>
      <w:r>
        <w:rPr>
          <w:rFonts w:ascii="Traditional Arabic" w:hAnsi="Traditional Arabic"/>
          <w:b/>
          <w:bCs/>
          <w:sz w:val="28"/>
          <w:rtl/>
        </w:rPr>
        <w:t xml:space="preserve"> </w:t>
      </w:r>
      <w:r>
        <w:rPr>
          <w:rFonts w:ascii="Traditional Arabic" w:hAnsi="Traditional Arabic"/>
          <w:b/>
          <w:bCs/>
          <w:sz w:val="28"/>
          <w:rtl/>
        </w:rPr>
        <w:t xml:space="preserve">للمسير، مما يؤدي إما إلى تكديس أصناف الفئة C (هدر مالي) أو نفاد أصناف الفئة A (تعطيل إداري).</w:t>
      </w:r>
    </w:p>
    <w:bookmarkEnd w:id="87"/>
    <w:bookmarkEnd w:id="88"/>
    <w:bookmarkStart w:id="89" w:name="X1bb33ba9224f587193ff19f2f46f26887b562eb"/>
    <w:p>
      <w:pPr>
        <w:pStyle w:val="Heading3"/>
        <w:bidi/>
      </w:pPr>
      <w:r>
        <w:rPr>
          <w:b/>
          <w:sz w:val="32"/>
          <w:rtl/>
        </w:rPr>
        <w:t xml:space="preserve">المطلب الثاني: مصفوفة تحليل الفجوات — جدول رقم 05</w:t>
      </w:r>
    </w:p>
    <w:p>
      <w:pPr>
        <w:bidi/>
        <w:spacing w:line="360" w:lineRule="auto"/>
        <w:jc w:val="right"/>
      </w:pPr>
      <w:r>
        <w:rPr>
          <w:rFonts w:ascii="Traditional Arabic" w:hAnsi="Traditional Arabic"/>
          <w:sz w:val="28"/>
          <w:rtl/>
        </w:rPr>
        <w:t xml:space="preserve">تُقارن المصفوفة التالية (جدول رقم 05) بين التسيير اليدوي والنظام الرقمي المقترح.</w:t>
      </w:r>
      <w:r>
        <w:rPr>
          <w:rFonts w:ascii="Traditional Arabic" w:hAnsi="Traditional Arabic"/>
          <w:sz w:val="28"/>
          <w:rtl/>
        </w:rPr>
        <w:t xml:space="preserve"> </w:t>
      </w:r>
      <w:r>
        <w:rPr>
          <w:rFonts w:ascii="Traditional Arabic" w:hAnsi="Traditional Arabic"/>
          <w:b/>
          <w:bCs/>
          <w:sz w:val="28"/>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pPr>
            <w:r>
              <w:rPr>
                <w:rtl/>
              </w:rPr>
              <w:t xml:space="preserve">المعيار</w:t>
            </w:r>
          </w:p>
        </w:tc>
        <w:tc>
          <w:tcPr>
            <w:tcW w:w="1148398" w:type="dxa"/>
          </w:tcPr>
          <w:p>
            <w:pPr>
              <w:pStyle w:val="Compact"/>
              <w:bidi/>
            </w:pPr>
            <w:r>
              <w:rPr>
                <w:rtl/>
              </w:rPr>
              <w:t xml:space="preserve">يدوياً</w:t>
            </w:r>
          </w:p>
        </w:tc>
        <w:tc>
          <w:tcPr>
            <w:tcW w:w="1371842" w:type="dxa"/>
          </w:tcPr>
          <w:p>
            <w:pPr>
              <w:pStyle w:val="Compact"/>
              <w:bidi/>
            </w:pPr>
            <w:r>
              <w:rPr>
                <w:rtl/>
              </w:rPr>
              <w:t xml:space="preserve">DSS</w:t>
            </w:r>
          </w:p>
        </w:tc>
        <w:tc>
          <w:tcPr>
            <w:tcW w:w="1460181" w:type="dxa"/>
          </w:tcPr>
          <w:p>
            <w:pPr>
              <w:pStyle w:val="Compact"/>
              <w:bidi/>
            </w:pPr>
            <w:r>
              <w:rPr>
                <w:rtl/>
              </w:rPr>
              <w:t xml:space="preserve">الفجوة</w:t>
            </w:r>
          </w:p>
        </w:tc>
      </w:tr>
      <w:tr>
        <w:tc>
          <w:tcPr>
            <w:tcW w:w="1179577" w:type="dxa"/>
          </w:tcPr>
          <w:p>
            <w:pPr>
              <w:pStyle w:val="Compact"/>
              <w:bidi/>
            </w:pPr>
            <w:r>
              <w:rPr>
                <w:rtl/>
              </w:rPr>
              <w:t xml:space="preserve">ROP trigger</w:t>
            </w:r>
          </w:p>
        </w:tc>
        <w:tc>
          <w:tcPr>
            <w:tcW w:w="1148398" w:type="dxa"/>
          </w:tcPr>
          <w:p>
            <w:pPr>
              <w:pStyle w:val="Compact"/>
              <w:bidi/>
            </w:pPr>
            <w:r>
              <w:rPr>
                <w:rtl/>
              </w:rPr>
              <w:t xml:space="preserve">تقدير بصري</w:t>
            </w:r>
          </w:p>
        </w:tc>
        <w:tc>
          <w:tcPr>
            <w:tcW w:w="1371842" w:type="dxa"/>
          </w:tcPr>
          <w:p>
            <w:pPr>
              <w:pStyle w:val="Compact"/>
              <w:bidi/>
            </w:pPr>
            <w:r>
              <w:rPr>
                <w:rtl/>
              </w:rPr>
              <w:t xml:space="preserve">تنبيه آلي عند ROP</w:t>
            </w:r>
          </w:p>
        </w:tc>
        <w:tc>
          <w:tcPr>
            <w:tcW w:w="1460181" w:type="dxa"/>
          </w:tcPr>
          <w:p>
            <w:pPr>
              <w:pStyle w:val="Compact"/>
              <w:bidi/>
            </w:pPr>
            <w:r>
              <w:rPr>
                <w:rtl/>
              </w:rPr>
              <w:t xml:space="preserve">تفاعلي ← استباقي</w:t>
            </w:r>
          </w:p>
        </w:tc>
      </w:tr>
      <w:tr>
        <w:tc>
          <w:tcPr>
            <w:tcW w:w="1179577" w:type="dxa"/>
          </w:tcPr>
          <w:p>
            <w:pPr>
              <w:pStyle w:val="Compact"/>
              <w:bidi/>
            </w:pPr>
            <w:r>
              <w:rPr>
                <w:rtl/>
              </w:rPr>
              <w:t xml:space="preserve">دقة البيانات</w:t>
            </w:r>
          </w:p>
        </w:tc>
        <w:tc>
          <w:tcPr>
            <w:tcW w:w="1148398" w:type="dxa"/>
          </w:tcPr>
          <w:p>
            <w:pPr>
              <w:pStyle w:val="Compact"/>
              <w:bidi/>
            </w:pPr>
            <w:r>
              <w:rPr>
                <w:rtl/>
              </w:rPr>
              <w:t xml:space="preserve">15% تباين</w:t>
            </w:r>
          </w:p>
        </w:tc>
        <w:tc>
          <w:tcPr>
            <w:tcW w:w="1371842" w:type="dxa"/>
          </w:tcPr>
          <w:p>
            <w:pPr>
              <w:pStyle w:val="Compact"/>
              <w:bidi/>
            </w:pPr>
            <w:r>
              <w:rPr>
                <w:rtl/>
              </w:rPr>
              <w:t xml:space="preserve">مزامنة آنية</w:t>
            </w:r>
          </w:p>
        </w:tc>
        <w:tc>
          <w:tcPr>
            <w:tcW w:w="1460181" w:type="dxa"/>
          </w:tcPr>
          <w:p>
            <w:pPr>
              <w:pStyle w:val="Compact"/>
              <w:bidi/>
            </w:pPr>
            <w:r>
              <w:rPr>
                <w:rtl/>
              </w:rPr>
              <w:t xml:space="preserve">إلغاء الأخطاء</w:t>
            </w:r>
          </w:p>
        </w:tc>
      </w:tr>
      <w:tr>
        <w:tc>
          <w:tcPr>
            <w:tcW w:w="1179577" w:type="dxa"/>
          </w:tcPr>
          <w:p>
            <w:pPr>
              <w:pStyle w:val="Compact"/>
              <w:bidi/>
            </w:pPr>
            <w:r>
              <w:rPr>
                <w:rtl/>
              </w:rPr>
              <w:t xml:space="preserve">زمن المعالجة</w:t>
            </w:r>
          </w:p>
        </w:tc>
        <w:tc>
          <w:tcPr>
            <w:tcW w:w="1148398" w:type="dxa"/>
          </w:tcPr>
          <w:p>
            <w:pPr>
              <w:pStyle w:val="Compact"/>
              <w:bidi/>
            </w:pPr>
            <w:r>
              <w:rPr>
                <w:rtl/>
              </w:rPr>
              <w:t xml:space="preserve">20-30 دقيقة/أمر</w:t>
            </w:r>
          </w:p>
        </w:tc>
        <w:tc>
          <w:tcPr>
            <w:tcW w:w="1371842" w:type="dxa"/>
          </w:tcPr>
          <w:p>
            <w:pPr>
              <w:pStyle w:val="Compact"/>
              <w:bidi/>
            </w:pPr>
            <w:r>
              <w:rPr>
                <w:rtl/>
              </w:rPr>
              <w:t xml:space="preserve">&lt;5 ثوان</w:t>
            </w:r>
          </w:p>
        </w:tc>
        <w:tc>
          <w:tcPr>
            <w:tcW w:w="1460181" w:type="dxa"/>
          </w:tcPr>
          <w:p>
            <w:pPr>
              <w:pStyle w:val="Compact"/>
              <w:bidi/>
            </w:pPr>
            <w:r>
              <w:rPr>
                <w:rtl/>
              </w:rPr>
              <w:t xml:space="preserve">تحسن 99.7%</w:t>
            </w:r>
          </w:p>
        </w:tc>
      </w:tr>
      <w:tr>
        <w:tc>
          <w:tcPr>
            <w:tcW w:w="1179577" w:type="dxa"/>
          </w:tcPr>
          <w:p>
            <w:pPr>
              <w:pStyle w:val="Compact"/>
              <w:bidi/>
            </w:pPr>
            <w:r>
              <w:rPr>
                <w:rtl/>
              </w:rPr>
              <w:t xml:space="preserve">حساب التكاليف</w:t>
            </w:r>
          </w:p>
        </w:tc>
        <w:tc>
          <w:tcPr>
            <w:tcW w:w="1148398" w:type="dxa"/>
          </w:tcPr>
          <w:p>
            <w:pPr>
              <w:pStyle w:val="Compact"/>
              <w:bidi/>
            </w:pPr>
            <w:r>
              <w:rPr>
                <w:rtl/>
              </w:rPr>
              <w:t xml:space="preserve">تقدير يدوي</w:t>
            </w:r>
          </w:p>
        </w:tc>
        <w:tc>
          <w:tcPr>
            <w:tcW w:w="1371842" w:type="dxa"/>
          </w:tcPr>
          <w:p>
            <w:pPr>
              <w:pStyle w:val="Compact"/>
              <w:bidi/>
            </w:pPr>
            <w:r>
              <w:rPr>
                <w:rtl/>
              </w:rPr>
              <w:t xml:space="preserve">CMUP + Q* آلي</w:t>
            </w:r>
          </w:p>
        </w:tc>
        <w:tc>
          <w:tcPr>
            <w:tcW w:w="1460181" w:type="dxa"/>
          </w:tcPr>
          <w:p>
            <w:pPr>
              <w:pStyle w:val="Compact"/>
              <w:bidi/>
            </w:pPr>
            <w:r>
              <w:rPr>
                <w:rtl/>
              </w:rPr>
              <w:t xml:space="preserve">دقة مطلقة</w:t>
            </w:r>
          </w:p>
        </w:tc>
      </w:tr>
      <w:tr>
        <w:tc>
          <w:tcPr>
            <w:tcW w:w="1179577" w:type="dxa"/>
          </w:tcPr>
          <w:p>
            <w:pPr>
              <w:pStyle w:val="Compact"/>
              <w:bidi/>
            </w:pPr>
            <w:r>
              <w:rPr>
                <w:rtl/>
              </w:rPr>
              <w:t xml:space="preserve">إدارة المخاطر</w:t>
            </w:r>
          </w:p>
        </w:tc>
        <w:tc>
          <w:tcPr>
            <w:tcW w:w="1148398" w:type="dxa"/>
          </w:tcPr>
          <w:p>
            <w:pPr>
              <w:pStyle w:val="Compact"/>
              <w:bidi/>
            </w:pPr>
            <w:r>
              <w:rPr>
                <w:rtl/>
              </w:rPr>
              <w:t xml:space="preserve">نفاد متكرر</w:t>
            </w:r>
          </w:p>
        </w:tc>
        <w:tc>
          <w:tcPr>
            <w:tcW w:w="1371842" w:type="dxa"/>
          </w:tcPr>
          <w:p>
            <w:pPr>
              <w:pStyle w:val="Compact"/>
              <w:bidi/>
            </w:pPr>
            <w:r>
              <w:rPr>
                <w:rtl/>
              </w:rPr>
              <w:t xml:space="preserve">صفر نفاد (SS)</w:t>
            </w:r>
          </w:p>
        </w:tc>
        <w:tc>
          <w:tcPr>
            <w:tcW w:w="1460181" w:type="dxa"/>
          </w:tcPr>
          <w:p>
            <w:pPr>
              <w:pStyle w:val="Compact"/>
              <w:bidi/>
            </w:pPr>
            <w:r>
              <w:rPr>
                <w:rtl/>
              </w:rPr>
              <w:t xml:space="preserve">استمرارية الخدمة</w:t>
            </w:r>
          </w:p>
        </w:tc>
      </w:tr>
    </w:tbl>
    <w:bookmarkEnd w:id="89"/>
    <w:bookmarkStart w:id="97" w:name="Xf44bb1cbb1fbf8d3786fd5660f5e5e712de4010"/>
    <w:p>
      <w:pPr>
        <w:pStyle w:val="Heading3"/>
        <w:bidi/>
      </w:pPr>
      <w:r>
        <w:rPr>
          <w:b/>
          <w:sz w:val="32"/>
          <w:rtl/>
        </w:rPr>
        <w:t xml:space="preserve">المطلب الثالث: تصنيف ABC-XYZ كأداة لتوجيه القرار</w:t>
      </w:r>
    </w:p>
    <w:p>
      <w:pPr>
        <w:bidi/>
        <w:spacing w:line="360" w:lineRule="auto"/>
        <w:jc w:val="right"/>
      </w:pPr>
      <w:r>
        <w:rPr>
          <w:rFonts w:ascii="Traditional Arabic" w:hAnsi="Traditional Arabic"/>
          <w:sz w:val="28"/>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0" w:name="أولا-منطق-التصنيف-المعتمد"/>
    <w:p>
      <w:pPr>
        <w:pStyle w:val="Heading4"/>
        <w:bidi/>
      </w:pPr>
      <w:r>
        <w:rPr>
          <w:rtl/>
        </w:rPr>
        <w:t xml:space="preserve">أولاً: منطق التصنيف المعتمد</w:t>
      </w:r>
    </w:p>
    <w:p>
      <w:pPr>
        <w:pStyle w:val="Compact"/>
        <w:numPr>
          <w:ilvl w:val="0"/>
          <w:numId w:val="1003"/>
        </w:numPr>
        <w:bidi/>
        <w:spacing w:line="360" w:lineRule="auto"/>
        <w:jc w:val="right"/>
      </w:pPr>
      <w:r>
        <w:rPr>
          <w:rFonts w:ascii="Traditional Arabic" w:hAnsi="Traditional Arabic"/>
          <w:b/>
          <w:bCs/>
          <w:sz w:val="28"/>
          <w:rtl/>
        </w:rPr>
        <w:t xml:space="preserve">المحور A-B-C (القيمة): يتم تحديد الفئة بناءً على الوزن التراكمي للقيمة الاستهلاكية السنوية.</w:t>
      </w:r>
    </w:p>
    <w:p>
      <w:pPr>
        <w:pStyle w:val="Compact"/>
        <w:numPr>
          <w:ilvl w:val="0"/>
          <w:numId w:val="1003"/>
        </w:numPr>
        <w:bidi/>
        <w:spacing w:line="360" w:lineRule="auto"/>
        <w:jc w:val="right"/>
      </w:pPr>
      <w:r>
        <w:rPr>
          <w:rFonts w:ascii="Traditional Arabic" w:hAnsi="Traditional Arabic"/>
          <w:b/>
          <w:bCs/>
          <w:sz w:val="28"/>
          <w:rtl/>
        </w:rPr>
        <w:t xml:space="preserve">المحور X-Y-Z (الاستقرار): يتم تحديد الفئة بناءً على معامل التباين (CV) للطلب الدوري.</w:t>
      </w:r>
    </w:p>
    <w:bookmarkEnd w:id="90"/>
    <w:bookmarkStart w:id="96" w:name="ثانيا-استراتيجية-التسيير-الموجهة"/>
    <w:p>
      <w:pPr>
        <w:pStyle w:val="Heading4"/>
        <w:bidi/>
      </w:pPr>
      <w:r>
        <w:rPr>
          <w:rtl/>
        </w:rPr>
        <w:t xml:space="preserve">ثانياً: استراتيجية التسيير الموجهة</w:t>
      </w:r>
    </w:p>
    <w:p>
      <w:pPr>
        <w:bidi/>
        <w:spacing w:line="360" w:lineRule="auto"/>
        <w:jc w:val="right"/>
      </w:pPr>
      <w:r>
        <w:rPr>
          <w:rFonts w:ascii="Traditional Arabic" w:hAnsi="Traditional Arabic"/>
          <w:sz w:val="28"/>
          <w:rtl/>
        </w:rPr>
        <w:t xml:space="preserve">بناءً على هذا التصنيف، يتبنى نظام دعم القرار الاستراتيجيات التالية: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AX (عالية القيمة/مستقرة): تطبيق صارم لنموذج ويلسون مع تحديث يومي للأرصدة.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BY (متوسطة القيمة/موسمية): تطبيق هوامش أمان مرنة تتكيف مع فترات الذروة (مثل بداية السنة الدراسية).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الأصناف CZ (منخفضة القيمة/غير منتظمة): تبسيط إجراءات التموين مع الاعتماد على الطلب عند الحاجة (Just-in-Time).</w:t>
      </w:r>
      <w:r>
        <w:rPr>
          <w:rFonts w:ascii="Traditional Arabic" w:hAnsi="Traditional Arabic"/>
          <w:sz w:val="28"/>
          <w:rtl/>
        </w:rPr>
        <w:t xml:space="preserve"> </w:t>
      </w:r>
      <w:r>
        <w:rPr>
          <w:rFonts w:ascii="Traditional Arabic" w:hAnsi="Traditional Arabic"/>
          <w:sz w:val="28"/>
          <w:rtl/>
        </w:rPr>
        <w:t xml:space="preserve">هذا التصنيف هو الذي يمنح النظام</w:t>
      </w:r>
      <w:r>
        <w:rPr>
          <w:rFonts w:ascii="Traditional Arabic" w:hAnsi="Traditional Arabic"/>
          <w:sz w:val="28"/>
          <w:rtl/>
        </w:rPr>
        <w:t xml:space="preserve"> </w:t>
      </w:r>
      <w:r>
        <w:rPr>
          <w:rFonts w:ascii="Traditional Arabic" w:hAnsi="Traditional Arabic"/>
          <w:sz w:val="28"/>
          <w:rtl/>
        </w:rPr>
        <w:t xml:space="preserve">“ذكاءً تشغيلياً”</w:t>
      </w:r>
      <w:r>
        <w:rPr>
          <w:rFonts w:ascii="Traditional Arabic" w:hAnsi="Traditional Arabic"/>
          <w:sz w:val="28"/>
          <w:rtl/>
        </w:rPr>
        <w:t xml:space="preserve">، حيث لا يعامل جميع الأصناف بنفس الطريقة، بل يوجه موارد الرقابة نحو الأصناف التي تشكل الخطر الأكبر على سير العمل.</w:t>
      </w:r>
    </w:p>
    <w:p>
      <w:pPr>
        <w:bidi/>
        <w:spacing w:line="360" w:lineRule="auto"/>
        <w:jc w:val="right"/>
      </w:pPr>
      <w:r>
        <w:rPr>
          <w:rFonts w:ascii="Traditional Arabic" w:hAnsi="Traditional Arabic"/>
          <w:b/>
          <w:bCs/>
          <w:sz w:val="28"/>
          <w:rtl/>
        </w:rPr>
        <w:t xml:space="preserve">خلاصة الفصل الثاني</w:t>
      </w:r>
      <w:r>
        <w:rPr>
          <w:rFonts w:ascii="Traditional Arabic" w:hAnsi="Traditional Arabic"/>
          <w:sz w:val="28"/>
          <w:rtl/>
        </w:rPr>
        <w:t xml:space="preserve"> </w:t>
      </w:r>
      <w:r>
        <w:rPr>
          <w:rFonts w:ascii="Traditional Arabic" w:hAnsi="Traditional Arabic"/>
          <w:sz w:val="28"/>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Fonts w:ascii="Traditional Arabic" w:hAnsi="Traditional Arabic"/>
          <w:sz w:val="28"/>
          <w:rtl/>
        </w:rPr>
        <w:t xml:space="preserve"> </w:t>
      </w:r>
      <w:r>
        <w:rPr>
          <w:rFonts w:ascii="Traditional Arabic" w:hAnsi="Traditional Arabic"/>
          <w:sz w:val="28"/>
          <w:rtl/>
        </w:rPr>
        <w:t xml:space="preserve">— نهاية الفصل الثاني —</w:t>
      </w:r>
      <w:r>
        <w:rPr>
          <w:rFonts w:ascii="Traditional Arabic" w:hAnsi="Traditional Arabic"/>
          <w:sz w:val="28"/>
          <w:rtl/>
        </w:rPr>
        <w:t xml:space="preserve"> </w:t>
      </w:r>
      <w:r>
        <w:rPr>
          <w:rStyle w:val="FootnoteReference"/>
          <w:rFonts w:ascii="Traditional Arabic" w:hAnsi="Traditional Arabic"/>
          <w:sz w:val="28"/>
        </w:rPr>
        <w:footnoteReference w:id="91"/>
      </w:r>
      <w:r>
        <w:rPr>
          <w:rFonts w:ascii="Traditional Arabic" w:hAnsi="Traditional Arabic"/>
          <w:sz w:val="28"/>
          <w:rtl/>
        </w:rPr>
        <w:t xml:space="preserve"> </w:t>
      </w:r>
      <w:r>
        <w:rPr>
          <w:rStyle w:val="FootnoteReference"/>
          <w:rFonts w:ascii="Traditional Arabic" w:hAnsi="Traditional Arabic"/>
          <w:sz w:val="28"/>
        </w:rPr>
        <w:footnoteReference w:id="92"/>
      </w:r>
      <w:r>
        <w:rPr>
          <w:rFonts w:ascii="Traditional Arabic" w:hAnsi="Traditional Arabic"/>
          <w:sz w:val="28"/>
          <w:rtl/>
        </w:rPr>
        <w:t xml:space="preserve"> </w:t>
      </w:r>
      <w:r>
        <w:rPr>
          <w:rStyle w:val="FootnoteReference"/>
          <w:rFonts w:ascii="Traditional Arabic" w:hAnsi="Traditional Arabic"/>
          <w:sz w:val="28"/>
        </w:rPr>
        <w:footnoteReference w:id="93"/>
      </w:r>
      <w:r>
        <w:rPr>
          <w:rFonts w:ascii="Traditional Arabic" w:hAnsi="Traditional Arabic"/>
          <w:sz w:val="28"/>
          <w:rtl/>
        </w:rPr>
        <w:t xml:space="preserve"> </w:t>
      </w:r>
      <w:r>
        <w:rPr>
          <w:rStyle w:val="FootnoteReference"/>
          <w:rFonts w:ascii="Traditional Arabic" w:hAnsi="Traditional Arabic"/>
          <w:sz w:val="28"/>
        </w:rPr>
        <w:footnoteReference w:id="94"/>
      </w:r>
      <w:r>
        <w:rPr>
          <w:rFonts w:ascii="Traditional Arabic" w:hAnsi="Traditional Arabic"/>
          <w:sz w:val="28"/>
          <w:rtl/>
        </w:rPr>
        <w:t xml:space="preserve"> </w:t>
      </w:r>
      <w:r>
        <w:rPr>
          <w:rStyle w:val="FootnoteReference"/>
          <w:rFonts w:ascii="Traditional Arabic" w:hAnsi="Traditional Arabic"/>
          <w:sz w:val="28"/>
        </w:rPr>
        <w:footnoteReference w:id="95"/>
      </w:r>
    </w:p>
    <w:bookmarkEnd w:id="96"/>
    <w:bookmarkEnd w:id="97"/>
    <w:bookmarkEnd w:id="98"/>
    <w:bookmarkEnd w:id="99"/>
    <w:bookmarkStart w:id="131" w:name="X425548a444476a4a4f36373e56e022eba81766a"/>
    <w:p>
      <w:pPr>
        <w:pStyle w:val="Heading1"/>
        <w:bidi/>
      </w:pPr>
      <w:r>
        <w:rPr>
          <w:b/>
          <w:sz w:val="44"/>
          <w:rtl/>
        </w:rPr>
        <w:t xml:space="preserve">الفصل الثالث: تصميم وإنجاز نظام دعم القرار</w:t>
      </w:r>
    </w:p>
    <w:p>
      <w:pPr>
        <w:bidi/>
        <w:spacing w:line="360" w:lineRule="auto"/>
        <w:jc w:val="right"/>
      </w:pPr>
      <w:r>
        <w:rPr>
          <w:rFonts w:ascii="Traditional Arabic" w:hAnsi="Traditional Arabic"/>
          <w:sz w:val="28"/>
          <w:rtl/>
        </w:rPr>
        <w:t xml:space="preserve">تمهيد الفصل</w:t>
      </w:r>
      <w:r>
        <w:rPr>
          <w:rFonts w:ascii="Traditional Arabic" w:hAnsi="Traditional Arabic"/>
          <w:sz w:val="28"/>
          <w:rtl/>
        </w:rPr>
        <w:t xml:space="preserve"> </w:t>
      </w:r>
      <w:r>
        <w:rPr>
          <w:rFonts w:ascii="Traditional Arabic" w:hAnsi="Traditional Arabic"/>
          <w:sz w:val="28"/>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6" w:name="Xa676c4e96c951c611f1581966c5cca345efded0"/>
    <w:p>
      <w:pPr>
        <w:pStyle w:val="Heading2"/>
        <w:bidi/>
      </w:pPr>
      <w:r>
        <w:rPr>
          <w:b/>
          <w:sz w:val="36"/>
          <w:rtl/>
        </w:rPr>
        <w:t xml:space="preserve">المبحث الأول: الهندسة المتكاملة لنظام دعم القرار</w:t>
      </w:r>
    </w:p>
    <w:p>
      <w:pPr>
        <w:bidi/>
        <w:spacing w:line="360" w:lineRule="auto"/>
        <w:jc w:val="right"/>
      </w:pPr>
      <w:r>
        <w:rPr>
          <w:rFonts w:ascii="Traditional Arabic" w:hAnsi="Traditional Arabic"/>
          <w:sz w:val="28"/>
          <w:rtl/>
        </w:rPr>
        <w:t xml:space="preserve">يستهدف هذا المبحث تفكيك البنية الهندسية للنظام المقترح، موضحاً كيف تحول من مجرد</w:t>
      </w:r>
      <w:r>
        <w:rPr>
          <w:rFonts w:ascii="Traditional Arabic" w:hAnsi="Traditional Arabic"/>
          <w:sz w:val="28"/>
          <w:rtl/>
        </w:rPr>
        <w:t xml:space="preserve"> </w:t>
      </w:r>
      <w:r>
        <w:rPr>
          <w:rFonts w:ascii="Traditional Arabic" w:hAnsi="Traditional Arabic"/>
          <w:sz w:val="28"/>
          <w:rtl/>
        </w:rPr>
        <w:t xml:space="preserve">“أداة تسجيل”</w:t>
      </w:r>
      <w:r>
        <w:rPr>
          <w:rFonts w:ascii="Traditional Arabic" w:hAnsi="Traditional Arabic"/>
          <w:sz w:val="28"/>
          <w:rtl/>
        </w:rPr>
        <w:t xml:space="preserve"> </w:t>
      </w:r>
      <w:r>
        <w:rPr>
          <w:rFonts w:ascii="Traditional Arabic" w:hAnsi="Traditional Arabic"/>
          <w:sz w:val="28"/>
          <w:rtl/>
        </w:rPr>
        <w:t xml:space="preserve">إلى</w:t>
      </w:r>
      <w:r>
        <w:rPr>
          <w:rFonts w:ascii="Traditional Arabic" w:hAnsi="Traditional Arabic"/>
          <w:sz w:val="28"/>
          <w:rtl/>
        </w:rPr>
        <w:t xml:space="preserve"> </w:t>
      </w:r>
      <w:r>
        <w:rPr>
          <w:rFonts w:ascii="Traditional Arabic" w:hAnsi="Traditional Arabic"/>
          <w:sz w:val="28"/>
          <w:rtl/>
        </w:rPr>
        <w:t xml:space="preserve">“نظام دعم قرار”</w:t>
      </w:r>
      <w:r>
        <w:rPr>
          <w:rFonts w:ascii="Traditional Arabic" w:hAnsi="Traditional Arabic"/>
          <w:sz w:val="28"/>
          <w:rtl/>
        </w:rPr>
        <w:t xml:space="preserve"> </w:t>
      </w:r>
      <w:r>
        <w:rPr>
          <w:rFonts w:ascii="Traditional Arabic" w:hAnsi="Traditional Arabic"/>
          <w:sz w:val="28"/>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3" w:name="X50eda9fd44e4b29eb77e7e9ee21c27f44b1ac92"/>
    <w:p>
      <w:pPr>
        <w:pStyle w:val="Heading3"/>
        <w:bidi/>
      </w:pPr>
      <w:r>
        <w:rPr>
          <w:b/>
          <w:sz w:val="32"/>
          <w:rtl/>
        </w:rPr>
        <w:t xml:space="preserve">المطلب الأول: فلسفة التصميم والتحول من الأنظمة أحادية الطبقة</w:t>
      </w:r>
    </w:p>
    <w:p>
      <w:pPr>
        <w:bidi/>
        <w:spacing w:line="360" w:lineRule="auto"/>
        <w:jc w:val="right"/>
      </w:pPr>
      <w:r>
        <w:rPr>
          <w:rFonts w:ascii="Traditional Arabic" w:hAnsi="Traditional Arabic"/>
          <w:sz w:val="28"/>
          <w:rtl/>
        </w:rPr>
        <w:t xml:space="preserve">تعتمد معظم الحلول البرمجية التقليدية الموجهة للمؤسسات الصغيرة على</w:t>
      </w:r>
      <w:r>
        <w:rPr>
          <w:rFonts w:ascii="Traditional Arabic" w:hAnsi="Traditional Arabic"/>
          <w:sz w:val="28"/>
          <w:rtl/>
        </w:rPr>
        <w:t xml:space="preserve"> </w:t>
      </w:r>
      <w:r>
        <w:rPr>
          <w:rFonts w:ascii="Traditional Arabic" w:hAnsi="Traditional Arabic"/>
          <w:sz w:val="28"/>
          <w:rtl/>
        </w:rPr>
        <w:t xml:space="preserve">“الأنظمة أحادية الطبقة”</w:t>
      </w:r>
      <w:r>
        <w:rPr>
          <w:rFonts w:ascii="Traditional Arabic" w:hAnsi="Traditional Arabic"/>
          <w:sz w:val="28"/>
          <w:rtl/>
        </w:rPr>
        <w:t xml:space="preserve"> </w:t>
      </w:r>
      <w:r>
        <w:rPr>
          <w:rFonts w:ascii="Traditional Arabic" w:hAnsi="Traditional Arabic"/>
          <w:sz w:val="28"/>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ضعف الرقابة (Control Gap): انعدام القدرة على فرض قيود إدخال (Input Constraints)، مما يسمح بتسجيل كميات سالبة أو أكواد أصناف غير موجودة.</w:t>
      </w:r>
      <w:r>
        <w:rPr>
          <w:rFonts w:ascii="Traditional Arabic" w:hAnsi="Traditional Arabic"/>
          <w:sz w:val="28"/>
          <w:rtl/>
        </w:rPr>
        <w:t xml:space="preserve"> </w:t>
      </w:r>
      <w:r>
        <w:rPr>
          <w:rFonts w:ascii="Traditional Arabic" w:hAnsi="Traditional Arabic"/>
          <w:sz w:val="28"/>
          <w:rtl/>
        </w:rPr>
        <w:t xml:space="preserve">يُشار إلى أن عدة دراسات جزائرية سابقة تناولت هذا الإشكال، منها أعمال Sebti حول أدوات دعم القرار لتسيير المخزون</w:t>
      </w:r>
      <w:r>
        <w:rPr>
          <w:rFonts w:ascii="Traditional Arabic" w:hAnsi="Traditional Arabic"/>
          <w:sz w:val="28"/>
          <w:rtl/>
        </w:rPr>
        <w:t xml:space="preserve"> </w:t>
      </w:r>
      <w:r>
        <w:rPr>
          <w:rStyle w:val="FootnoteReference"/>
          <w:rFonts w:ascii="Traditional Arabic" w:hAnsi="Traditional Arabic"/>
          <w:sz w:val="28"/>
        </w:rPr>
        <w:footnoteReference w:id="100"/>
      </w:r>
      <w:r>
        <w:rPr>
          <w:rFonts w:ascii="Traditional Arabic" w:hAnsi="Traditional Arabic"/>
          <w:sz w:val="28"/>
          <w:rtl/>
        </w:rPr>
        <w:t xml:space="preserve">، وYahi حول برمجيات تسيير مخزون قطع الغيار</w:t>
      </w:r>
      <w:r>
        <w:rPr>
          <w:rFonts w:ascii="Traditional Arabic" w:hAnsi="Traditional Arabic"/>
          <w:sz w:val="28"/>
          <w:rtl/>
        </w:rPr>
        <w:t xml:space="preserve"> </w:t>
      </w:r>
      <w:r>
        <w:rPr>
          <w:rStyle w:val="FootnoteReference"/>
          <w:rFonts w:ascii="Traditional Arabic" w:hAnsi="Traditional Arabic"/>
          <w:sz w:val="28"/>
        </w:rPr>
        <w:footnoteReference w:id="101"/>
      </w:r>
      <w:r>
        <w:rPr>
          <w:rFonts w:ascii="Traditional Arabic" w:hAnsi="Traditional Arabic"/>
          <w:sz w:val="28"/>
          <w:rtl/>
        </w:rPr>
        <w:t xml:space="preserve">، وبشكل أحدث Bouchahlata الذي جمع بين بيئة VBA وذكاء الأعمال في سياق Ericsson Algérie</w:t>
      </w:r>
      <w:r>
        <w:rPr>
          <w:rFonts w:ascii="Traditional Arabic" w:hAnsi="Traditional Arabic"/>
          <w:sz w:val="28"/>
          <w:rtl/>
        </w:rPr>
        <w:t xml:space="preserve"> </w:t>
      </w:r>
      <w:r>
        <w:rPr>
          <w:rStyle w:val="FootnoteReference"/>
          <w:rFonts w:ascii="Traditional Arabic" w:hAnsi="Traditional Arabic"/>
          <w:sz w:val="28"/>
        </w:rPr>
        <w:footnoteReference w:id="102"/>
      </w:r>
      <w:r>
        <w:rPr>
          <w:rFonts w:ascii="Traditional Arabic" w:hAnsi="Traditional Arabic"/>
          <w:sz w:val="28"/>
          <w:rtl/>
        </w:rPr>
        <w:t xml:space="preserve">.</w:t>
      </w:r>
    </w:p>
    <w:bookmarkEnd w:id="103"/>
    <w:bookmarkStart w:id="104" w:name="Xd01ba28ceb43c2aafcfa279441271082bf35e79"/>
    <w:p>
      <w:pPr>
        <w:pStyle w:val="Heading3"/>
        <w:bidi/>
      </w:pPr>
      <w:r>
        <w:rPr>
          <w:b/>
          <w:sz w:val="32"/>
          <w:rtl/>
        </w:rPr>
        <w:t xml:space="preserve">المطلب الثاني: مبدأ التكامل الوظيفي في بيئة Excel/VBA</w:t>
      </w:r>
    </w:p>
    <w:p>
      <w:pPr>
        <w:bidi/>
        <w:spacing w:line="360" w:lineRule="auto"/>
        <w:jc w:val="right"/>
      </w:pPr>
      <w:r>
        <w:rPr>
          <w:rFonts w:ascii="Traditional Arabic" w:hAnsi="Traditional Arabic"/>
          <w:b/>
          <w:bCs/>
          <w:sz w:val="28"/>
          <w:rtl/>
        </w:rPr>
        <w:t xml:space="preserve">يقوم نظام دعم القرار v13.3 على مبدأ</w:t>
      </w:r>
      <w:r>
        <w:rPr>
          <w:rFonts w:ascii="Traditional Arabic" w:hAnsi="Traditional Arabic"/>
          <w:b/>
          <w:bCs/>
          <w:sz w:val="28"/>
          <w:rtl/>
        </w:rPr>
        <w:t xml:space="preserve"> </w:t>
      </w:r>
      <w:r>
        <w:rPr>
          <w:rFonts w:ascii="Traditional Arabic" w:hAnsi="Traditional Arabic"/>
          <w:b/>
          <w:bCs/>
          <w:sz w:val="28"/>
          <w:rtl/>
        </w:rPr>
        <w:t xml:space="preserve">“التكامل الوظيفي”</w:t>
      </w:r>
      <w:r>
        <w:rPr>
          <w:rFonts w:ascii="Traditional Arabic" w:hAnsi="Traditional Arabic"/>
          <w:b/>
          <w:bCs/>
          <w:sz w:val="28"/>
          <w:rtl/>
        </w:rPr>
        <w:t xml:space="preserve"> </w:t>
      </w:r>
      <w:r>
        <w:rPr>
          <w:rFonts w:ascii="Traditional Arabic" w:hAnsi="Traditional Arabic"/>
          <w:b/>
          <w:bCs/>
          <w:sz w:val="28"/>
          <w:rtl/>
        </w:rPr>
        <w:t xml:space="preserve">(Functional Integration)، حيث يتم تحويل أوراق العمل من</w:t>
      </w:r>
      <w:r>
        <w:rPr>
          <w:rFonts w:ascii="Traditional Arabic" w:hAnsi="Traditional Arabic"/>
          <w:b/>
          <w:bCs/>
          <w:sz w:val="28"/>
          <w:rtl/>
        </w:rPr>
        <w:t xml:space="preserve"> </w:t>
      </w:r>
      <w:r>
        <w:rPr>
          <w:rFonts w:ascii="Traditional Arabic" w:hAnsi="Traditional Arabic"/>
          <w:b/>
          <w:bCs/>
          <w:sz w:val="28"/>
          <w:rtl/>
        </w:rPr>
        <w:t xml:space="preserve">“جزر معزولة”</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“وحدات مترابطة”</w:t>
      </w:r>
      <w:r>
        <w:rPr>
          <w:rFonts w:ascii="Traditional Arabic" w:hAnsi="Traditional Arabic"/>
          <w:b/>
          <w:bCs/>
          <w:sz w:val="28"/>
          <w:rtl/>
        </w:rPr>
        <w:t xml:space="preserve"> </w:t>
      </w:r>
      <w:r>
        <w:rPr>
          <w:rFonts w:ascii="Traditional Arabic" w:hAnsi="Traditional Arabic"/>
          <w:b/>
          <w:bCs/>
          <w:sz w:val="28"/>
          <w:rtl/>
        </w:rPr>
        <w:t xml:space="preserve">تعمل ككيان واحد. يتم تحقيق هذا التكامل عبر مسارين:</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4"/>
    <w:bookmarkStart w:id="105" w:name="Xb3cd0739dd5a83bd5baa46bdafa673a7ae7a4aa"/>
    <w:p>
      <w:pPr>
        <w:pStyle w:val="Heading3"/>
        <w:bidi/>
      </w:pPr>
      <w:r>
        <w:rPr>
          <w:b/>
          <w:sz w:val="32"/>
          <w:rtl/>
        </w:rPr>
        <w:t xml:space="preserve">المطلب الثالث: معايير الاستقلالية التشغيلية والانتشار</w:t>
      </w:r>
    </w:p>
    <w:p>
      <w:pPr>
        <w:bidi/>
        <w:spacing w:line="360" w:lineRule="auto"/>
        <w:jc w:val="right"/>
      </w:pPr>
      <w:r>
        <w:rPr>
          <w:rFonts w:ascii="Traditional Arabic" w:hAnsi="Traditional Arabic"/>
          <w:sz w:val="28"/>
          <w:rtl/>
        </w:rPr>
        <w:t xml:space="preserve">لضمان استدامة النظام في بيئة العمل العمومية، تم تبني معايير</w:t>
      </w:r>
      <w:r>
        <w:rPr>
          <w:rFonts w:ascii="Traditional Arabic" w:hAnsi="Traditional Arabic"/>
          <w:sz w:val="28"/>
          <w:rtl/>
        </w:rPr>
        <w:t xml:space="preserve"> </w:t>
      </w:r>
      <w:r>
        <w:rPr>
          <w:rFonts w:ascii="Traditional Arabic" w:hAnsi="Traditional Arabic"/>
          <w:sz w:val="28"/>
          <w:rtl/>
        </w:rPr>
        <w:t xml:space="preserve">“الاستقلالية التامة”</w:t>
      </w:r>
      <w:r>
        <w:rPr>
          <w:rFonts w:ascii="Traditional Arabic" w:hAnsi="Traditional Arabic"/>
          <w:sz w:val="28"/>
          <w:rtl/>
        </w:rPr>
        <w:t xml:space="preserve"> </w:t>
      </w:r>
      <w:r>
        <w:rPr>
          <w:rFonts w:ascii="Traditional Arabic" w:hAnsi="Traditional Arabic"/>
          <w:sz w:val="28"/>
          <w:rtl/>
        </w:rPr>
        <w:t xml:space="preserve">(Operational Autonomy)، والتي تتجلى في ثلاثة أبعاد:</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rFonts w:ascii="Traditional Arabic" w:hAnsi="Traditional Arabic"/>
          <w:b/>
          <w:bCs/>
          <w:sz w:val="28"/>
          <w:rtl/>
        </w:rPr>
        <w:t xml:space="preserve"> </w:t>
      </w:r>
      <w:r>
        <w:rPr>
          <w:rFonts w:ascii="Traditional Arabic" w:hAnsi="Traditional Arabic"/>
          <w:b/>
          <w:bCs/>
          <w:sz w:val="28"/>
          <w:rtl/>
        </w:rPr>
        <w:t xml:space="preserve">“صفرية”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5"/>
    <w:bookmarkEnd w:id="106"/>
    <w:bookmarkStart w:id="112" w:name="Xfb30997312ec99a0ff92bdd7dc592fd161b34eb"/>
    <w:p>
      <w:pPr>
        <w:pStyle w:val="Heading2"/>
        <w:bidi/>
      </w:pPr>
      <w:r>
        <w:rPr>
          <w:b/>
          <w:sz w:val="36"/>
          <w:rtl/>
        </w:rPr>
        <w:t xml:space="preserve">المبحث الثاني: هندسة تدفق البيانات وآليات الرقابة</w:t>
      </w:r>
    </w:p>
    <w:p>
      <w:pPr>
        <w:bidi/>
        <w:spacing w:line="360" w:lineRule="auto"/>
        <w:jc w:val="right"/>
      </w:pPr>
      <w:r>
        <w:rPr>
          <w:rFonts w:ascii="Traditional Arabic" w:hAnsi="Traditional Arabic"/>
          <w:sz w:val="28"/>
          <w:rtl/>
        </w:rPr>
        <w:t xml:space="preserve">لا تكمن قوة أي نظام معلوماتي في واجهته الخارجية، بل في</w:t>
      </w:r>
      <w:r>
        <w:rPr>
          <w:rFonts w:ascii="Traditional Arabic" w:hAnsi="Traditional Arabic"/>
          <w:sz w:val="28"/>
          <w:rtl/>
        </w:rPr>
        <w:t xml:space="preserve"> </w:t>
      </w:r>
      <w:r>
        <w:rPr>
          <w:rFonts w:ascii="Traditional Arabic" w:hAnsi="Traditional Arabic"/>
          <w:sz w:val="28"/>
          <w:rtl/>
        </w:rPr>
        <w:t xml:space="preserve">“منطق التدفق”</w:t>
      </w:r>
      <w:r>
        <w:rPr>
          <w:rFonts w:ascii="Traditional Arabic" w:hAnsi="Traditional Arabic"/>
          <w:sz w:val="28"/>
          <w:rtl/>
        </w:rPr>
        <w:t xml:space="preserve"> </w:t>
      </w:r>
      <w:r>
        <w:rPr>
          <w:rFonts w:ascii="Traditional Arabic" w:hAnsi="Traditional Arabic"/>
          <w:sz w:val="28"/>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7" w:name="Xe1412b27e8b4694678434ce8a4f8b6f261fecdf"/>
    <w:p>
      <w:pPr>
        <w:pStyle w:val="Heading3"/>
        <w:bidi/>
      </w:pPr>
      <w:r>
        <w:rPr>
          <w:b/>
          <w:sz w:val="32"/>
          <w:rtl/>
        </w:rPr>
        <w:t xml:space="preserve">المطلب الأول: سلسلة الحراسة السداسية (Six-Guard Data Chain)</w:t>
      </w:r>
    </w:p>
    <w:p>
      <w:pPr>
        <w:bidi/>
        <w:spacing w:line="360" w:lineRule="auto"/>
        <w:jc w:val="right"/>
      </w:pPr>
      <w:r>
        <w:rPr>
          <w:rFonts w:ascii="Traditional Arabic" w:hAnsi="Traditional Arabic"/>
          <w:sz w:val="28"/>
          <w:rtl/>
        </w:rPr>
        <w:t xml:space="preserve">لضمان أعلى مستويات الدقة ومنع التلاعب أو الخطأ العفوي، تم ابتكار بروتوكول رقابي يُعرف بـ</w:t>
      </w:r>
      <w:r>
        <w:rPr>
          <w:rFonts w:ascii="Traditional Arabic" w:hAnsi="Traditional Arabic"/>
          <w:sz w:val="28"/>
          <w:rtl/>
        </w:rPr>
        <w:t xml:space="preserve"> </w:t>
      </w:r>
      <w:r>
        <w:rPr>
          <w:rFonts w:ascii="Traditional Arabic" w:hAnsi="Traditional Arabic"/>
          <w:sz w:val="28"/>
          <w:rtl/>
        </w:rPr>
        <w:t xml:space="preserve">“سلسلة الحراسة السداسية”</w:t>
      </w:r>
      <w:r>
        <w:rPr>
          <w:rFonts w:ascii="Traditional Arabic" w:hAnsi="Traditional Arabic"/>
          <w:sz w:val="28"/>
          <w:rtl/>
        </w:rPr>
        <w:t xml:space="preserve">. يعمل هذا البروتوكول كفلتر متسلسل يمر عبره كل إدخال قبل اعتماده نهائياً في السجلات: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الكود (Code Guard): التحقق من أن رمز المادة مُسجل فعلياً في قاعدة البيانات لمنع خلق أصناف وهمية.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النوع (Type Guard): إلزام المستخدم بتحديد نوع الحركة (دخول/خروج) بشكل قطعي، مما يمنع الخلط بين التوريد والصرف.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الكمية (Quantity Guard): تطبيق قيود رياضية تمنع إدخال كميات سالبة أو قيم غير منطقية تتجاوز السعة التخزينية.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التكلفة (Cost Guard): مطابقة سعر الوحدة مع آخر سعر مسجل أو السعر المعتمد في أمر الشراء لضمان دقة التقييم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المرجع (Reference Guard): ربط كل حركة برقم وثيقة مادية (وصل استلام أو أمر صرف)، مما يحول السجل الرقمي إلى مرآة للواقع المستندي.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حراسة المزامنة (Sync Guard): تحديث كافة المؤشرات (الرصيد، التكلفة، التنبيهات) في لحظة واحدة لضمان عدم وجود تضارب بين أوراق العمل.</w:t>
      </w:r>
    </w:p>
    <w:bookmarkEnd w:id="107"/>
    <w:bookmarkStart w:id="108" w:name="X790f7c97394d912e1af56ef75b8396a4139580d"/>
    <w:p>
      <w:pPr>
        <w:pStyle w:val="Heading3"/>
        <w:bidi/>
      </w:pPr>
      <w:r>
        <w:rPr>
          <w:b/>
          <w:sz w:val="32"/>
          <w:rtl/>
        </w:rPr>
        <w:t xml:space="preserve">المطلب الثاني: السجل الرقمي (Digital Ledger) كمرجع للمراجعة</w:t>
      </w:r>
    </w:p>
    <w:p>
      <w:pPr>
        <w:bidi/>
        <w:spacing w:line="360" w:lineRule="auto"/>
        <w:jc w:val="right"/>
      </w:pPr>
      <w:r>
        <w:rPr>
          <w:rFonts w:ascii="Traditional Arabic" w:hAnsi="Traditional Arabic"/>
          <w:sz w:val="28"/>
          <w:rtl/>
        </w:rPr>
        <w:t xml:space="preserve">تم استبدال السجلات الورقية التقليدية بـ</w:t>
      </w:r>
      <w:r>
        <w:rPr>
          <w:rFonts w:ascii="Traditional Arabic" w:hAnsi="Traditional Arabic"/>
          <w:sz w:val="28"/>
          <w:rtl/>
        </w:rPr>
        <w:t xml:space="preserve"> </w:t>
      </w:r>
      <w:r>
        <w:rPr>
          <w:rFonts w:ascii="Traditional Arabic" w:hAnsi="Traditional Arabic"/>
          <w:sz w:val="28"/>
          <w:rtl/>
        </w:rPr>
        <w:t xml:space="preserve">“سجل الحركات الرقمي”</w:t>
      </w:r>
      <w:r>
        <w:rPr>
          <w:rFonts w:ascii="Traditional Arabic" w:hAnsi="Traditional Arabic"/>
          <w:sz w:val="28"/>
          <w:rtl/>
        </w:rPr>
        <w:t xml:space="preserve"> </w:t>
      </w:r>
      <w:r>
        <w:rPr>
          <w:rFonts w:ascii="Traditional Arabic" w:hAnsi="Traditional Arabic"/>
          <w:sz w:val="28"/>
          <w:rtl/>
        </w:rPr>
        <w:t xml:space="preserve">(MOUVEMENTS Sheet)، والذي صُمِّم ليعمل وفق مبدأ</w:t>
      </w:r>
      <w:r>
        <w:rPr>
          <w:rFonts w:ascii="Traditional Arabic" w:hAnsi="Traditional Arabic"/>
          <w:sz w:val="28"/>
          <w:rtl/>
        </w:rPr>
        <w:t xml:space="preserve"> </w:t>
      </w:r>
      <w:r>
        <w:rPr>
          <w:rFonts w:ascii="Traditional Arabic" w:hAnsi="Traditional Arabic"/>
          <w:sz w:val="28"/>
          <w:rtl/>
        </w:rPr>
        <w:t xml:space="preserve">“سجل المراجعة غير القابل للتعديل”</w:t>
      </w:r>
      <w:r>
        <w:rPr>
          <w:rFonts w:ascii="Traditional Arabic" w:hAnsi="Traditional Arabic"/>
          <w:sz w:val="28"/>
          <w:rtl/>
        </w:rPr>
        <w:t xml:space="preserve"> </w:t>
      </w:r>
      <w:r>
        <w:rPr>
          <w:rFonts w:ascii="Traditional Arabic" w:hAnsi="Traditional Arabic"/>
          <w:sz w:val="28"/>
          <w:rtl/>
        </w:rPr>
        <w:t xml:space="preserve">(Immutable Audit Trail). يتميز هذا السجل بالخصائص الآتية: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التوثيق الزمني (Timestamping): تسجيل التاريخ والوقت الدقيق لكل حركة، مما يتيح تتبع تسلسل الأحداث بدقة ثانية.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المرجعية الموحدة: توحيد كافة الحركات (دخول، خروج، تعديل) في جدول واحد، مما يسهل عمليات الفلترة والبحث والتدقيق المالي.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rFonts w:ascii="Traditional Arabic" w:hAnsi="Traditional Arabic"/>
          <w:b/>
          <w:bCs/>
          <w:sz w:val="28"/>
          <w:rtl/>
        </w:rPr>
        <w:t xml:space="preserve"> </w:t>
      </w:r>
      <w:r>
        <w:rPr>
          <w:rFonts w:ascii="Traditional Arabic" w:hAnsi="Traditional Arabic"/>
          <w:b/>
          <w:bCs/>
          <w:sz w:val="28"/>
          <w:rtl/>
        </w:rPr>
        <w:t xml:space="preserve">“الثقوب السوداء”</w:t>
      </w:r>
      <w:r>
        <w:rPr>
          <w:rFonts w:ascii="Traditional Arabic" w:hAnsi="Traditional Arabic"/>
          <w:b/>
          <w:bCs/>
          <w:sz w:val="28"/>
          <w:rtl/>
        </w:rPr>
        <w:t xml:space="preserve"> </w:t>
      </w:r>
      <w:r>
        <w:rPr>
          <w:rFonts w:ascii="Traditional Arabic" w:hAnsi="Traditional Arabic"/>
          <w:b/>
          <w:bCs/>
          <w:sz w:val="28"/>
          <w:rtl/>
        </w:rPr>
        <w:t xml:space="preserve">المعلوماتية التي كانت تميز النظام اليدوي.</w:t>
      </w:r>
    </w:p>
    <w:bookmarkEnd w:id="108"/>
    <w:bookmarkStart w:id="111" w:name="X444a26c814394dcd7d1e55a55a610cb16854269"/>
    <w:p>
      <w:pPr>
        <w:pStyle w:val="Heading3"/>
        <w:bidi/>
      </w:pPr>
      <w:r>
        <w:rPr>
          <w:b/>
          <w:sz w:val="32"/>
          <w:rtl/>
        </w:rPr>
        <w:t xml:space="preserve">المطلب الثالث: دور محرك VBA في أتمتة الدورة المستندية</w:t>
      </w:r>
    </w:p>
    <w:p>
      <w:pPr>
        <w:bidi/>
        <w:spacing w:line="360" w:lineRule="auto"/>
        <w:jc w:val="right"/>
      </w:pPr>
      <w:r>
        <w:rPr>
          <w:rFonts w:ascii="Traditional Arabic" w:hAnsi="Traditional Arabic"/>
          <w:b/>
          <w:bCs/>
          <w:sz w:val="28"/>
          <w:rtl/>
        </w:rPr>
        <w:t xml:space="preserve">يعمل محرك VBA (Visual Basic for Applications) في النظام ليس كأداة مساعدة، بل كـ</w:t>
      </w:r>
      <w:r>
        <w:rPr>
          <w:rFonts w:ascii="Traditional Arabic" w:hAnsi="Traditional Arabic"/>
          <w:b/>
          <w:bCs/>
          <w:sz w:val="28"/>
          <w:rtl/>
        </w:rPr>
        <w:t xml:space="preserve"> </w:t>
      </w:r>
      <w:r>
        <w:rPr>
          <w:rFonts w:ascii="Traditional Arabic" w:hAnsi="Traditional Arabic"/>
          <w:b/>
          <w:bCs/>
          <w:sz w:val="28"/>
          <w:rtl/>
        </w:rPr>
        <w:t xml:space="preserve">“مايسترو”</w:t>
      </w:r>
      <w:r>
        <w:rPr>
          <w:rFonts w:ascii="Traditional Arabic" w:hAnsi="Traditional Arabic"/>
          <w:b/>
          <w:bCs/>
          <w:sz w:val="28"/>
          <w:rtl/>
        </w:rPr>
        <w:t xml:space="preserve"> </w:t>
      </w:r>
      <w:r>
        <w:rPr>
          <w:rFonts w:ascii="Traditional Arabic" w:hAnsi="Traditional Arabic"/>
          <w:b/>
          <w:bCs/>
          <w:sz w:val="28"/>
          <w:rtl/>
        </w:rPr>
        <w:t xml:space="preserve">يدير كافة العمليات. يتولى المحرك ثلاث مهام 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Fonts w:ascii="Traditional Arabic" w:hAnsi="Traditional Arabic"/>
          <w:sz w:val="28"/>
          <w:rtl/>
        </w:rPr>
        <w:t xml:space="preserve"> </w:t>
      </w:r>
      <w:r>
        <w:rPr>
          <w:rFonts w:ascii="Traditional Arabic" w:hAnsi="Traditional Arabic"/>
          <w:sz w:val="28"/>
          <w:rtl/>
        </w:rPr>
        <w:t xml:space="preserve">يُستند في تطوير هذا المحرك إلى مرجعية Microsoft الرسمية لـ VBA</w:t>
      </w:r>
      <w:r>
        <w:rPr>
          <w:rFonts w:ascii="Traditional Arabic" w:hAnsi="Traditional Arabic"/>
          <w:sz w:val="28"/>
          <w:rtl/>
        </w:rPr>
        <w:t xml:space="preserve"> </w:t>
      </w:r>
      <w:r>
        <w:rPr>
          <w:rStyle w:val="FootnoteReference"/>
          <w:rFonts w:ascii="Traditional Arabic" w:hAnsi="Traditional Arabic"/>
          <w:sz w:val="28"/>
        </w:rPr>
        <w:footnoteReference w:id="109"/>
      </w:r>
      <w:r>
        <w:rPr>
          <w:rFonts w:ascii="Traditional Arabic" w:hAnsi="Traditional Arabic"/>
          <w:sz w:val="28"/>
          <w:rtl/>
        </w:rPr>
        <w:t xml:space="preserve"> </w:t>
      </w:r>
      <w:r>
        <w:rPr>
          <w:rFonts w:ascii="Traditional Arabic" w:hAnsi="Traditional Arabic"/>
          <w:sz w:val="28"/>
          <w:rtl/>
        </w:rPr>
        <w:t xml:space="preserve">ونموذج كائنات Excel</w:t>
      </w:r>
      <w:r>
        <w:rPr>
          <w:rFonts w:ascii="Traditional Arabic" w:hAnsi="Traditional Arabic"/>
          <w:sz w:val="28"/>
          <w:rtl/>
        </w:rPr>
        <w:t xml:space="preserve"> </w:t>
      </w:r>
      <w:r>
        <w:rPr>
          <w:rStyle w:val="FootnoteReference"/>
          <w:rFonts w:ascii="Traditional Arabic" w:hAnsi="Traditional Arabic"/>
          <w:sz w:val="28"/>
        </w:rPr>
        <w:footnoteReference w:id="110"/>
      </w:r>
      <w:r>
        <w:rPr>
          <w:rFonts w:ascii="Traditional Arabic" w:hAnsi="Traditional Arabic"/>
          <w:sz w:val="28"/>
          <w:rtl/>
        </w:rPr>
        <w:t xml:space="preserve">.</w:t>
      </w:r>
    </w:p>
    <w:bookmarkEnd w:id="111"/>
    <w:bookmarkEnd w:id="112"/>
    <w:bookmarkStart w:id="120" w:name="Xffbf1b46ecde0efcc86730acfd968fe379c5668"/>
    <w:p>
      <w:pPr>
        <w:pStyle w:val="Heading2"/>
        <w:bidi/>
      </w:pPr>
      <w:r>
        <w:rPr>
          <w:b/>
          <w:sz w:val="36"/>
          <w:rtl/>
        </w:rPr>
        <w:t xml:space="preserve">المبحث الثالث: محرك الذكاء المحلي (VBA Engine)</w:t>
      </w:r>
    </w:p>
    <w:p>
      <w:pPr>
        <w:bidi/>
        <w:spacing w:line="360" w:lineRule="auto"/>
        <w:jc w:val="right"/>
      </w:pPr>
      <w:r>
        <w:rPr>
          <w:rFonts w:ascii="Traditional Arabic" w:hAnsi="Traditional Arabic"/>
          <w:sz w:val="28"/>
          <w:rtl/>
        </w:rPr>
        <w:t xml:space="preserve">إذا كانت واجهة المستخدم هي</w:t>
      </w:r>
      <w:r>
        <w:rPr>
          <w:rFonts w:ascii="Traditional Arabic" w:hAnsi="Traditional Arabic"/>
          <w:sz w:val="28"/>
          <w:rtl/>
        </w:rPr>
        <w:t xml:space="preserve"> </w:t>
      </w:r>
      <w:r>
        <w:rPr>
          <w:rFonts w:ascii="Traditional Arabic" w:hAnsi="Traditional Arabic"/>
          <w:sz w:val="28"/>
          <w:rtl/>
        </w:rPr>
        <w:t xml:space="preserve">“جسد”</w:t>
      </w:r>
      <w:r>
        <w:rPr>
          <w:rFonts w:ascii="Traditional Arabic" w:hAnsi="Traditional Arabic"/>
          <w:sz w:val="28"/>
          <w:rtl/>
        </w:rPr>
        <w:t xml:space="preserve"> </w:t>
      </w:r>
      <w:r>
        <w:rPr>
          <w:rFonts w:ascii="Traditional Arabic" w:hAnsi="Traditional Arabic"/>
          <w:sz w:val="28"/>
          <w:rtl/>
        </w:rPr>
        <w:t xml:space="preserve">النظام، فإن محرك الـ VBA هو</w:t>
      </w:r>
      <w:r>
        <w:rPr>
          <w:rFonts w:ascii="Traditional Arabic" w:hAnsi="Traditional Arabic"/>
          <w:sz w:val="28"/>
          <w:rtl/>
        </w:rPr>
        <w:t xml:space="preserve"> </w:t>
      </w:r>
      <w:r>
        <w:rPr>
          <w:rFonts w:ascii="Traditional Arabic" w:hAnsi="Traditional Arabic"/>
          <w:sz w:val="28"/>
          <w:rtl/>
        </w:rPr>
        <w:t xml:space="preserve">“عقله”</w:t>
      </w:r>
      <w:r>
        <w:rPr>
          <w:rFonts w:ascii="Traditional Arabic" w:hAnsi="Traditional Arabic"/>
          <w:sz w:val="28"/>
          <w:rtl/>
        </w:rPr>
        <w:t xml:space="preserve"> </w:t>
      </w:r>
      <w:r>
        <w:rPr>
          <w:rFonts w:ascii="Traditional Arabic" w:hAnsi="Traditional Arabic"/>
          <w:sz w:val="28"/>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3" w:name="X2b5683333895272df7448c3123c2d6911fb19dd"/>
    <w:p>
      <w:pPr>
        <w:pStyle w:val="Heading3"/>
        <w:bidi/>
      </w:pPr>
      <w:r>
        <w:rPr>
          <w:b/>
          <w:sz w:val="32"/>
          <w:rtl/>
        </w:rPr>
        <w:t xml:space="preserve">المطلب الأول: الهندسة البرمجية وبنية الوحدات النمطية</w:t>
      </w:r>
    </w:p>
    <w:p>
      <w:pPr>
        <w:bidi/>
        <w:spacing w:line="360" w:lineRule="auto"/>
        <w:jc w:val="right"/>
      </w:pPr>
      <w:r>
        <w:rPr>
          <w:rFonts w:ascii="Traditional Arabic" w:hAnsi="Traditional Arabic"/>
          <w:sz w:val="28"/>
          <w:rtl/>
        </w:rPr>
        <w:t xml:space="preserve">لضمان استدامة النظام وسهولة صيانته، تم اعتماد</w:t>
      </w:r>
      <w:r>
        <w:rPr>
          <w:rFonts w:ascii="Traditional Arabic" w:hAnsi="Traditional Arabic"/>
          <w:sz w:val="28"/>
          <w:rtl/>
        </w:rPr>
        <w:t xml:space="preserve"> </w:t>
      </w:r>
      <w:r>
        <w:rPr>
          <w:rFonts w:ascii="Traditional Arabic" w:hAnsi="Traditional Arabic"/>
          <w:sz w:val="28"/>
          <w:rtl/>
        </w:rPr>
        <w:t xml:space="preserve">“الهندسة النمطية”</w:t>
      </w:r>
      <w:r>
        <w:rPr>
          <w:rFonts w:ascii="Traditional Arabic" w:hAnsi="Traditional Arabic"/>
          <w:sz w:val="28"/>
          <w:rtl/>
        </w:rPr>
        <w:t xml:space="preserve"> </w:t>
      </w:r>
      <w:r>
        <w:rPr>
          <w:rFonts w:ascii="Traditional Arabic" w:hAnsi="Traditional Arabic"/>
          <w:sz w:val="28"/>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المحرك الأساسي (mod_StockEngine): تمثل النواة الحسابية للنظام، حيث تتركز فيها خوارزميات حساب EOQ و ROP و CMUP.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منطق الإدخال (mod_StockEntry_Logic): تدير تدفق البيانات من واجهات المستخدم إلى السجلات، مع تفعيل بروتوكول</w:t>
      </w:r>
      <w:r>
        <w:rPr>
          <w:rFonts w:ascii="Traditional Arabic" w:hAnsi="Traditional Arabic"/>
          <w:b/>
          <w:bCs/>
          <w:sz w:val="28"/>
          <w:rtl/>
        </w:rPr>
        <w:t xml:space="preserve"> </w:t>
      </w:r>
      <w:r>
        <w:rPr>
          <w:rFonts w:ascii="Traditional Arabic" w:hAnsi="Traditional Arabic"/>
          <w:b/>
          <w:bCs/>
          <w:sz w:val="28"/>
          <w:rtl/>
        </w:rPr>
        <w:t xml:space="preserve">“سلسلة الحراسة”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جسر المزامنة (mod_SyncBridge): تضمن التطابق المطلق بين السجل الرقمي (Ledger) والعرض المرئي في أوراق العمل، مما يلغي أي تضارب في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التصدير والتقارير (mod_ExportEngine): تحول البيانات الرقمية إلى وثائق إدارية رسمية (PDF) تحاكي الدورة المستندية القانونية.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3"/>
    <w:bookmarkStart w:id="116" w:name="X9b60cd1fa0cbe72f7f71191beb861644b5c9805"/>
    <w:p>
      <w:pPr>
        <w:pStyle w:val="Heading3"/>
        <w:bidi/>
      </w:pPr>
      <w:r>
        <w:rPr>
          <w:b/>
          <w:sz w:val="32"/>
          <w:rtl/>
        </w:rPr>
        <w:t xml:space="preserve">المطلب الثاني: خوارزميات التموين والتحسين الكمي</w:t>
      </w:r>
    </w:p>
    <w:p>
      <w:pPr>
        <w:bidi/>
        <w:spacing w:line="360" w:lineRule="auto"/>
        <w:jc w:val="right"/>
      </w:pPr>
      <w:r>
        <w:rPr>
          <w:rFonts w:ascii="Traditional Arabic" w:hAnsi="Traditional Arabic"/>
          <w:sz w:val="28"/>
          <w:rtl/>
        </w:rPr>
        <w:t xml:space="preserve">يعتمد النظام في اتخاذ قرارات التموين على تحويل النماذج الرياضية إلى خوارزميات برمجية تعمل في الخلفية دون تدخل المستخدم:</w:t>
      </w:r>
    </w:p>
    <w:bookmarkStart w:id="114" w:name="أولا-أتمتة-نموذج-ويلسون-eoq-algorithm"/>
    <w:p>
      <w:pPr>
        <w:pStyle w:val="Heading4"/>
        <w:bidi/>
      </w:pPr>
      <w:r>
        <w:rPr>
          <w:rtl/>
        </w:rPr>
        <w:t xml:space="preserve">أولاً: أتمتة نموذج ويلسون (EOQ Algorithm)</w:t>
      </w:r>
    </w:p>
    <w:p>
      <w:pPr>
        <w:bidi/>
        <w:spacing w:line="360" w:lineRule="auto"/>
        <w:jc w:val="right"/>
      </w:pPr>
      <w:r>
        <w:rPr>
          <w:rFonts w:ascii="Traditional Arabic" w:hAnsi="Traditional Arabic"/>
          <w:sz w:val="28"/>
          <w:rtl/>
        </w:rPr>
        <w:t xml:space="preserve">يقوم المحرك بتنفيذ عملية</w:t>
      </w:r>
      <w:r>
        <w:rPr>
          <w:rFonts w:ascii="Traditional Arabic" w:hAnsi="Traditional Arabic"/>
          <w:sz w:val="28"/>
          <w:rtl/>
        </w:rPr>
        <w:t xml:space="preserve"> </w:t>
      </w:r>
      <w:r>
        <w:rPr>
          <w:rFonts w:ascii="Traditional Arabic" w:hAnsi="Traditional Arabic"/>
          <w:sz w:val="28"/>
          <w:rtl/>
        </w:rPr>
        <w:t xml:space="preserve">“التحسين المستمر”</w:t>
      </w:r>
      <w:r>
        <w:rPr>
          <w:rFonts w:ascii="Traditional Arabic" w:hAnsi="Traditional Arabic"/>
          <w:sz w:val="28"/>
          <w:rtl/>
        </w:rPr>
        <w:t xml:space="preserve"> </w:t>
      </w:r>
      <w:r>
        <w:rPr>
          <w:rFonts w:ascii="Traditional Arabic" w:hAnsi="Traditional Arabic"/>
          <w:sz w:val="28"/>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4"/>
    <w:bookmarkStart w:id="115" w:name="ثانيا-ديناميكية-نقطة-إعادة-الطلب-rop"/>
    <w:p>
      <w:pPr>
        <w:pStyle w:val="Heading4"/>
        <w:bidi/>
      </w:pPr>
      <w:r>
        <w:rPr>
          <w:rtl/>
        </w:rPr>
        <w:t xml:space="preserve">ثانياً: ديناميكية نقطة إعادة الطلب (ROP)</w:t>
      </w:r>
    </w:p>
    <w:p>
      <w:pPr>
        <w:bidi/>
        <w:spacing w:line="360" w:lineRule="auto"/>
        <w:jc w:val="right"/>
      </w:pPr>
      <w:r>
        <w:rPr>
          <w:rFonts w:ascii="Traditional Arabic" w:hAnsi="Traditional Arabic"/>
          <w:sz w:val="28"/>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Fonts w:ascii="Traditional Arabic" w:hAnsi="Traditional Arabic"/>
          <w:sz w:val="28"/>
          <w:rtl/>
        </w:rPr>
        <w:t xml:space="preserve"> </w:t>
      </w:r>
      <w:r>
        <w:rPr>
          <w:rFonts w:ascii="Traditional Arabic" w:hAnsi="Traditional Arabic"/>
          <w:sz w:val="28"/>
          <w:rtl/>
        </w:rPr>
        <w:t xml:space="preserve">“رد الفعل”</w:t>
      </w:r>
      <w:r>
        <w:rPr>
          <w:rFonts w:ascii="Traditional Arabic" w:hAnsi="Traditional Arabic"/>
          <w:sz w:val="28"/>
          <w:rtl/>
        </w:rPr>
        <w:t xml:space="preserve"> </w:t>
      </w:r>
      <w:r>
        <w:rPr>
          <w:rFonts w:ascii="Traditional Arabic" w:hAnsi="Traditional Arabic"/>
          <w:sz w:val="28"/>
          <w:rtl/>
        </w:rPr>
        <w:t xml:space="preserve">عند النفاد إلى</w:t>
      </w:r>
      <w:r>
        <w:rPr>
          <w:rFonts w:ascii="Traditional Arabic" w:hAnsi="Traditional Arabic"/>
          <w:sz w:val="28"/>
          <w:rtl/>
        </w:rPr>
        <w:t xml:space="preserve"> </w:t>
      </w:r>
      <w:r>
        <w:rPr>
          <w:rFonts w:ascii="Traditional Arabic" w:hAnsi="Traditional Arabic"/>
          <w:sz w:val="28"/>
          <w:rtl/>
        </w:rPr>
        <w:t xml:space="preserve">“الاستباقية”</w:t>
      </w:r>
      <w:r>
        <w:rPr>
          <w:rFonts w:ascii="Traditional Arabic" w:hAnsi="Traditional Arabic"/>
          <w:sz w:val="28"/>
          <w:rtl/>
        </w:rPr>
        <w:t xml:space="preserve"> </w:t>
      </w:r>
      <w:r>
        <w:rPr>
          <w:rFonts w:ascii="Traditional Arabic" w:hAnsi="Traditional Arabic"/>
          <w:sz w:val="28"/>
          <w:rtl/>
        </w:rPr>
        <w:t xml:space="preserve">في الطلب.</w:t>
      </w:r>
    </w:p>
    <w:bookmarkEnd w:id="115"/>
    <w:bookmarkEnd w:id="116"/>
    <w:bookmarkStart w:id="117" w:name="Xdb72e8c31238e5bc8bb35e9197d335bc848251d"/>
    <w:p>
      <w:pPr>
        <w:pStyle w:val="Heading3"/>
        <w:bidi/>
      </w:pPr>
      <w:r>
        <w:rPr>
          <w:b/>
          <w:sz w:val="32"/>
          <w:rtl/>
        </w:rPr>
        <w:t xml:space="preserve">المطلب الثالث: إدارة التكاليف والنزاهة المالية</w:t>
      </w:r>
    </w:p>
    <w:p>
      <w:pPr>
        <w:bidi/>
        <w:spacing w:line="360" w:lineRule="auto"/>
        <w:jc w:val="right"/>
      </w:pPr>
      <w:r>
        <w:rPr>
          <w:rFonts w:ascii="Traditional Arabic" w:hAnsi="Traditional Arabic"/>
          <w:sz w:val="28"/>
          <w:rtl/>
        </w:rPr>
        <w:t xml:space="preserve">يواجه التسيير اليدوي مشكلة كبرى في تقييم المخزون عند تذبذب الأسعار. عالج نظام دعم القرار هذه المشكلة عبر تطبيق</w:t>
      </w:r>
      <w:r>
        <w:rPr>
          <w:rFonts w:ascii="Traditional Arabic" w:hAnsi="Traditional Arabic"/>
          <w:sz w:val="28"/>
          <w:rtl/>
        </w:rPr>
        <w:t xml:space="preserve"> </w:t>
      </w:r>
      <w:r>
        <w:rPr>
          <w:rFonts w:ascii="Traditional Arabic" w:hAnsi="Traditional Arabic"/>
          <w:sz w:val="28"/>
          <w:rtl/>
        </w:rPr>
        <w:t xml:space="preserve">“منطق التكلفة المرجحة المتحركة”</w:t>
      </w:r>
      <w:r>
        <w:rPr>
          <w:rFonts w:ascii="Traditional Arabic" w:hAnsi="Traditional Arabic"/>
          <w:sz w:val="28"/>
          <w:rtl/>
        </w:rPr>
        <w:t xml:space="preserve"> </w:t>
      </w:r>
      <w:r>
        <w:rPr>
          <w:rFonts w:ascii="Traditional Arabic" w:hAnsi="Traditional Arabic"/>
          <w:sz w:val="28"/>
          <w:rtl/>
        </w:rPr>
        <w:t xml:space="preserve">(Moving Average Costing):</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7"/>
    <w:bookmarkStart w:id="118" w:name="Xb42ed883f4a4d77c904837a9483548fc91a7185"/>
    <w:p>
      <w:pPr>
        <w:pStyle w:val="Heading3"/>
        <w:bidi/>
      </w:pPr>
      <w:r>
        <w:rPr>
          <w:b/>
          <w:sz w:val="32"/>
          <w:rtl/>
        </w:rPr>
        <w:t xml:space="preserve">المطلب الرابع: محاكاة مبادئ ACID لسلامة البيانات</w:t>
      </w:r>
    </w:p>
    <w:p>
      <w:pPr>
        <w:bidi/>
        <w:spacing w:line="360" w:lineRule="auto"/>
        <w:jc w:val="right"/>
      </w:pPr>
      <w:r>
        <w:rPr>
          <w:rFonts w:ascii="Traditional Arabic" w:hAnsi="Traditional Arabic"/>
          <w:sz w:val="28"/>
          <w:rtl/>
        </w:rPr>
        <w:t xml:space="preserve">بالرغم من عمل النظام في بيئة Excel، فقد تم دمج مبادئ قواعد البيانات الاحترافية (ACID) لضمان عدم ضياع أو تشوه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rFonts w:ascii="Traditional Arabic" w:hAnsi="Traditional Arabic"/>
          <w:b/>
          <w:bCs/>
          <w:sz w:val="28"/>
          <w:rtl/>
        </w:rPr>
        <w:t xml:space="preserve"> </w:t>
      </w:r>
      <w:r>
        <w:rPr>
          <w:rFonts w:ascii="Traditional Arabic" w:hAnsi="Traditional Arabic"/>
          <w:b/>
          <w:bCs/>
          <w:sz w:val="28"/>
          <w:rtl/>
        </w:rPr>
        <w:t xml:space="preserve">“أرصدة معلقة”</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الاتساق (Consistency): يرفض النظام أي عملية تؤدي إلى كسر القواعد المنطقية (مثل صرف كمية أكبر من المتوفر في الرصيد الفعلي).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العزل (Isolation): يتم قفل السجلات برمجياً أثناء لحظة التحديث لمنع تداخل العمليات إذا تم استخدام النظام من قبل أكثر من مستخدم.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الديمومة (Durability): يتم تفعيل أمر الحفظ القسري (Force Save) بعد كل عملية حرجة لضمان كتابة البيانات على القرص الصلب فوراً.</w:t>
      </w:r>
    </w:p>
    <w:bookmarkEnd w:id="118"/>
    <w:bookmarkStart w:id="119" w:name="X1c2ea8d86c4f45404ae3647941d3499fe8305c9"/>
    <w:p>
      <w:pPr>
        <w:pStyle w:val="Heading3"/>
        <w:bidi/>
      </w:pPr>
      <w:r>
        <w:rPr>
          <w:b/>
          <w:sz w:val="32"/>
          <w:rtl/>
        </w:rPr>
        <w:t xml:space="preserve">المطلب الخامس: محرك التصنيف الذكي (ABC-XYZ Engine)</w:t>
      </w:r>
    </w:p>
    <w:p>
      <w:pPr>
        <w:bidi/>
        <w:spacing w:line="360" w:lineRule="auto"/>
        <w:jc w:val="right"/>
      </w:pPr>
      <w:r>
        <w:rPr>
          <w:rFonts w:ascii="Traditional Arabic" w:hAnsi="Traditional Arabic"/>
          <w:sz w:val="28"/>
          <w:rtl/>
        </w:rPr>
        <w:t xml:space="preserve">يتوج المحرك عمله بدمج بُعدين للتحليل لتقديم استراتيجية تسيير مخصصة لكل صنف:</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المادي (ABC): يصنف الأصناف بناءً على القيمة الاستهلاكية السنوية، حيث يوجه النظام الرقابة الصارمة نحو الفئة A (عالية القيمة).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البعد السلوكي (XYZ): يصنف الأصناف بناءً على معامل التباين () للطلب، حيث يحدد مدى استقرار أو تذبذب الاستهلاك.</w:t>
      </w:r>
      <w:r>
        <w:rPr>
          <w:rFonts w:ascii="Traditional Arabic" w:hAnsi="Traditional Arabic"/>
          <w:sz w:val="28"/>
          <w:rtl/>
        </w:rPr>
        <w:t xml:space="preserve"> </w:t>
      </w:r>
      <w:r>
        <w:rPr>
          <w:rFonts w:ascii="Traditional Arabic" w:hAnsi="Traditional Arabic"/>
          <w:b/>
          <w:bCs/>
          <w:sz w:val="28"/>
          <w:rtl/>
        </w:rPr>
        <w:t xml:space="preserve">ينتج عن هذا الدمج</w:t>
      </w:r>
      <w:r>
        <w:rPr>
          <w:rFonts w:ascii="Traditional Arabic" w:hAnsi="Traditional Arabic"/>
          <w:b/>
          <w:bCs/>
          <w:sz w:val="28"/>
          <w:rtl/>
        </w:rPr>
        <w:t xml:space="preserve"> </w:t>
      </w:r>
      <w:r>
        <w:rPr>
          <w:rFonts w:ascii="Traditional Arabic" w:hAnsi="Traditional Arabic"/>
          <w:b/>
          <w:bCs/>
          <w:sz w:val="28"/>
          <w:rtl/>
        </w:rPr>
        <w:t xml:space="preserve">“مصفوفة قرار”</w:t>
      </w:r>
      <w:r>
        <w:rPr>
          <w:rFonts w:ascii="Traditional Arabic" w:hAnsi="Traditional Arabic"/>
          <w:b/>
          <w:bCs/>
          <w:sz w:val="28"/>
          <w:rtl/>
        </w:rPr>
        <w:t xml:space="preserve"> </w:t>
      </w:r>
      <w:r>
        <w:rPr>
          <w:rFonts w:ascii="Traditional Arabic" w:hAnsi="Traditional Arabic"/>
          <w:b/>
          <w:bCs/>
          <w:sz w:val="28"/>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rFonts w:ascii="Traditional Arabic" w:hAnsi="Traditional Arabic"/>
          <w:b/>
          <w:bCs/>
          <w:sz w:val="28"/>
          <w:rtl/>
        </w:rPr>
        <w:t xml:space="preserve"> </w:t>
      </w:r>
      <w:r>
        <w:rPr>
          <w:rFonts w:ascii="Traditional Arabic" w:hAnsi="Traditional Arabic"/>
          <w:b/>
          <w:bCs/>
          <w:sz w:val="28"/>
          <w:rtl/>
        </w:rPr>
        <w:t xml:space="preserve">“جهد الرقابة”</w:t>
      </w:r>
      <w:r>
        <w:rPr>
          <w:rFonts w:ascii="Traditional Arabic" w:hAnsi="Traditional Arabic"/>
          <w:b/>
          <w:bCs/>
          <w:sz w:val="28"/>
          <w:rtl/>
        </w:rPr>
        <w:t xml:space="preserve"> </w:t>
      </w:r>
      <w:r>
        <w:rPr>
          <w:rFonts w:ascii="Traditional Arabic" w:hAnsi="Traditional Arabic"/>
          <w:b/>
          <w:bCs/>
          <w:sz w:val="28"/>
          <w:rtl/>
        </w:rPr>
        <w:t xml:space="preserve">و”قيمة المخزون”.</w:t>
      </w:r>
    </w:p>
    <w:bookmarkEnd w:id="119"/>
    <w:bookmarkEnd w:id="120"/>
    <w:bookmarkStart w:id="130" w:name="Xc6e18aa2af3011a1373a5d4857df80b39c98584"/>
    <w:p>
      <w:pPr>
        <w:pStyle w:val="Heading2"/>
        <w:bidi/>
      </w:pPr>
      <w:r>
        <w:rPr>
          <w:b/>
          <w:sz w:val="36"/>
          <w:rtl/>
        </w:rPr>
        <w:t xml:space="preserve">المبحث الرابع: هندسة واجهة المستخدم والأصالة الابتكارية</w:t>
      </w:r>
    </w:p>
    <w:p>
      <w:pPr>
        <w:bidi/>
        <w:spacing w:line="360" w:lineRule="auto"/>
        <w:jc w:val="right"/>
      </w:pPr>
      <w:r>
        <w:rPr>
          <w:rFonts w:ascii="Traditional Arabic" w:hAnsi="Traditional Arabic"/>
          <w:sz w:val="28"/>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Fonts w:ascii="Traditional Arabic" w:hAnsi="Traditional Arabic"/>
          <w:sz w:val="28"/>
          <w:rtl/>
        </w:rPr>
        <w:t xml:space="preserve"> </w:t>
      </w:r>
      <w:r>
        <w:rPr>
          <w:rFonts w:ascii="Traditional Arabic" w:hAnsi="Traditional Arabic"/>
          <w:sz w:val="28"/>
          <w:rtl/>
        </w:rPr>
        <w:t xml:space="preserve">“تجربة المستخدم”</w:t>
      </w:r>
      <w:r>
        <w:rPr>
          <w:rFonts w:ascii="Traditional Arabic" w:hAnsi="Traditional Arabic"/>
          <w:sz w:val="28"/>
          <w:rtl/>
        </w:rPr>
        <w:t xml:space="preserve"> </w:t>
      </w:r>
      <w:r>
        <w:rPr>
          <w:rFonts w:ascii="Traditional Arabic" w:hAnsi="Traditional Arabic"/>
          <w:sz w:val="28"/>
          <w:rtl/>
        </w:rPr>
        <w:t xml:space="preserve">(UX Design) لضمان تحويل البيانات المعقدة إلى مؤشرات بصرية بسيطة تدعم اتخاذ القرار السريع والدقيق.</w:t>
      </w:r>
    </w:p>
    <w:bookmarkStart w:id="121" w:name="Xdcbed4a529f139898c76cbbdb64bb8c1a119adb"/>
    <w:p>
      <w:pPr>
        <w:pStyle w:val="Heading3"/>
        <w:bidi/>
      </w:pPr>
      <w:r>
        <w:rPr>
          <w:b/>
          <w:sz w:val="32"/>
          <w:rtl/>
        </w:rPr>
        <w:t xml:space="preserve">المطلب الأول: الهندسة البنيوية لأوراق العمل (Sheet Architecture)</w:t>
      </w:r>
    </w:p>
    <w:p>
      <w:pPr>
        <w:bidi/>
        <w:spacing w:line="360" w:lineRule="auto"/>
        <w:jc w:val="right"/>
      </w:pPr>
      <w:r>
        <w:rPr>
          <w:rFonts w:ascii="Traditional Arabic" w:hAnsi="Traditional Arabic"/>
          <w:sz w:val="28"/>
          <w:rtl/>
        </w:rPr>
        <w:t xml:space="preserve">تم تصميم هيكلية النظام بناءً على</w:t>
      </w:r>
      <w:r>
        <w:rPr>
          <w:rFonts w:ascii="Traditional Arabic" w:hAnsi="Traditional Arabic"/>
          <w:sz w:val="28"/>
          <w:rtl/>
        </w:rPr>
        <w:t xml:space="preserve"> </w:t>
      </w:r>
      <w:r>
        <w:rPr>
          <w:rFonts w:ascii="Traditional Arabic" w:hAnsi="Traditional Arabic"/>
          <w:sz w:val="28"/>
          <w:rtl/>
        </w:rPr>
        <w:t xml:space="preserve">“خريطة تدفق الوظائف”</w:t>
      </w:r>
      <w:r>
        <w:rPr>
          <w:rFonts w:ascii="Traditional Arabic" w:hAnsi="Traditional Arabic"/>
          <w:sz w:val="28"/>
          <w:rtl/>
        </w:rPr>
        <w:t xml:space="preserve">، حيث تمثل كل ورقة عمل مرحلة محددة من دورة حياة المادة المخزنية، مما يضمن تنظيماً منطقياً يمنع تشتت البيانات:</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الانطلاق (ACCUEIL): تمثل</w:t>
      </w:r>
      <w:r>
        <w:rPr>
          <w:rFonts w:ascii="Traditional Arabic" w:hAnsi="Traditional Arabic"/>
          <w:b/>
          <w:bCs/>
          <w:sz w:val="28"/>
          <w:rtl/>
        </w:rPr>
        <w:t xml:space="preserve"> </w:t>
      </w:r>
      <w:r>
        <w:rPr>
          <w:rFonts w:ascii="Traditional Arabic" w:hAnsi="Traditional Arabic"/>
          <w:b/>
          <w:bCs/>
          <w:sz w:val="28"/>
          <w:rtl/>
        </w:rPr>
        <w:t xml:space="preserve">“مركز القيادة”</w:t>
      </w:r>
      <w:r>
        <w:rPr>
          <w:rFonts w:ascii="Traditional Arabic" w:hAnsi="Traditional Arabic"/>
          <w:b/>
          <w:bCs/>
          <w:sz w:val="28"/>
          <w:rtl/>
        </w:rPr>
        <w:t xml:space="preserve"> </w:t>
      </w:r>
      <w:r>
        <w:rPr>
          <w:rFonts w:ascii="Traditional Arabic" w:hAnsi="Traditional Arabic"/>
          <w:b/>
          <w:bCs/>
          <w:sz w:val="28"/>
          <w:rtl/>
        </w:rPr>
        <w:t xml:space="preserve">الذي يوفر وصولاً سريعاً لكافة وظائف النظام وملخصات تنفيذية فورية.</w:t>
      </w:r>
      <w:r>
        <w:rPr>
          <w:rFonts w:ascii="Traditional Arabic" w:hAnsi="Traditional Arabic"/>
          <w:sz w:val="28"/>
          <w:rtl/>
        </w:rPr>
        <w:t xml:space="preserve"> </w:t>
      </w:r>
      <w:r>
        <w:rPr>
          <w:rFonts w:ascii="Traditional Arabic" w:hAnsi="Traditional Arabic"/>
          <w:sz w:val="28"/>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سجل الحركات الرقمي (MOUVEMENTS): يمثل</w:t>
      </w:r>
      <w:r>
        <w:rPr>
          <w:rFonts w:ascii="Traditional Arabic" w:hAnsi="Traditional Arabic"/>
          <w:sz w:val="28"/>
          <w:rtl/>
        </w:rPr>
        <w:t xml:space="preserve"> </w:t>
      </w:r>
      <w:r>
        <w:rPr>
          <w:rFonts w:ascii="Traditional Arabic" w:hAnsi="Traditional Arabic"/>
          <w:sz w:val="28"/>
          <w:rtl/>
        </w:rPr>
        <w:t xml:space="preserve">“الذاكرة التاريخية”</w:t>
      </w:r>
      <w:r>
        <w:rPr>
          <w:rFonts w:ascii="Traditional Arabic" w:hAnsi="Traditional Arabic"/>
          <w:sz w:val="28"/>
          <w:rtl/>
        </w:rPr>
        <w:t xml:space="preserve"> </w:t>
      </w:r>
      <w:r>
        <w:rPr>
          <w:rFonts w:ascii="Traditional Arabic" w:hAnsi="Traditional Arabic"/>
          <w:sz w:val="28"/>
          <w:rtl/>
        </w:rPr>
        <w:t xml:space="preserve">للنظام، حيث تُسجَّل كافة التدفقات الواردة والصادرة كـ Audit Trail غير قابل للتعديل.</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rFonts w:ascii="Traditional Arabic" w:hAnsi="Traditional Arabic"/>
          <w:b/>
          <w:bCs/>
          <w:sz w:val="28"/>
          <w:rtl/>
        </w:rPr>
        <w:t xml:space="preserve"> </w:t>
      </w:r>
      <w:r>
        <w:rPr>
          <w:rFonts w:ascii="Traditional Arabic" w:hAnsi="Traditional Arabic"/>
          <w:b/>
          <w:bCs/>
          <w:sz w:val="28"/>
          <w:rtl/>
        </w:rPr>
        <w:t xml:space="preserve">-</w:t>
      </w:r>
      <w:r>
        <w:rPr>
          <w:rFonts w:ascii="Traditional Arabic" w:hAnsi="Traditional Arabic"/>
          <w:b/>
          <w:bCs/>
          <w:sz w:val="28"/>
          <w:rtl/>
        </w:rPr>
        <w:t xml:space="preserve"> </w:t>
      </w:r>
      <w:r>
        <w:rPr>
          <w:rFonts w:ascii="Traditional Arabic" w:hAnsi="Traditional Arabic"/>
          <w:sz w:val="28"/>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1"/>
    <w:bookmarkStart w:id="122" w:name="Xc3e868391841f7562f5d5b2b3c4438a8091e2eb"/>
    <w:p>
      <w:pPr>
        <w:pStyle w:val="Heading3"/>
        <w:bidi/>
      </w:pPr>
      <w:r>
        <w:rPr>
          <w:b/>
          <w:sz w:val="32"/>
          <w:rtl/>
        </w:rPr>
        <w:t xml:space="preserve">المطلب الثاني: نظام التنبيه اللوني والذكاء البصري</w:t>
      </w:r>
    </w:p>
    <w:p>
      <w:pPr>
        <w:bidi/>
        <w:spacing w:line="360" w:lineRule="auto"/>
        <w:jc w:val="right"/>
      </w:pPr>
      <w:r>
        <w:rPr>
          <w:rFonts w:ascii="Traditional Arabic" w:hAnsi="Traditional Arabic"/>
          <w:sz w:val="28"/>
          <w:rtl/>
        </w:rPr>
        <w:t xml:space="preserve">اعتمد النظام لغة بصرية فورية تعتمد على</w:t>
      </w:r>
      <w:r>
        <w:rPr>
          <w:rFonts w:ascii="Traditional Arabic" w:hAnsi="Traditional Arabic"/>
          <w:sz w:val="28"/>
          <w:rtl/>
        </w:rPr>
        <w:t xml:space="preserve"> </w:t>
      </w:r>
      <w:r>
        <w:rPr>
          <w:rFonts w:ascii="Traditional Arabic" w:hAnsi="Traditional Arabic"/>
          <w:sz w:val="28"/>
          <w:rtl/>
        </w:rPr>
        <w:t xml:space="preserve">“التدرج اللوني الوظيفي”</w:t>
      </w:r>
      <w:r>
        <w:rPr>
          <w:rFonts w:ascii="Traditional Arabic" w:hAnsi="Traditional Arabic"/>
          <w:sz w:val="28"/>
          <w:rtl/>
        </w:rPr>
        <w:t xml:space="preserve"> </w:t>
      </w:r>
      <w:r>
        <w:rPr>
          <w:rFonts w:ascii="Traditional Arabic" w:hAnsi="Traditional Arabic"/>
          <w:sz w:val="28"/>
          <w:rtl/>
        </w:rPr>
        <w:t xml:space="preserve">(Chromatic Logic)، وهي تقنية تهدف إلى تقليل الجهد الإدراكي للمستخدم وتحويل الرقابة من عملية</w:t>
      </w:r>
      <w:r>
        <w:rPr>
          <w:rFonts w:ascii="Traditional Arabic" w:hAnsi="Traditional Arabic"/>
          <w:sz w:val="28"/>
          <w:rtl/>
        </w:rPr>
        <w:t xml:space="preserve"> </w:t>
      </w:r>
      <w:r>
        <w:rPr>
          <w:rFonts w:ascii="Traditional Arabic" w:hAnsi="Traditional Arabic"/>
          <w:sz w:val="28"/>
          <w:rtl/>
        </w:rPr>
        <w:t xml:space="preserve">“بحث وتدقيق”</w:t>
      </w:r>
      <w:r>
        <w:rPr>
          <w:rFonts w:ascii="Traditional Arabic" w:hAnsi="Traditional Arabic"/>
          <w:sz w:val="28"/>
          <w:rtl/>
        </w:rPr>
        <w:t xml:space="preserve"> </w:t>
      </w:r>
      <w:r>
        <w:rPr>
          <w:rFonts w:ascii="Traditional Arabic" w:hAnsi="Traditional Arabic"/>
          <w:sz w:val="28"/>
          <w:rtl/>
        </w:rPr>
        <w:t xml:space="preserve">إلى عملية</w:t>
      </w:r>
      <w:r>
        <w:rPr>
          <w:rFonts w:ascii="Traditional Arabic" w:hAnsi="Traditional Arabic"/>
          <w:sz w:val="28"/>
          <w:rtl/>
        </w:rPr>
        <w:t xml:space="preserve"> </w:t>
      </w:r>
      <w:r>
        <w:rPr>
          <w:rFonts w:ascii="Traditional Arabic" w:hAnsi="Traditional Arabic"/>
          <w:sz w:val="28"/>
          <w:rtl/>
        </w:rPr>
        <w:t xml:space="preserve">“رؤية واستجابة”</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الأخضر (Safe Zone): يُفعل عندما يكون الرصيد أعلى من نقطة إعادة الطلب بمساحة آمنة، مما يشير إلى استقرار الوضع اللوجيستي.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الأصفر (Warning Zone): يُفعل لحظة ملامسة الرصيد لقيمة ROP، وهو</w:t>
      </w:r>
      <w:r>
        <w:rPr>
          <w:rFonts w:ascii="Traditional Arabic" w:hAnsi="Traditional Arabic"/>
          <w:b/>
          <w:bCs/>
          <w:sz w:val="28"/>
          <w:rtl/>
        </w:rPr>
        <w:t xml:space="preserve"> </w:t>
      </w:r>
      <w:r>
        <w:rPr>
          <w:rFonts w:ascii="Traditional Arabic" w:hAnsi="Traditional Arabic"/>
          <w:b/>
          <w:bCs/>
          <w:sz w:val="28"/>
          <w:rtl/>
        </w:rPr>
        <w:t xml:space="preserve">“إنذار مبكر”</w:t>
      </w:r>
      <w:r>
        <w:rPr>
          <w:rFonts w:ascii="Traditional Arabic" w:hAnsi="Traditional Arabic"/>
          <w:b/>
          <w:bCs/>
          <w:sz w:val="28"/>
          <w:rtl/>
        </w:rPr>
        <w:t xml:space="preserve"> </w:t>
      </w:r>
      <w:r>
        <w:rPr>
          <w:rFonts w:ascii="Traditional Arabic" w:hAnsi="Traditional Arabic"/>
          <w:b/>
          <w:bCs/>
          <w:sz w:val="28"/>
          <w:rtl/>
        </w:rPr>
        <w:t xml:space="preserve">يستوجب البدء في إجراءات التموين لمنع الوصول إلى مرحلة الخطر.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2"/>
    <w:bookmarkStart w:id="123" w:name="X197816f32b7b7ef5c9c4cb4d12a6ba19ec348d5"/>
    <w:p>
      <w:pPr>
        <w:pStyle w:val="Heading3"/>
        <w:bidi/>
      </w:pPr>
      <w:r>
        <w:rPr>
          <w:b/>
          <w:sz w:val="32"/>
          <w:rtl/>
        </w:rPr>
        <w:t xml:space="preserve">المطلب الثالث: لوحة القيادة والتحليل الاستراتيجي (Analytics Dashboard)</w:t>
      </w:r>
    </w:p>
    <w:p>
      <w:pPr>
        <w:bidi/>
        <w:spacing w:line="360" w:lineRule="auto"/>
        <w:jc w:val="right"/>
      </w:pPr>
      <w:r>
        <w:rPr>
          <w:rFonts w:ascii="Traditional Arabic" w:hAnsi="Traditional Arabic"/>
          <w:sz w:val="28"/>
          <w:rtl/>
        </w:rPr>
        <w:t xml:space="preserve">تتجاوز لوحة القيادة في النظام وظيفة العرض لتصبح</w:t>
      </w:r>
      <w:r>
        <w:rPr>
          <w:rFonts w:ascii="Traditional Arabic" w:hAnsi="Traditional Arabic"/>
          <w:sz w:val="28"/>
          <w:rtl/>
        </w:rPr>
        <w:t xml:space="preserve"> </w:t>
      </w:r>
      <w:r>
        <w:rPr>
          <w:rFonts w:ascii="Traditional Arabic" w:hAnsi="Traditional Arabic"/>
          <w:sz w:val="28"/>
          <w:rtl/>
        </w:rPr>
        <w:t xml:space="preserve">“أداة تحليلية”</w:t>
      </w:r>
      <w:r>
        <w:rPr>
          <w:rFonts w:ascii="Traditional Arabic" w:hAnsi="Traditional Arabic"/>
          <w:sz w:val="28"/>
          <w:rtl/>
        </w:rPr>
        <w:t xml:space="preserve"> </w:t>
      </w:r>
      <w:r>
        <w:rPr>
          <w:rFonts w:ascii="Traditional Arabic" w:hAnsi="Traditional Arabic"/>
          <w:sz w:val="28"/>
          <w:rtl/>
        </w:rPr>
        <w:t xml:space="preserve">تقوم بتجميع وتلخيص البيانات من كافة الوحدات البرمجية لتوفير رؤية شمولية: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مؤشرات الأداء اللحظية (Real-time KPIs): عرض إجمالي القيمة المالية للمخزون، عدد الأصناف المهددة بالنفاد، ومعدل دوران المخزون العام.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الهيكلي (Structural Analysis): توزيع الأصناف وفق مصفوفة ABC-XYZ بصرياً، مما يساعد الإدارة في فهم طبيعة المخزون (استراتيجي، روتيني، أم مخاطر).</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3"/>
    <w:bookmarkStart w:id="129" w:name="X43f602add9b7058ce87741ac0c8f7096d34eb8c"/>
    <w:p>
      <w:pPr>
        <w:pStyle w:val="Heading3"/>
        <w:bidi/>
      </w:pPr>
      <w:r>
        <w:rPr>
          <w:b/>
          <w:sz w:val="32"/>
          <w:rtl/>
        </w:rPr>
        <w:t xml:space="preserve">المطلب الرابع: المعايير الجمالية والابتكارات الوظيفية</w:t>
      </w:r>
    </w:p>
    <w:p>
      <w:pPr>
        <w:bidi/>
        <w:spacing w:line="360" w:lineRule="auto"/>
        <w:jc w:val="right"/>
      </w:pPr>
      <w:r>
        <w:rPr>
          <w:rFonts w:ascii="Traditional Arabic" w:hAnsi="Traditional Arabic"/>
          <w:sz w:val="28"/>
          <w:rtl/>
        </w:rPr>
        <w:t xml:space="preserve">لضمان احترافية النظام وتوافقه مع معايير البرمجيات الحديثة، تم دمج لمسات تصميمية ووظيفية مبتكرة:</w:t>
      </w:r>
    </w:p>
    <w:bookmarkStart w:id="124" w:name="أولا-الهوية-البصرية-zinc-emerald-theme"/>
    <w:p>
      <w:pPr>
        <w:pStyle w:val="Heading4"/>
        <w:bidi/>
      </w:pPr>
      <w:r>
        <w:rPr>
          <w:rtl/>
        </w:rPr>
        <w:t xml:space="preserve">أولاً: الهوية البصرية (Zinc &amp; Emerald Theme)</w:t>
      </w:r>
    </w:p>
    <w:p>
      <w:pPr>
        <w:bidi/>
        <w:spacing w:line="360" w:lineRule="auto"/>
        <w:jc w:val="right"/>
      </w:pPr>
      <w:r>
        <w:rPr>
          <w:rFonts w:ascii="Traditional Arabic" w:hAnsi="Traditional Arabic"/>
          <w:b/>
          <w:bCs/>
          <w:sz w:val="28"/>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4"/>
    <w:bookmarkStart w:id="128" w:name="ثانيا-الميزات-الابتكارية-المدمجة"/>
    <w:p>
      <w:pPr>
        <w:pStyle w:val="Heading4"/>
        <w:bidi/>
      </w:pPr>
      <w:r>
        <w:rPr>
          <w:rtl/>
        </w:rPr>
        <w:t xml:space="preserve">ثانياً: الميزات الابتكارية المدمجة</w:t>
      </w:r>
    </w:p>
    <w:p>
      <w:pPr>
        <w:bidi/>
        <w:spacing w:line="360" w:lineRule="auto"/>
        <w:jc w:val="right"/>
      </w:pPr>
      <w:r>
        <w:rPr>
          <w:rFonts w:ascii="Traditional Arabic" w:hAnsi="Traditional Arabic"/>
          <w:b/>
          <w:bCs/>
          <w:sz w:val="28"/>
          <w:rtl/>
        </w:rPr>
        <w:t xml:space="preserve">يتميز نظام دعم القرار v13.3 بمجموعة من الإضافات التي ترفعه من مستوى</w:t>
      </w:r>
      <w:r>
        <w:rPr>
          <w:rFonts w:ascii="Traditional Arabic" w:hAnsi="Traditional Arabic"/>
          <w:b/>
          <w:bCs/>
          <w:sz w:val="28"/>
          <w:rtl/>
        </w:rPr>
        <w:t xml:space="preserve"> </w:t>
      </w:r>
      <w:r>
        <w:rPr>
          <w:rFonts w:ascii="Traditional Arabic" w:hAnsi="Traditional Arabic"/>
          <w:b/>
          <w:bCs/>
          <w:sz w:val="28"/>
          <w:rtl/>
        </w:rPr>
        <w:t xml:space="preserve">“جدول بيانات”</w:t>
      </w:r>
      <w:r>
        <w:rPr>
          <w:rFonts w:ascii="Traditional Arabic" w:hAnsi="Traditional Arabic"/>
          <w:b/>
          <w:bCs/>
          <w:sz w:val="28"/>
          <w:rtl/>
        </w:rPr>
        <w:t xml:space="preserve"> </w:t>
      </w:r>
      <w:r>
        <w:rPr>
          <w:rFonts w:ascii="Traditional Arabic" w:hAnsi="Traditional Arabic"/>
          <w:b/>
          <w:bCs/>
          <w:sz w:val="28"/>
          <w:rtl/>
        </w:rPr>
        <w:t xml:space="preserve">إلى</w:t>
      </w:r>
      <w:r>
        <w:rPr>
          <w:rFonts w:ascii="Traditional Arabic" w:hAnsi="Traditional Arabic"/>
          <w:b/>
          <w:bCs/>
          <w:sz w:val="28"/>
          <w:rtl/>
        </w:rPr>
        <w:t xml:space="preserve"> </w:t>
      </w:r>
      <w:r>
        <w:rPr>
          <w:rFonts w:ascii="Traditional Arabic" w:hAnsi="Traditional Arabic"/>
          <w:b/>
          <w:bCs/>
          <w:sz w:val="28"/>
          <w:rtl/>
        </w:rPr>
        <w:t xml:space="preserve">“نظام خبير”</w:t>
      </w:r>
      <w:r>
        <w:rPr>
          <w:rFonts w:ascii="Traditional Arabic" w:hAnsi="Traditional Arabic"/>
          <w:b/>
          <w:bCs/>
          <w:sz w:val="28"/>
          <w:rtl/>
        </w:rPr>
        <w:t xml:space="preserv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التقارير الآلية: توليد وثائق إدارية رسمية (PDF) بضغطة زر، مما يلغي ساعات من العمل اليدوي.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التحليل التنبؤي البسيط: استخدام البيانات التاريخية لتقدير الاحتياجات المستقبلية وتنبيه المستخدم قبل وقوع الأزمة.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واجهة تفاعلية بديهية: تصميم يوجه المستخدم من</w:t>
      </w:r>
      <w:r>
        <w:rPr>
          <w:rFonts w:ascii="Traditional Arabic" w:hAnsi="Traditional Arabic"/>
          <w:b/>
          <w:bCs/>
          <w:sz w:val="28"/>
          <w:rtl/>
        </w:rPr>
        <w:t xml:space="preserve"> </w:t>
      </w:r>
      <w:r>
        <w:rPr>
          <w:rFonts w:ascii="Traditional Arabic" w:hAnsi="Traditional Arabic"/>
          <w:b/>
          <w:bCs/>
          <w:sz w:val="28"/>
          <w:rtl/>
        </w:rPr>
        <w:t xml:space="preserve">“العام”</w:t>
      </w:r>
      <w:r>
        <w:rPr>
          <w:rFonts w:ascii="Traditional Arabic" w:hAnsi="Traditional Arabic"/>
          <w:b/>
          <w:bCs/>
          <w:sz w:val="28"/>
          <w:rtl/>
        </w:rPr>
        <w:t xml:space="preserve"> </w:t>
      </w:r>
      <w:r>
        <w:rPr>
          <w:rFonts w:ascii="Traditional Arabic" w:hAnsi="Traditional Arabic"/>
          <w:b/>
          <w:bCs/>
          <w:sz w:val="28"/>
          <w:rtl/>
        </w:rPr>
        <w:t xml:space="preserve">(لوحة القيادة) إلى</w:t>
      </w:r>
      <w:r>
        <w:rPr>
          <w:rFonts w:ascii="Traditional Arabic" w:hAnsi="Traditional Arabic"/>
          <w:b/>
          <w:bCs/>
          <w:sz w:val="28"/>
          <w:rtl/>
        </w:rPr>
        <w:t xml:space="preserve"> </w:t>
      </w:r>
      <w:r>
        <w:rPr>
          <w:rFonts w:ascii="Traditional Arabic" w:hAnsi="Traditional Arabic"/>
          <w:b/>
          <w:bCs/>
          <w:sz w:val="28"/>
          <w:rtl/>
        </w:rPr>
        <w:t xml:space="preserve">“الخاص”</w:t>
      </w:r>
      <w:r>
        <w:rPr>
          <w:rFonts w:ascii="Traditional Arabic" w:hAnsi="Traditional Arabic"/>
          <w:b/>
          <w:bCs/>
          <w:sz w:val="28"/>
          <w:rtl/>
        </w:rPr>
        <w:t xml:space="preserve"> </w:t>
      </w:r>
      <w:r>
        <w:rPr>
          <w:rFonts w:ascii="Traditional Arabic" w:hAnsi="Traditional Arabic"/>
          <w:b/>
          <w:bCs/>
          <w:sz w:val="28"/>
          <w:rtl/>
        </w:rPr>
        <w:t xml:space="preserve">(تفاصيل الصنف) بسلاسة تامة.</w:t>
      </w:r>
      <w:r>
        <w:rPr>
          <w:rFonts w:ascii="Traditional Arabic" w:hAnsi="Traditional Arabic"/>
          <w:sz w:val="28"/>
          <w:rtl/>
        </w:rPr>
        <w:t xml:space="preserve"> </w:t>
      </w:r>
      <w:r>
        <w:rPr>
          <w:rFonts w:ascii="Traditional Arabic" w:hAnsi="Traditional Arabic"/>
          <w:sz w:val="28"/>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Fonts w:ascii="Traditional Arabic" w:hAnsi="Traditional Arabic"/>
          <w:sz w:val="28"/>
          <w:rtl/>
        </w:rPr>
        <w:t xml:space="preserve"> </w:t>
      </w:r>
      <w:r>
        <w:rPr>
          <w:rFonts w:ascii="Traditional Arabic" w:hAnsi="Traditional Arabic"/>
          <w:sz w:val="28"/>
          <w:rtl/>
        </w:rPr>
        <w:t xml:space="preserve">“رقمنة التسيير اللوجيستي في القطاع التربوي”</w:t>
      </w:r>
      <w:r>
        <w:rPr>
          <w:rFonts w:ascii="Traditional Arabic" w:hAnsi="Traditional Arabic"/>
          <w:sz w:val="28"/>
          <w:rtl/>
        </w:rPr>
        <w:t xml:space="preserve">. الكود المصدري الكامل للنظام متاح في المستودع الرسمي</w:t>
      </w:r>
      <w:r>
        <w:rPr>
          <w:rFonts w:ascii="Traditional Arabic" w:hAnsi="Traditional Arabic"/>
          <w:sz w:val="28"/>
          <w:rtl/>
        </w:rPr>
        <w:t xml:space="preserve"> </w:t>
      </w:r>
      <w:r>
        <w:rPr>
          <w:rStyle w:val="FootnoteReference"/>
          <w:rFonts w:ascii="Traditional Arabic" w:hAnsi="Traditional Arabic"/>
          <w:sz w:val="28"/>
        </w:rPr>
        <w:footnoteReference w:id="125"/>
      </w:r>
      <w:r>
        <w:rPr>
          <w:rFonts w:ascii="Traditional Arabic" w:hAnsi="Traditional Arabic"/>
          <w:sz w:val="28"/>
          <w:rtl/>
        </w:rPr>
        <w:t xml:space="preserve"> </w:t>
      </w:r>
      <w:r>
        <w:rPr>
          <w:rFonts w:ascii="Traditional Arabic" w:hAnsi="Traditional Arabic"/>
          <w:sz w:val="28"/>
          <w:rtl/>
        </w:rPr>
        <w:t xml:space="preserve">— نهاية الفصل الثالث —</w:t>
      </w:r>
      <w:r>
        <w:rPr>
          <w:rFonts w:ascii="Traditional Arabic" w:hAnsi="Traditional Arabic"/>
          <w:sz w:val="28"/>
          <w:rtl/>
        </w:rPr>
        <w:t xml:space="preserve"> </w:t>
      </w:r>
      <w:r>
        <w:rPr>
          <w:rStyle w:val="FootnoteReference"/>
          <w:rFonts w:ascii="Traditional Arabic" w:hAnsi="Traditional Arabic"/>
          <w:sz w:val="28"/>
        </w:rPr>
        <w:footnoteReference w:id="126"/>
      </w:r>
      <w:r>
        <w:rPr>
          <w:rFonts w:ascii="Traditional Arabic" w:hAnsi="Traditional Arabic"/>
          <w:sz w:val="28"/>
          <w:rtl/>
        </w:rPr>
        <w:t xml:space="preserve"> </w:t>
      </w:r>
      <w:r>
        <w:rPr>
          <w:rStyle w:val="FootnoteReference"/>
          <w:rFonts w:ascii="Traditional Arabic" w:hAnsi="Traditional Arabic"/>
          <w:sz w:val="28"/>
        </w:rPr>
        <w:footnoteReference w:id="127"/>
      </w:r>
    </w:p>
    <w:bookmarkEnd w:id="128"/>
    <w:bookmarkEnd w:id="129"/>
    <w:bookmarkEnd w:id="130"/>
    <w:bookmarkEnd w:id="131"/>
    <w:bookmarkStart w:id="144" w:name="الفصل-الرابع-التجريب-والتحقق-من-النتائج"/>
    <w:p>
      <w:pPr>
        <w:pStyle w:val="Heading1"/>
        <w:bidi/>
      </w:pPr>
      <w:r>
        <w:rPr>
          <w:b/>
          <w:sz w:val="44"/>
          <w:rtl/>
        </w:rPr>
        <w:t xml:space="preserve">الفصل الرابع: التجريب والتحقق من النتائج</w:t>
      </w:r>
    </w:p>
    <w:bookmarkStart w:id="139" w:name="X772d01764d2cdf10730319436c2b610a5dde5fe"/>
    <w:p>
      <w:pPr>
        <w:pStyle w:val="Heading2"/>
        <w:bidi/>
      </w:pPr>
      <w:r>
        <w:rPr>
          <w:b/>
          <w:sz w:val="36"/>
          <w:rtl/>
        </w:rPr>
        <w:t xml:space="preserve">المبحث الأول: نتائج التجريب والتحقق من صحة الفرضيات</w:t>
      </w:r>
    </w:p>
    <w:bookmarkStart w:id="132" w:name="مقارنة-مؤشرات-الأداء-قبل-وبعد-التطبيق"/>
    <w:p>
      <w:pPr>
        <w:pStyle w:val="Heading3"/>
        <w:bidi/>
      </w:pPr>
      <w:r>
        <w:rPr>
          <w:b/>
          <w:sz w:val="32"/>
          <w:rtl/>
        </w:rPr>
        <w:t xml:space="preserve">1. مقارنة مؤشرات الأداء قبل وبعد التطبيق</w:t>
      </w:r>
    </w:p>
    <w:p>
      <w:pPr>
        <w:bidi/>
        <w:spacing w:line="360" w:lineRule="auto"/>
        <w:jc w:val="right"/>
      </w:pPr>
      <w:r>
        <w:rPr>
          <w:rFonts w:ascii="Traditional Arabic" w:hAnsi="Traditional Arabic"/>
          <w:b/>
          <w:bCs/>
          <w:sz w:val="28"/>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pPr>
            <w:r>
              <w:rPr>
                <w:rtl/>
              </w:rPr>
              <w:t xml:space="preserve">مؤشر الأداء (KPI)</w:t>
            </w:r>
          </w:p>
        </w:tc>
        <w:tc>
          <w:tcPr>
            <w:tcW w:w="1584891" w:type="dxa"/>
          </w:tcPr>
          <w:p>
            <w:pPr>
              <w:pStyle w:val="Compact"/>
              <w:bidi/>
            </w:pPr>
            <w:r>
              <w:rPr>
                <w:rtl/>
              </w:rPr>
              <w:t xml:space="preserve">قبل التطبيق (النظام اليدوي)</w:t>
            </w:r>
          </w:p>
        </w:tc>
        <w:tc>
          <w:tcPr>
            <w:tcW w:w="1516933" w:type="dxa"/>
          </w:tcPr>
          <w:p>
            <w:pPr>
              <w:pStyle w:val="Compact"/>
              <w:bidi/>
            </w:pPr>
            <w:r>
              <w:rPr>
                <w:rtl/>
              </w:rPr>
              <w:t xml:space="preserve">بعد التطبيق (نظام دعم القرار)</w:t>
            </w:r>
          </w:p>
        </w:tc>
        <w:tc>
          <w:tcPr>
            <w:tcW w:w="973264" w:type="dxa"/>
          </w:tcPr>
          <w:p>
            <w:pPr>
              <w:pStyle w:val="Compact"/>
              <w:bidi/>
            </w:pPr>
            <w:r>
              <w:rPr>
                <w:rtl/>
              </w:rPr>
              <w:t xml:space="preserve">نسبة التحسُّن</w:t>
            </w:r>
          </w:p>
        </w:tc>
      </w:tr>
      <w:tr>
        <w:tc>
          <w:tcPr>
            <w:tcW w:w="1084910" w:type="dxa"/>
          </w:tcPr>
          <w:p>
            <w:pPr>
              <w:pStyle w:val="Compact"/>
              <w:bidi/>
            </w:pPr>
            <w:r>
              <w:rPr>
                <w:rtl/>
              </w:rPr>
              <w:t xml:space="preserve">وقت معالجة الطلبية الواحدة</w:t>
            </w:r>
          </w:p>
        </w:tc>
        <w:tc>
          <w:tcPr>
            <w:tcW w:w="1584891" w:type="dxa"/>
          </w:tcPr>
          <w:p>
            <w:pPr>
              <w:pStyle w:val="Compact"/>
              <w:bidi/>
            </w:pPr>
            <w:r>
              <w:rPr>
                <w:rtl/>
              </w:rPr>
              <w:t xml:space="preserve">20 – 30 دقيقة (ورقي متعدد المراحل)</w:t>
            </w:r>
          </w:p>
        </w:tc>
        <w:tc>
          <w:tcPr>
            <w:tcW w:w="1516933" w:type="dxa"/>
          </w:tcPr>
          <w:p>
            <w:pPr>
              <w:pStyle w:val="Compact"/>
              <w:bidi/>
            </w:pPr>
            <w:r>
              <w:rPr>
                <w:rtl/>
              </w:rPr>
              <w:t xml:space="preserve">أقل من 5 ثوانٍ (زر واحد — VBA)</w:t>
            </w:r>
          </w:p>
        </w:tc>
        <w:tc>
          <w:tcPr>
            <w:tcW w:w="973264" w:type="dxa"/>
          </w:tcPr>
          <w:p>
            <w:pPr>
              <w:pStyle w:val="Compact"/>
              <w:bidi/>
            </w:pPr>
            <w:r>
              <w:rPr>
                <w:rtl/>
              </w:rPr>
              <w:t xml:space="preserve">تخفيض 99.7%</w:t>
            </w:r>
          </w:p>
        </w:tc>
      </w:tr>
      <w:tr>
        <w:tc>
          <w:tcPr>
            <w:tcW w:w="1084910" w:type="dxa"/>
          </w:tcPr>
          <w:p>
            <w:pPr>
              <w:pStyle w:val="Compact"/>
              <w:bidi/>
            </w:pPr>
            <w:r>
              <w:rPr>
                <w:rtl/>
              </w:rPr>
              <w:t xml:space="preserve">التنبيه بنقطة إعادة الطلب</w:t>
            </w:r>
          </w:p>
        </w:tc>
        <w:tc>
          <w:tcPr>
            <w:tcW w:w="1584891" w:type="dxa"/>
          </w:tcPr>
          <w:p>
            <w:pPr>
              <w:pStyle w:val="Compact"/>
              <w:bidi/>
            </w:pPr>
            <w:r>
              <w:rPr>
                <w:rtl/>
              </w:rPr>
              <w:t xml:space="preserve">غائب — اكتشاف بالعين المجردة عند النفاد</w:t>
            </w:r>
          </w:p>
        </w:tc>
        <w:tc>
          <w:tcPr>
            <w:tcW w:w="1516933" w:type="dxa"/>
          </w:tcPr>
          <w:p>
            <w:pPr>
              <w:pStyle w:val="Compact"/>
              <w:bidi/>
            </w:pPr>
            <w:r>
              <w:rPr>
                <w:rtl/>
              </w:rPr>
              <w:t xml:space="preserve">تلقائي — تلوين فوري عند الاقتراب من ROP</w:t>
            </w:r>
          </w:p>
        </w:tc>
        <w:tc>
          <w:tcPr>
            <w:tcW w:w="973264" w:type="dxa"/>
          </w:tcPr>
          <w:p>
            <w:pPr>
              <w:pStyle w:val="Compact"/>
              <w:bidi/>
            </w:pPr>
            <w:r>
              <w:rPr>
                <w:rtl/>
              </w:rPr>
              <w:t xml:space="preserve">من صفر إلى 100%</w:t>
            </w:r>
          </w:p>
        </w:tc>
      </w:tr>
      <w:tr>
        <w:tc>
          <w:tcPr>
            <w:tcW w:w="1084910" w:type="dxa"/>
          </w:tcPr>
          <w:p>
            <w:pPr>
              <w:pStyle w:val="Compact"/>
              <w:bidi/>
            </w:pPr>
            <w:r>
              <w:rPr>
                <w:rtl/>
              </w:rPr>
              <w:t xml:space="preserve">مدة إجراء الجرد الفصلي</w:t>
            </w:r>
          </w:p>
        </w:tc>
        <w:tc>
          <w:tcPr>
            <w:tcW w:w="1584891" w:type="dxa"/>
          </w:tcPr>
          <w:p>
            <w:pPr>
              <w:pStyle w:val="Compact"/>
              <w:bidi/>
            </w:pPr>
            <w:r>
              <w:rPr>
                <w:rtl/>
              </w:rPr>
              <w:t xml:space="preserve">7 – 8 ساعات (مطابقة يدوية)</w:t>
            </w:r>
          </w:p>
        </w:tc>
        <w:tc>
          <w:tcPr>
            <w:tcW w:w="1516933" w:type="dxa"/>
          </w:tcPr>
          <w:p>
            <w:pPr>
              <w:pStyle w:val="Compact"/>
              <w:bidi/>
            </w:pPr>
            <w:r>
              <w:rPr>
                <w:rtl/>
              </w:rPr>
              <w:t xml:space="preserve">أقل من 3 ساعات (مقارنة آلية)</w:t>
            </w:r>
          </w:p>
        </w:tc>
        <w:tc>
          <w:tcPr>
            <w:tcW w:w="973264" w:type="dxa"/>
          </w:tcPr>
          <w:p>
            <w:pPr>
              <w:pStyle w:val="Compact"/>
              <w:bidi/>
            </w:pPr>
            <w:r>
              <w:rPr>
                <w:rtl/>
              </w:rPr>
              <w:t xml:space="preserve">تخفيض 60%</w:t>
            </w:r>
          </w:p>
        </w:tc>
      </w:tr>
      <w:tr>
        <w:tc>
          <w:tcPr>
            <w:tcW w:w="1084910" w:type="dxa"/>
          </w:tcPr>
          <w:p>
            <w:pPr>
              <w:pStyle w:val="Compact"/>
              <w:bidi/>
            </w:pPr>
            <w:r>
              <w:rPr>
                <w:rtl/>
              </w:rPr>
              <w:t xml:space="preserve">دقة الرصيد</w:t>
            </w:r>
          </w:p>
        </w:tc>
        <w:tc>
          <w:tcPr>
            <w:tcW w:w="1584891" w:type="dxa"/>
          </w:tcPr>
          <w:p>
            <w:pPr>
              <w:pStyle w:val="Compact"/>
              <w:bidi/>
            </w:pPr>
            <w:r>
              <w:rPr>
                <w:rtl/>
              </w:rPr>
              <w:t xml:space="preserve">خطأ إدخال في 12–15% من العمليات</w:t>
            </w:r>
          </w:p>
        </w:tc>
        <w:tc>
          <w:tcPr>
            <w:tcW w:w="1516933" w:type="dxa"/>
          </w:tcPr>
          <w:p>
            <w:pPr>
              <w:pStyle w:val="Compact"/>
              <w:bidi/>
            </w:pPr>
            <w:r>
              <w:rPr>
                <w:rtl/>
              </w:rPr>
              <w:t xml:space="preserve">التحقق الآلي يمنع الرصيد السالب</w:t>
            </w:r>
          </w:p>
        </w:tc>
        <w:tc>
          <w:tcPr>
            <w:tcW w:w="973264" w:type="dxa"/>
          </w:tcPr>
          <w:p>
            <w:pPr>
              <w:pStyle w:val="Compact"/>
              <w:bidi/>
            </w:pPr>
            <w:r>
              <w:rPr>
                <w:rtl/>
              </w:rPr>
              <w:t xml:space="preserve">تخفيض الأخطاء أكثر من 90%</w:t>
            </w:r>
          </w:p>
        </w:tc>
      </w:tr>
      <w:tr>
        <w:tc>
          <w:tcPr>
            <w:tcW w:w="1084910" w:type="dxa"/>
          </w:tcPr>
          <w:p>
            <w:pPr>
              <w:pStyle w:val="Compact"/>
              <w:bidi/>
            </w:pPr>
            <w:r>
              <w:rPr>
                <w:rtl/>
              </w:rPr>
              <w:t xml:space="preserve">التقارير لرئاسة الإدارة</w:t>
            </w:r>
          </w:p>
        </w:tc>
        <w:tc>
          <w:tcPr>
            <w:tcW w:w="1584891" w:type="dxa"/>
          </w:tcPr>
          <w:p>
            <w:pPr>
              <w:pStyle w:val="Compact"/>
              <w:bidi/>
            </w:pPr>
            <w:r>
              <w:rPr>
                <w:rtl/>
              </w:rPr>
              <w:t xml:space="preserve">يدوية — ساعة أو أكثر</w:t>
            </w:r>
          </w:p>
        </w:tc>
        <w:tc>
          <w:tcPr>
            <w:tcW w:w="1516933" w:type="dxa"/>
          </w:tcPr>
          <w:p>
            <w:pPr>
              <w:pStyle w:val="Compact"/>
              <w:bidi/>
            </w:pPr>
            <w:r>
              <w:rPr>
                <w:rtl/>
              </w:rPr>
              <w:t xml:space="preserve">PDF تلقائي بنقرة واحدة</w:t>
            </w:r>
          </w:p>
        </w:tc>
        <w:tc>
          <w:tcPr>
            <w:tcW w:w="973264" w:type="dxa"/>
          </w:tcPr>
          <w:p>
            <w:pPr>
              <w:pStyle w:val="Compact"/>
              <w:bidi/>
            </w:pPr>
            <w:r>
              <w:rPr>
                <w:rtl/>
              </w:rPr>
              <w:t xml:space="preserve">تخفيض 98%</w:t>
            </w:r>
          </w:p>
        </w:tc>
      </w:tr>
      <w:tr>
        <w:tc>
          <w:tcPr>
            <w:tcW w:w="1084910" w:type="dxa"/>
          </w:tcPr>
          <w:p>
            <w:pPr>
              <w:pStyle w:val="Compact"/>
              <w:bidi/>
            </w:pPr>
            <w:r>
              <w:rPr>
                <w:rtl/>
              </w:rPr>
              <w:t xml:space="preserve">تكلفة التطبيق</w:t>
            </w:r>
          </w:p>
        </w:tc>
        <w:tc>
          <w:tcPr>
            <w:tcW w:w="1584891" w:type="dxa"/>
          </w:tcPr>
          <w:p>
            <w:pPr>
              <w:pStyle w:val="Compact"/>
              <w:bidi/>
            </w:pPr>
            <w:r>
              <w:rPr>
                <w:rtl/>
              </w:rPr>
              <w:t xml:space="preserve">—</w:t>
            </w:r>
          </w:p>
        </w:tc>
        <w:tc>
          <w:tcPr>
            <w:tcW w:w="1516933" w:type="dxa"/>
          </w:tcPr>
          <w:p>
            <w:pPr>
              <w:pStyle w:val="Compact"/>
              <w:bidi/>
            </w:pPr>
            <w:r>
              <w:rPr>
                <w:rtl/>
              </w:rPr>
              <w:t xml:space="preserve">صفر دج (Office موجود مسبقاً)</w:t>
            </w:r>
          </w:p>
        </w:tc>
        <w:tc>
          <w:tcPr>
            <w:tcW w:w="973264" w:type="dxa"/>
          </w:tcPr>
          <w:p>
            <w:pPr>
              <w:pStyle w:val="Compact"/>
              <w:bidi/>
            </w:pPr>
            <w:r>
              <w:rPr>
                <w:rtl/>
              </w:rPr>
              <w:t xml:space="preserve">بدون ميزانية إضافية</w:t>
            </w:r>
          </w:p>
        </w:tc>
      </w:tr>
    </w:tbl>
    <w:p>
      <w:pPr>
        <w:bidi/>
        <w:spacing w:line="360" w:lineRule="auto"/>
        <w:jc w:val="right"/>
      </w:pPr>
      <w:r>
        <w:rPr>
          <w:rFonts w:ascii="Traditional Arabic" w:hAnsi="Traditional Arabic"/>
          <w:sz w:val="28"/>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2"/>
    <w:bookmarkStart w:id="133" w:name="التحقق-من-صحة-فرضيات-البحث"/>
    <w:p>
      <w:pPr>
        <w:pStyle w:val="Heading3"/>
        <w:bidi/>
      </w:pPr>
      <w:r>
        <w:rPr>
          <w:b/>
          <w:sz w:val="32"/>
          <w:rtl/>
        </w:rPr>
        <w:t xml:space="preserve">2. التحقق من صحة فرضيات البحث</w:t>
      </w:r>
    </w:p>
    <w:p>
      <w:pPr>
        <w:bidi/>
        <w:spacing w:line="360" w:lineRule="auto"/>
        <w:jc w:val="right"/>
      </w:pPr>
      <w:r>
        <w:rPr>
          <w:rFonts w:ascii="Traditional Arabic" w:hAnsi="Traditional Arabic"/>
          <w:sz w:val="28"/>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Fonts w:ascii="Traditional Arabic" w:hAnsi="Traditional Arabic"/>
          <w:sz w:val="28"/>
          <w:rtl/>
        </w:rPr>
        <w:t xml:space="preserve"> </w:t>
      </w:r>
      <w:r>
        <w:rPr>
          <w:rFonts w:ascii="Traditional Arabic" w:hAnsi="Traditional Arabic"/>
          <w:b/>
          <w:bCs/>
          <w:sz w:val="28"/>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pPr>
            <w:r>
              <w:rPr>
                <w:rtl/>
              </w:rPr>
              <w:t xml:space="preserve">الفرضية</w:t>
            </w:r>
          </w:p>
        </w:tc>
        <w:tc>
          <w:tcPr>
            <w:tcW w:w="1325806" w:type="dxa"/>
          </w:tcPr>
          <w:p>
            <w:pPr>
              <w:pStyle w:val="Compact"/>
              <w:bidi/>
            </w:pPr>
            <w:r>
              <w:rPr>
                <w:rtl/>
              </w:rPr>
              <w:t xml:space="preserve">الصياغة</w:t>
            </w:r>
          </w:p>
        </w:tc>
        <w:tc>
          <w:tcPr>
            <w:tcW w:w="2370607" w:type="dxa"/>
          </w:tcPr>
          <w:p>
            <w:pPr>
              <w:pStyle w:val="Compact"/>
              <w:bidi/>
            </w:pPr>
            <w:r>
              <w:rPr>
                <w:rtl/>
              </w:rPr>
              <w:t xml:space="preserve">الدليل الميداني</w:t>
            </w:r>
          </w:p>
        </w:tc>
        <w:tc>
          <w:tcPr>
            <w:tcW w:w="472015" w:type="dxa"/>
          </w:tcPr>
          <w:p>
            <w:pPr>
              <w:pStyle w:val="Compact"/>
              <w:bidi/>
            </w:pPr>
            <w:r>
              <w:rPr>
                <w:rtl/>
              </w:rPr>
              <w:t xml:space="preserve">النتيجة</w:t>
            </w:r>
          </w:p>
        </w:tc>
      </w:tr>
      <w:tr>
        <w:tc>
          <w:tcPr>
            <w:tcW w:w="991570" w:type="dxa"/>
          </w:tcPr>
          <w:p>
            <w:pPr>
              <w:pStyle w:val="Compact"/>
              <w:bidi/>
            </w:pPr>
            <w:r>
              <w:rPr>
                <w:rtl/>
              </w:rPr>
              <w:t xml:space="preserve">الفرضية الأولى</w:t>
            </w:r>
          </w:p>
        </w:tc>
        <w:tc>
          <w:tcPr>
            <w:tcW w:w="1325806" w:type="dxa"/>
          </w:tcPr>
          <w:p>
            <w:pPr>
              <w:pStyle w:val="Compact"/>
              <w:bidi/>
            </w:pPr>
            <w:r>
              <w:rPr>
                <w:rtl/>
              </w:rPr>
              <w:t xml:space="preserve">غياب آليات التنبيه الآلي هو السبب الجذري لتكرار نفاد المخزون</w:t>
            </w:r>
          </w:p>
        </w:tc>
        <w:tc>
          <w:tcPr>
            <w:tcW w:w="2370607" w:type="dxa"/>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الفرضية الثانية</w:t>
            </w:r>
          </w:p>
        </w:tc>
        <w:tc>
          <w:tcPr>
            <w:tcW w:w="1325806" w:type="dxa"/>
          </w:tcPr>
          <w:p>
            <w:pPr>
              <w:pStyle w:val="Compact"/>
              <w:bidi/>
            </w:pPr>
            <w:r>
              <w:rPr>
                <w:rtl/>
              </w:rPr>
              <w:t xml:space="preserve">نظام دعم القرار يُحسِّن دقة التتبع ويُقلِّص وقت معالجة الطلبيات</w:t>
            </w:r>
          </w:p>
        </w:tc>
        <w:tc>
          <w:tcPr>
            <w:tcW w:w="2370607" w:type="dxa"/>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*المصدر: إعداد الطالب — تحليل بيانات ERP_Académie_v13.3</w:t>
            </w:r>
          </w:p>
        </w:tc>
        <w:tc>
          <w:tcPr>
            <w:tcW w:w="1325806" w:type="dxa"/>
          </w:tcPr>
          <w:p>
            <w:pPr>
              <w:pStyle w:val="Compact"/>
              <w:bidi/>
            </w:pPr>
            <w:r>
              <w:rPr>
                <w:rtl/>
              </w:rPr>
              <w:t xml:space="preserve">مارس 2026*</w:t>
            </w:r>
          </w:p>
        </w:tc>
        <w:tc>
          <w:tcPr>
            <w:tcW w:w="2370607" w:type="dxa"/>
          </w:tcPr>
          <w:p>
            <w:pPr>
              <w:pStyle w:val="Compact"/>
            </w:pPr>
          </w:p>
        </w:tc>
        <w:tc>
          <w:tcPr>
            <w:tcW w:w="472015" w:type="dxa"/>
          </w:tcPr>
          <w:p>
            <w:pPr>
              <w:pStyle w:val="Compact"/>
            </w:pPr>
          </w:p>
        </w:tc>
      </w:tr>
    </w:tbl>
    <w:bookmarkEnd w:id="133"/>
    <w:bookmarkStart w:id="134" w:name="التحليل-التفصيلي-لمؤشرات-الأداء"/>
    <w:p>
      <w:pPr>
        <w:pStyle w:val="Heading3"/>
        <w:bidi/>
      </w:pPr>
      <w:r>
        <w:rPr>
          <w:b/>
          <w:sz w:val="32"/>
          <w:rtl/>
        </w:rPr>
        <w:t xml:space="preserve">3. التحليل التفصيلي لمؤشرات الأداء</w:t>
      </w:r>
    </w:p>
    <w:p>
      <w:pPr>
        <w:bidi/>
        <w:spacing w:line="360" w:lineRule="auto"/>
        <w:jc w:val="right"/>
      </w:pPr>
      <w:r>
        <w:rPr>
          <w:rFonts w:ascii="Traditional Arabic" w:hAnsi="Traditional Arabic"/>
          <w:sz w:val="28"/>
          <w:rtl/>
        </w:rPr>
        <w:t xml:space="preserve">بناءً على البيانات الواردة في الجدول رقم (06)، يمكن تحليل الأثر النوعي لكل مؤشر على النحو التالي: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4"/>
    <w:bookmarkStart w:id="135" w:name="التقييم-الإحصائي-لمؤشرات-الأداء"/>
    <w:p>
      <w:pPr>
        <w:pStyle w:val="Heading3"/>
        <w:bidi/>
      </w:pPr>
      <w:r>
        <w:rPr>
          <w:b/>
          <w:sz w:val="32"/>
          <w:rtl/>
        </w:rPr>
        <w:t xml:space="preserve">4. التقييم الإحصائي لمؤشرات الأداء</w:t>
      </w:r>
    </w:p>
    <w:p>
      <w:pPr>
        <w:bidi/>
        <w:spacing w:line="360" w:lineRule="auto"/>
        <w:jc w:val="right"/>
      </w:pPr>
      <w:r>
        <w:rPr>
          <w:rFonts w:ascii="Traditional Arabic" w:hAnsi="Traditional Arabic"/>
          <w:sz w:val="28"/>
          <w:rtl/>
        </w:rPr>
        <w:t xml:space="preserve">لإعطاء صورة أكثر دقة عن حجم التحسُّن، يُقدِّم الجدول أدناه مقارنة عددية مباشرة بين الوضعين السابق واللاحق:</w:t>
      </w:r>
      <w:r>
        <w:rPr>
          <w:rFonts w:ascii="Traditional Arabic" w:hAnsi="Traditional Arabic"/>
          <w:sz w:val="28"/>
          <w:rtl/>
        </w:rPr>
        <w:t xml:space="preserve"> </w:t>
      </w:r>
      <w:r>
        <w:rPr>
          <w:rFonts w:ascii="Traditional Arabic" w:hAnsi="Traditional Arabic"/>
          <w:b/>
          <w:bCs/>
          <w:sz w:val="28"/>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pPr>
            <w:r>
              <w:rPr>
                <w:rtl/>
              </w:rPr>
              <w:t xml:space="preserve">مؤشر الأداء</w:t>
            </w:r>
          </w:p>
        </w:tc>
        <w:tc>
          <w:tcPr>
            <w:tcW w:w="672910" w:type="dxa"/>
          </w:tcPr>
          <w:p>
            <w:pPr>
              <w:pStyle w:val="Compact"/>
              <w:bidi/>
            </w:pPr>
            <w:r>
              <w:rPr>
                <w:rtl/>
              </w:rPr>
              <w:t xml:space="preserve">قبل التطبيق</w:t>
            </w:r>
          </w:p>
        </w:tc>
        <w:tc>
          <w:tcPr>
            <w:tcW w:w="997131" w:type="dxa"/>
          </w:tcPr>
          <w:p>
            <w:pPr>
              <w:pStyle w:val="Compact"/>
              <w:bidi/>
            </w:pPr>
            <w:r>
              <w:rPr>
                <w:rtl/>
              </w:rPr>
              <w:t xml:space="preserve">بعد التطبيق</w:t>
            </w:r>
          </w:p>
        </w:tc>
        <w:tc>
          <w:tcPr>
            <w:tcW w:w="697379" w:type="dxa"/>
          </w:tcPr>
          <w:p>
            <w:pPr>
              <w:pStyle w:val="Compact"/>
              <w:bidi/>
            </w:pPr>
            <w:r>
              <w:rPr>
                <w:rtl/>
              </w:rPr>
              <w:t xml:space="preserve">نسبة التحسُّن</w:t>
            </w:r>
          </w:p>
        </w:tc>
      </w:tr>
      <w:tr>
        <w:tc>
          <w:tcPr>
            <w:tcW w:w="2792579" w:type="dxa"/>
          </w:tcPr>
          <w:p>
            <w:pPr>
              <w:pStyle w:val="Compact"/>
              <w:bidi/>
            </w:pPr>
            <w:r>
              <w:rPr>
                <w:rtl/>
              </w:rPr>
              <w:t xml:space="preserve">زمن معالجة الطلبية الواحدة</w:t>
            </w:r>
          </w:p>
        </w:tc>
        <w:tc>
          <w:tcPr>
            <w:tcW w:w="672910" w:type="dxa"/>
          </w:tcPr>
          <w:p>
            <w:pPr>
              <w:pStyle w:val="Compact"/>
              <w:bidi/>
            </w:pPr>
            <w:r>
              <w:rPr>
                <w:rtl/>
              </w:rPr>
              <w:t xml:space="preserve">20–30 دقيقة</w:t>
            </w:r>
          </w:p>
        </w:tc>
        <w:tc>
          <w:tcPr>
            <w:tcW w:w="997131" w:type="dxa"/>
          </w:tcPr>
          <w:p>
            <w:pPr>
              <w:pStyle w:val="Compact"/>
              <w:bidi/>
            </w:pPr>
            <w:r>
              <w:rPr>
                <w:rtl/>
              </w:rPr>
              <w:t xml:space="preserve">أقل من 5 ثوانٍ</w:t>
            </w:r>
          </w:p>
        </w:tc>
        <w:tc>
          <w:tcPr>
            <w:tcW w:w="697379" w:type="dxa"/>
          </w:tcPr>
          <w:p>
            <w:pPr>
              <w:pStyle w:val="Compact"/>
              <w:bidi/>
            </w:pPr>
            <w:r>
              <w:rPr>
                <w:rtl/>
              </w:rPr>
              <w:t xml:space="preserve">99.7%</w:t>
            </w:r>
          </w:p>
        </w:tc>
      </w:tr>
      <w:tr>
        <w:tc>
          <w:tcPr>
            <w:tcW w:w="2792579" w:type="dxa"/>
          </w:tcPr>
          <w:p>
            <w:pPr>
              <w:pStyle w:val="Compact"/>
              <w:bidi/>
            </w:pPr>
            <w:r>
              <w:rPr>
                <w:rtl/>
              </w:rPr>
              <w:t xml:space="preserve">مدة الجرد الفصلي</w:t>
            </w:r>
          </w:p>
        </w:tc>
        <w:tc>
          <w:tcPr>
            <w:tcW w:w="672910" w:type="dxa"/>
          </w:tcPr>
          <w:p>
            <w:pPr>
              <w:pStyle w:val="Compact"/>
              <w:bidi/>
            </w:pPr>
            <w:r>
              <w:rPr>
                <w:rtl/>
              </w:rPr>
              <w:t xml:space="preserve">4 أيام</w:t>
            </w:r>
          </w:p>
        </w:tc>
        <w:tc>
          <w:tcPr>
            <w:tcW w:w="997131" w:type="dxa"/>
          </w:tcPr>
          <w:p>
            <w:pPr>
              <w:pStyle w:val="Compact"/>
              <w:bidi/>
            </w:pPr>
            <w:r>
              <w:rPr>
                <w:rtl/>
              </w:rPr>
              <w:t xml:space="preserve">1.5 يوم</w:t>
            </w:r>
          </w:p>
        </w:tc>
        <w:tc>
          <w:tcPr>
            <w:tcW w:w="697379" w:type="dxa"/>
          </w:tcPr>
          <w:p>
            <w:pPr>
              <w:pStyle w:val="Compact"/>
              <w:bidi/>
            </w:pPr>
            <w:r>
              <w:rPr>
                <w:rtl/>
              </w:rPr>
              <w:t xml:space="preserve">62.5%</w:t>
            </w:r>
          </w:p>
        </w:tc>
      </w:tr>
      <w:tr>
        <w:tc>
          <w:tcPr>
            <w:tcW w:w="2792579" w:type="dxa"/>
          </w:tcPr>
          <w:p>
            <w:pPr>
              <w:pStyle w:val="Compact"/>
              <w:bidi/>
            </w:pPr>
            <w:r>
              <w:rPr>
                <w:rtl/>
              </w:rPr>
              <w:t xml:space="preserve">سرعة اكتشاف النفاد</w:t>
            </w:r>
          </w:p>
        </w:tc>
        <w:tc>
          <w:tcPr>
            <w:tcW w:w="672910" w:type="dxa"/>
          </w:tcPr>
          <w:p>
            <w:pPr>
              <w:pStyle w:val="Compact"/>
              <w:bidi/>
            </w:pPr>
            <w:r>
              <w:rPr>
                <w:rtl/>
              </w:rPr>
              <w:t xml:space="preserve">عند حدوثه فقط</w:t>
            </w:r>
          </w:p>
        </w:tc>
        <w:tc>
          <w:tcPr>
            <w:tcW w:w="997131" w:type="dxa"/>
          </w:tcPr>
          <w:p>
            <w:pPr>
              <w:pStyle w:val="Compact"/>
              <w:bidi/>
            </w:pPr>
            <w:r>
              <w:rPr>
                <w:rtl/>
              </w:rPr>
              <w:t xml:space="preserve">قبل أسبوع من حدوثه</w:t>
            </w:r>
          </w:p>
        </w:tc>
        <w:tc>
          <w:tcPr>
            <w:tcW w:w="697379" w:type="dxa"/>
          </w:tcPr>
          <w:p>
            <w:pPr>
              <w:pStyle w:val="Compact"/>
              <w:bidi/>
            </w:pPr>
            <w:r>
              <w:rPr>
                <w:rtl/>
              </w:rPr>
              <w:t xml:space="preserve">—</w:t>
            </w:r>
          </w:p>
        </w:tc>
      </w:tr>
      <w:tr>
        <w:tc>
          <w:tcPr>
            <w:tcW w:w="2792579" w:type="dxa"/>
          </w:tcPr>
          <w:p>
            <w:pPr>
              <w:pStyle w:val="Compact"/>
              <w:bidi/>
            </w:pPr>
            <w:r>
              <w:rPr>
                <w:rtl/>
              </w:rPr>
              <w:t xml:space="preserve">دقة المطابقة (دفتري/فيزيائي)</w:t>
            </w:r>
          </w:p>
        </w:tc>
        <w:tc>
          <w:tcPr>
            <w:tcW w:w="672910" w:type="dxa"/>
          </w:tcPr>
          <w:p>
            <w:pPr>
              <w:pStyle w:val="Compact"/>
              <w:bidi/>
            </w:pPr>
            <w:r>
              <w:rPr>
                <w:rtl/>
              </w:rPr>
              <w:t xml:space="preserve">~85%</w:t>
            </w:r>
          </w:p>
        </w:tc>
        <w:tc>
          <w:tcPr>
            <w:tcW w:w="997131" w:type="dxa"/>
          </w:tcPr>
          <w:p>
            <w:pPr>
              <w:pStyle w:val="Compact"/>
              <w:bidi/>
            </w:pPr>
            <w:r>
              <w:rPr>
                <w:rtl/>
              </w:rPr>
              <w:t xml:space="preserve">~99.7%</w:t>
            </w:r>
          </w:p>
        </w:tc>
        <w:tc>
          <w:tcPr>
            <w:tcW w:w="697379" w:type="dxa"/>
          </w:tcPr>
          <w:p>
            <w:pPr>
              <w:pStyle w:val="Compact"/>
              <w:bidi/>
            </w:pPr>
            <w:r>
              <w:rPr>
                <w:rtl/>
              </w:rPr>
              <w:t xml:space="preserve">14.7 نقطة مئوية</w:t>
            </w:r>
          </w:p>
        </w:tc>
      </w:tr>
      <w:tr>
        <w:tc>
          <w:tcPr>
            <w:tcW w:w="2792579" w:type="dxa"/>
          </w:tcPr>
          <w:p>
            <w:pPr>
              <w:pStyle w:val="Compact"/>
              <w:bidi/>
            </w:pPr>
            <w:r>
              <w:rPr>
                <w:rtl/>
              </w:rPr>
              <w:t xml:space="preserve">عدد التنبيهات الخاطئة شهرياً</w:t>
            </w:r>
          </w:p>
        </w:tc>
        <w:tc>
          <w:tcPr>
            <w:tcW w:w="672910" w:type="dxa"/>
          </w:tcPr>
          <w:p>
            <w:pPr>
              <w:pStyle w:val="Compact"/>
              <w:bidi/>
            </w:pPr>
            <w:r>
              <w:rPr>
                <w:rtl/>
              </w:rPr>
              <w:t xml:space="preserve">7</w:t>
            </w:r>
          </w:p>
        </w:tc>
        <w:tc>
          <w:tcPr>
            <w:tcW w:w="997131" w:type="dxa"/>
          </w:tcPr>
          <w:p>
            <w:pPr>
              <w:pStyle w:val="Compact"/>
              <w:bidi/>
            </w:pPr>
            <w:r>
              <w:rPr>
                <w:rtl/>
              </w:rPr>
              <w:t xml:space="preserve">1 (بعد ضبط ROP الفردي)</w:t>
            </w:r>
          </w:p>
        </w:tc>
        <w:tc>
          <w:tcPr>
            <w:tcW w:w="697379" w:type="dxa"/>
          </w:tcPr>
          <w:p>
            <w:pPr>
              <w:pStyle w:val="Compact"/>
              <w:bidi/>
            </w:pPr>
            <w:r>
              <w:rPr>
                <w:rtl/>
              </w:rPr>
              <w:t xml:space="preserve">85.7%</w:t>
            </w:r>
          </w:p>
        </w:tc>
      </w:tr>
      <w:tr>
        <w:tc>
          <w:tcPr>
            <w:tcW w:w="2792579" w:type="dxa"/>
          </w:tcPr>
          <w:p>
            <w:pPr>
              <w:pStyle w:val="Compact"/>
              <w:bidi/>
            </w:pPr>
            <w:r>
              <w:rPr>
                <w:rtl/>
              </w:rPr>
              <w:t xml:space="preserve">زمن البحث عن حركة تاريخية</w:t>
            </w:r>
          </w:p>
        </w:tc>
        <w:tc>
          <w:tcPr>
            <w:tcW w:w="672910" w:type="dxa"/>
          </w:tcPr>
          <w:p>
            <w:pPr>
              <w:pStyle w:val="Compact"/>
              <w:bidi/>
            </w:pPr>
            <w:r>
              <w:rPr>
                <w:rtl/>
              </w:rPr>
              <w:t xml:space="preserve">30-45 دقيقة</w:t>
            </w:r>
          </w:p>
        </w:tc>
        <w:tc>
          <w:tcPr>
            <w:tcW w:w="997131" w:type="dxa"/>
          </w:tcPr>
          <w:p>
            <w:pPr>
              <w:pStyle w:val="Compact"/>
              <w:bidi/>
            </w:pPr>
            <w:r>
              <w:rPr>
                <w:rtl/>
              </w:rPr>
              <w:t xml:space="preserve">&lt; 1 دقيقة</w:t>
            </w:r>
          </w:p>
        </w:tc>
        <w:tc>
          <w:tcPr>
            <w:tcW w:w="697379" w:type="dxa"/>
          </w:tcPr>
          <w:p>
            <w:pPr>
              <w:pStyle w:val="Compact"/>
              <w:bidi/>
            </w:pPr>
            <w:r>
              <w:rPr>
                <w:rtl/>
              </w:rPr>
              <w:t xml:space="preserve">97%</w:t>
            </w:r>
          </w:p>
        </w:tc>
      </w:tr>
      <w:tr>
        <w:tc>
          <w:tcPr>
            <w:tcW w:w="2792579" w:type="dxa"/>
          </w:tcPr>
          <w:p>
            <w:pPr>
              <w:pStyle w:val="Compact"/>
              <w:bidi/>
            </w:pPr>
            <w:r>
              <w:rPr>
                <w:rtl/>
              </w:rPr>
              <w:t xml:space="preserve">عدد حالات النفاد السنوي (المواد A)</w:t>
            </w:r>
          </w:p>
        </w:tc>
        <w:tc>
          <w:tcPr>
            <w:tcW w:w="672910" w:type="dxa"/>
          </w:tcPr>
          <w:p>
            <w:pPr>
              <w:pStyle w:val="Compact"/>
              <w:bidi/>
            </w:pPr>
            <w:r>
              <w:rPr>
                <w:rtl/>
              </w:rPr>
              <w:t xml:space="preserve">3-5 حالات</w:t>
            </w:r>
          </w:p>
        </w:tc>
        <w:tc>
          <w:tcPr>
            <w:tcW w:w="997131" w:type="dxa"/>
          </w:tcPr>
          <w:p>
            <w:pPr>
              <w:pStyle w:val="Compact"/>
              <w:bidi/>
            </w:pPr>
            <w:r>
              <w:rPr>
                <w:rtl/>
              </w:rPr>
              <w:t xml:space="preserve">0</w:t>
            </w:r>
          </w:p>
        </w:tc>
        <w:tc>
          <w:tcPr>
            <w:tcW w:w="697379" w:type="dxa"/>
          </w:tcPr>
          <w:p>
            <w:pPr>
              <w:pStyle w:val="Compact"/>
              <w:bidi/>
            </w:pPr>
            <w:r>
              <w:rPr>
                <w:rtl/>
              </w:rPr>
              <w:t xml:space="preserve">100%</w:t>
            </w:r>
          </w:p>
        </w:tc>
      </w:tr>
      <w:tr>
        <w:tc>
          <w:tcPr>
            <w:tcW w:w="2792579" w:type="dxa"/>
          </w:tcPr>
          <w:p>
            <w:pPr>
              <w:pStyle w:val="Compact"/>
              <w:bidi/>
            </w:pPr>
            <w:r>
              <w:rPr>
                <w:rtl/>
              </w:rPr>
              <w:t xml:space="preserve">*المصدر: إعداد الطالب — قياسات ميدانية قبل وبعد التطبيق</w:t>
            </w:r>
          </w:p>
        </w:tc>
        <w:tc>
          <w:tcPr>
            <w:tcW w:w="672910" w:type="dxa"/>
          </w:tcPr>
          <w:p>
            <w:pPr>
              <w:pStyle w:val="Compact"/>
              <w:bidi/>
            </w:pPr>
            <w:r>
              <w:rPr>
                <w:rtl/>
              </w:rPr>
              <w:t xml:space="preserve">2025/2026*</w:t>
            </w:r>
          </w:p>
        </w:tc>
        <w:tc>
          <w:tcPr>
            <w:tcW w:w="997131" w:type="dxa"/>
          </w:tcPr>
          <w:p>
            <w:pPr>
              <w:pStyle w:val="Compact"/>
            </w:pPr>
          </w:p>
        </w:tc>
        <w:tc>
          <w:tcPr>
            <w:tcW w:w="697379" w:type="dxa"/>
          </w:tcPr>
          <w:p>
            <w:pPr>
              <w:pStyle w:val="Compact"/>
            </w:pPr>
          </w:p>
        </w:tc>
      </w:tr>
    </w:tbl>
    <w:p>
      <w:pPr>
        <w:bidi/>
        <w:spacing w:line="360" w:lineRule="auto"/>
        <w:jc w:val="right"/>
      </w:pPr>
      <w:r>
        <w:rPr>
          <w:rFonts w:ascii="Traditional Arabic" w:hAnsi="Traditional Arabic"/>
          <w:sz w:val="28"/>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5"/>
    <w:bookmarkStart w:id="136" w:name="التحقق-التجريبي-والمصداقية"/>
    <w:p>
      <w:pPr>
        <w:pStyle w:val="Heading3"/>
        <w:bidi/>
      </w:pPr>
      <w:r>
        <w:rPr>
          <w:b/>
          <w:sz w:val="32"/>
          <w:rtl/>
        </w:rPr>
        <w:t xml:space="preserve">5. التحقق التجريبي والمصداقية</w:t>
      </w:r>
    </w:p>
    <w:p>
      <w:pPr>
        <w:bidi/>
        <w:spacing w:line="360" w:lineRule="auto"/>
        <w:jc w:val="right"/>
      </w:pPr>
      <w:r>
        <w:rPr>
          <w:rFonts w:ascii="Traditional Arabic" w:hAnsi="Traditional Arabic"/>
          <w:sz w:val="28"/>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6"/>
    <w:bookmarkStart w:id="137" w:name="Xccbafbc0047bdc7ec988da040ea92c932dd07e4"/>
    <w:p>
      <w:pPr>
        <w:pStyle w:val="Heading3"/>
        <w:bidi/>
      </w:pPr>
      <w:r>
        <w:rPr>
          <w:b/>
          <w:sz w:val="32"/>
          <w:rtl/>
        </w:rPr>
        <w:t xml:space="preserve">6. أمن البيانات والسلامة (Data Security &amp; Integrity)</w:t>
      </w:r>
    </w:p>
    <w:p>
      <w:pPr>
        <w:bidi/>
        <w:spacing w:line="360" w:lineRule="auto"/>
        <w:jc w:val="right"/>
      </w:pPr>
      <w:r>
        <w:rPr>
          <w:rFonts w:ascii="Traditional Arabic" w:hAnsi="Traditional Arabic"/>
          <w:sz w:val="28"/>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7"/>
    <w:bookmarkStart w:id="138" w:name="الأثر-التشغيلي-العام-operational-impact"/>
    <w:p>
      <w:pPr>
        <w:pStyle w:val="Heading3"/>
        <w:bidi/>
      </w:pPr>
      <w:r>
        <w:rPr>
          <w:b/>
          <w:sz w:val="32"/>
          <w:rtl/>
        </w:rPr>
        <w:t xml:space="preserve">7. الأثر التشغيلي العام (Operational Impact)</w:t>
      </w:r>
    </w:p>
    <w:p>
      <w:pPr>
        <w:bidi/>
        <w:spacing w:line="360" w:lineRule="auto"/>
        <w:jc w:val="right"/>
      </w:pPr>
      <w:r>
        <w:rPr>
          <w:rFonts w:ascii="Traditional Arabic" w:hAnsi="Traditional Arabic"/>
          <w:sz w:val="28"/>
          <w:rtl/>
        </w:rPr>
        <w:t xml:space="preserve">ختاماً، أحدث تطبيق النظام تحولاً جذرياً في</w:t>
      </w:r>
      <w:r>
        <w:rPr>
          <w:rFonts w:ascii="Traditional Arabic" w:hAnsi="Traditional Arabic"/>
          <w:sz w:val="28"/>
          <w:rtl/>
        </w:rPr>
        <w:t xml:space="preserve"> </w:t>
      </w:r>
      <w:r>
        <w:rPr>
          <w:rFonts w:ascii="Traditional Arabic" w:hAnsi="Traditional Arabic"/>
          <w:sz w:val="28"/>
          <w:rtl/>
        </w:rPr>
        <w:t xml:space="preserve">“المناخ الإداري”</w:t>
      </w:r>
      <w:r>
        <w:rPr>
          <w:rFonts w:ascii="Traditional Arabic" w:hAnsi="Traditional Arabic"/>
          <w:sz w:val="28"/>
          <w:rtl/>
        </w:rPr>
        <w:t xml:space="preserve"> </w:t>
      </w:r>
      <w:r>
        <w:rPr>
          <w:rFonts w:ascii="Traditional Arabic" w:hAnsi="Traditional Arabic"/>
          <w:sz w:val="28"/>
          <w:rtl/>
        </w:rPr>
        <w:t xml:space="preserve">لمصلحة المخازن؛ حيث انتقلت المؤسسة من بيئة تعتمد على الذاكرة والاجتهادات الشخصية والمخاطر العالية للنفاد، إلى بيئة تعتمد على</w:t>
      </w:r>
      <w:r>
        <w:rPr>
          <w:rFonts w:ascii="Traditional Arabic" w:hAnsi="Traditional Arabic"/>
          <w:sz w:val="28"/>
          <w:rtl/>
        </w:rPr>
        <w:t xml:space="preserve"> </w:t>
      </w:r>
      <w:r>
        <w:rPr>
          <w:rFonts w:ascii="Traditional Arabic" w:hAnsi="Traditional Arabic"/>
          <w:sz w:val="28"/>
          <w:rtl/>
        </w:rPr>
        <w:t xml:space="preserve">“الحقيقة الرقمية”</w:t>
      </w:r>
      <w:r>
        <w:rPr>
          <w:rFonts w:ascii="Traditional Arabic" w:hAnsi="Traditional Arabic"/>
          <w:sz w:val="28"/>
          <w:rtl/>
        </w:rPr>
        <w:t xml:space="preserve"> </w:t>
      </w:r>
      <w:r>
        <w:rPr>
          <w:rFonts w:ascii="Traditional Arabic" w:hAnsi="Traditional Arabic"/>
          <w:sz w:val="28"/>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38"/>
    <w:bookmarkEnd w:id="139"/>
    <w:bookmarkStart w:id="143" w:name="المبحث-الثاني-التوصيات-وآفاق-البحث"/>
    <w:p>
      <w:pPr>
        <w:pStyle w:val="Heading2"/>
        <w:bidi/>
      </w:pPr>
      <w:r>
        <w:rPr>
          <w:b/>
          <w:sz w:val="36"/>
          <w:rtl/>
        </w:rPr>
        <w:t xml:space="preserve">المبحث الثاني: التوصيات وآفاق البحث</w:t>
      </w:r>
    </w:p>
    <w:bookmarkStart w:id="140" w:name="التوصيات-المقدمة-لمصلحة-المخازن-والإدارة"/>
    <w:p>
      <w:pPr>
        <w:pStyle w:val="Heading3"/>
        <w:bidi/>
      </w:pPr>
      <w:r>
        <w:rPr>
          <w:b/>
          <w:sz w:val="32"/>
          <w:rtl/>
        </w:rPr>
        <w:t xml:space="preserve">1. التوصيات المقدَّمة لمصلحة المخازن والإدارة</w:t>
      </w:r>
    </w:p>
    <w:p>
      <w:pPr>
        <w:bidi/>
        <w:spacing w:line="360" w:lineRule="auto"/>
        <w:jc w:val="right"/>
      </w:pPr>
      <w:r>
        <w:rPr>
          <w:rFonts w:ascii="Traditional Arabic" w:hAnsi="Traditional Arabic"/>
          <w:sz w:val="28"/>
          <w:rtl/>
        </w:rPr>
        <w:t xml:space="preserve">بناءً على نتائج الدراسة وتجربة التطبيق الميداني، نُقدِّم التوصيات الأربع الآتية مُصنَّفةً حسب الأفق الزمني:</w:t>
      </w:r>
      <w:r>
        <w:rPr>
          <w:rFonts w:ascii="Traditional Arabic" w:hAnsi="Traditional Arabic"/>
          <w:sz w:val="28"/>
          <w:rtl/>
        </w:rPr>
        <w:t xml:space="preserve"> </w:t>
      </w:r>
      <w:r>
        <w:rPr>
          <w:rFonts w:ascii="Traditional Arabic" w:hAnsi="Traditional Arabic"/>
          <w:b/>
          <w:bCs/>
          <w:sz w:val="28"/>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pPr>
            <w:r>
              <w:rPr>
                <w:rtl/>
              </w:rPr>
              <w:t xml:space="preserve">#</w:t>
            </w:r>
          </w:p>
        </w:tc>
        <w:tc>
          <w:tcPr>
            <w:tcW w:w="1341671" w:type="dxa"/>
          </w:tcPr>
          <w:p>
            <w:pPr>
              <w:pStyle w:val="Compact"/>
              <w:bidi/>
            </w:pPr>
            <w:r>
              <w:rPr>
                <w:rtl/>
              </w:rPr>
              <w:t xml:space="preserve">التوصية</w:t>
            </w:r>
          </w:p>
        </w:tc>
        <w:tc>
          <w:tcPr>
            <w:tcW w:w="488294" w:type="dxa"/>
          </w:tcPr>
          <w:p>
            <w:pPr>
              <w:pStyle w:val="Compact"/>
              <w:bidi/>
            </w:pPr>
            <w:r>
              <w:rPr>
                <w:rtl/>
              </w:rPr>
              <w:t xml:space="preserve">الجهة المعنية</w:t>
            </w:r>
          </w:p>
        </w:tc>
        <w:tc>
          <w:tcPr>
            <w:tcW w:w="569376" w:type="dxa"/>
          </w:tcPr>
          <w:p>
            <w:pPr>
              <w:pStyle w:val="Compact"/>
              <w:bidi/>
            </w:pPr>
            <w:r>
              <w:rPr>
                <w:rtl/>
              </w:rPr>
              <w:t xml:space="preserve">الأفق الزمني</w:t>
            </w:r>
          </w:p>
        </w:tc>
        <w:tc>
          <w:tcPr>
            <w:tcW w:w="1173584" w:type="dxa"/>
          </w:tcPr>
          <w:p>
            <w:pPr>
              <w:pStyle w:val="Compact"/>
              <w:bidi/>
            </w:pPr>
            <w:r>
              <w:rPr>
                <w:rtl/>
              </w:rPr>
              <w:t xml:space="preserve">ملاحظات التنفيذ</w:t>
            </w:r>
          </w:p>
        </w:tc>
      </w:tr>
      <w:tr>
        <w:tc>
          <w:tcPr>
            <w:tcW w:w="1437072" w:type="dxa"/>
          </w:tcPr>
          <w:p>
            <w:pPr>
              <w:pStyle w:val="Compact"/>
              <w:bidi/>
            </w:pPr>
            <w:r>
              <w:rPr>
                <w:rtl/>
              </w:rPr>
              <w:t xml:space="preserve">01</w:t>
            </w:r>
          </w:p>
        </w:tc>
        <w:tc>
          <w:tcPr>
            <w:tcW w:w="1341671" w:type="dxa"/>
          </w:tcPr>
          <w:p>
            <w:pPr>
              <w:pStyle w:val="Compact"/>
              <w:bidi/>
            </w:pPr>
            <w:r>
              <w:rPr>
                <w:rtl/>
              </w:rPr>
              <w:t xml:space="preserve">اعتماد ملف مصلحة المخازن + ERP_Académie_v13.3 رسمياً</w:t>
            </w:r>
          </w:p>
        </w:tc>
        <w:tc>
          <w:tcPr>
            <w:tcW w:w="488294" w:type="dxa"/>
          </w:tcPr>
          <w:p>
            <w:pPr>
              <w:pStyle w:val="Compact"/>
              <w:bidi/>
            </w:pPr>
            <w:r>
              <w:rPr>
                <w:rtl/>
              </w:rPr>
              <w:t xml:space="preserve">المدير</w:t>
            </w:r>
          </w:p>
        </w:tc>
        <w:tc>
          <w:tcPr>
            <w:tcW w:w="569376" w:type="dxa"/>
          </w:tcPr>
          <w:p>
            <w:pPr>
              <w:pStyle w:val="Compact"/>
              <w:bidi/>
            </w:pPr>
            <w:r>
              <w:rPr>
                <w:rtl/>
              </w:rPr>
              <w:t xml:space="preserve">فوري (عند الموافقة)</w:t>
            </w:r>
          </w:p>
        </w:tc>
        <w:tc>
          <w:tcPr>
            <w:tcW w:w="1173584" w:type="dxa"/>
          </w:tcPr>
          <w:p>
            <w:pPr>
              <w:pStyle w:val="Compact"/>
              <w:bidi/>
            </w:pPr>
            <w:r>
              <w:rPr>
                <w:rtl/>
              </w:rPr>
              <w:t xml:space="preserve">يومان تدريب كافيان</w:t>
            </w:r>
          </w:p>
        </w:tc>
      </w:tr>
      <w:tr>
        <w:tc>
          <w:tcPr>
            <w:tcW w:w="1437072" w:type="dxa"/>
          </w:tcPr>
          <w:p>
            <w:pPr>
              <w:pStyle w:val="Compact"/>
              <w:bidi/>
            </w:pPr>
            <w:r>
              <w:rPr>
                <w:rtl/>
              </w:rPr>
              <w:t xml:space="preserve">02</w:t>
            </w:r>
          </w:p>
        </w:tc>
        <w:tc>
          <w:tcPr>
            <w:tcW w:w="1341671" w:type="dxa"/>
          </w:tcPr>
          <w:p>
            <w:pPr>
              <w:pStyle w:val="Compact"/>
              <w:bidi/>
            </w:pPr>
            <w:r>
              <w:rPr>
                <w:rtl/>
              </w:rPr>
              <w:t xml:space="preserve">مراجعة معاملات ويلسون سنوياً</w:t>
            </w:r>
          </w:p>
        </w:tc>
        <w:tc>
          <w:tcPr>
            <w:tcW w:w="488294" w:type="dxa"/>
          </w:tcPr>
          <w:p>
            <w:pPr>
              <w:pStyle w:val="Compact"/>
              <w:bidi/>
            </w:pPr>
            <w:r>
              <w:rPr>
                <w:rtl/>
              </w:rPr>
              <w:t xml:space="preserve">مسؤول المخزن</w:t>
            </w:r>
          </w:p>
        </w:tc>
        <w:tc>
          <w:tcPr>
            <w:tcW w:w="569376" w:type="dxa"/>
          </w:tcPr>
          <w:p>
            <w:pPr>
              <w:pStyle w:val="Compact"/>
              <w:bidi/>
            </w:pPr>
            <w:r>
              <w:rPr>
                <w:rtl/>
              </w:rPr>
              <w:t xml:space="preserve">نهاية كل سنة دراسية</w:t>
            </w:r>
          </w:p>
        </w:tc>
        <w:tc>
          <w:tcPr>
            <w:tcW w:w="1173584" w:type="dxa"/>
          </w:tcPr>
          <w:p>
            <w:pPr>
              <w:pStyle w:val="Compact"/>
              <w:bidi/>
            </w:pPr>
            <w:r>
              <w:rPr>
                <w:rtl/>
              </w:rPr>
              <w:t xml:space="preserve">تحديث D من سجل الحركات الفعلي</w:t>
            </w:r>
          </w:p>
        </w:tc>
      </w:tr>
      <w:tr>
        <w:tc>
          <w:tcPr>
            <w:tcW w:w="1437072" w:type="dxa"/>
          </w:tcPr>
          <w:p>
            <w:pPr>
              <w:pStyle w:val="Compact"/>
              <w:bidi/>
            </w:pPr>
            <w:r>
              <w:rPr>
                <w:rtl/>
              </w:rPr>
              <w:t xml:space="preserve">03</w:t>
            </w:r>
          </w:p>
        </w:tc>
        <w:tc>
          <w:tcPr>
            <w:tcW w:w="1341671" w:type="dxa"/>
          </w:tcPr>
          <w:p>
            <w:pPr>
              <w:pStyle w:val="Compact"/>
              <w:bidi/>
            </w:pPr>
            <w:r>
              <w:rPr>
                <w:rtl/>
              </w:rPr>
              <w:t xml:space="preserve">إنشاء قاعدة بيانات موردين موثَّقة</w:t>
            </w:r>
          </w:p>
        </w:tc>
        <w:tc>
          <w:tcPr>
            <w:tcW w:w="488294" w:type="dxa"/>
          </w:tcPr>
          <w:p>
            <w:pPr>
              <w:pStyle w:val="Compact"/>
              <w:bidi/>
            </w:pPr>
            <w:r>
              <w:rPr>
                <w:rtl/>
              </w:rPr>
              <w:t xml:space="preserve">مصلحة المخازن</w:t>
            </w:r>
          </w:p>
        </w:tc>
        <w:tc>
          <w:tcPr>
            <w:tcW w:w="569376" w:type="dxa"/>
          </w:tcPr>
          <w:p>
            <w:pPr>
              <w:pStyle w:val="Compact"/>
              <w:bidi/>
            </w:pPr>
            <w:r>
              <w:rPr>
                <w:rtl/>
              </w:rPr>
              <w:t xml:space="preserve">خلال 3 أشهر</w:t>
            </w:r>
          </w:p>
        </w:tc>
        <w:tc>
          <w:tcPr>
            <w:tcW w:w="1173584" w:type="dxa"/>
          </w:tcPr>
          <w:p>
            <w:pPr>
              <w:pStyle w:val="Compact"/>
              <w:bidi/>
            </w:pPr>
            <w:r>
              <w:rPr>
                <w:rtl/>
              </w:rPr>
              <w:t xml:space="preserve">تقييم نصف سنوي بنظام التنقيط المُدرج في ERP</w:t>
            </w:r>
          </w:p>
        </w:tc>
      </w:tr>
      <w:tr>
        <w:tc>
          <w:tcPr>
            <w:tcW w:w="1437072" w:type="dxa"/>
          </w:tcPr>
          <w:p>
            <w:pPr>
              <w:pStyle w:val="Compact"/>
              <w:bidi/>
            </w:pPr>
            <w:r>
              <w:rPr>
                <w:rtl/>
              </w:rPr>
              <w:t xml:space="preserve">04</w:t>
            </w:r>
          </w:p>
        </w:tc>
        <w:tc>
          <w:tcPr>
            <w:tcW w:w="1341671" w:type="dxa"/>
          </w:tcPr>
          <w:p>
            <w:pPr>
              <w:pStyle w:val="Compact"/>
              <w:bidi/>
            </w:pPr>
            <w:r>
              <w:rPr>
                <w:rtl/>
              </w:rPr>
              <w:t xml:space="preserve">الانتقال نحو الإدارة العامة (قاعدة بيانات Access أو Odoo)</w:t>
            </w:r>
          </w:p>
        </w:tc>
        <w:tc>
          <w:tcPr>
            <w:tcW w:w="488294" w:type="dxa"/>
          </w:tcPr>
          <w:p>
            <w:pPr>
              <w:pStyle w:val="Compact"/>
              <w:bidi/>
            </w:pPr>
            <w:r>
              <w:rPr>
                <w:rtl/>
              </w:rPr>
              <w:t xml:space="preserve">الإدارة العامة</w:t>
            </w:r>
          </w:p>
        </w:tc>
        <w:tc>
          <w:tcPr>
            <w:tcW w:w="569376" w:type="dxa"/>
          </w:tcPr>
          <w:p>
            <w:pPr>
              <w:pStyle w:val="Compact"/>
              <w:bidi/>
            </w:pPr>
            <w:r>
              <w:rPr>
                <w:rtl/>
              </w:rPr>
              <w:t xml:space="preserve">المدى البعيد (3–5 سنوات)</w:t>
            </w:r>
          </w:p>
        </w:tc>
        <w:tc>
          <w:tcPr>
            <w:tcW w:w="1173584" w:type="dxa"/>
          </w:tcPr>
          <w:p>
            <w:pPr>
              <w:pStyle w:val="Compact"/>
              <w:bidi/>
            </w:pPr>
            <w:r>
              <w:rPr>
                <w:rtl/>
              </w:rPr>
              <w:t xml:space="preserve">استيعاب النمو وتوسيع النطاق للولايات المجاورة</w:t>
            </w:r>
          </w:p>
        </w:tc>
      </w:tr>
      <w:tr>
        <w:tc>
          <w:tcPr>
            <w:tcW w:w="1437072" w:type="dxa"/>
          </w:tcPr>
          <w:p>
            <w:pPr>
              <w:pStyle w:val="Compact"/>
              <w:bidi/>
            </w:pPr>
            <w:r>
              <w:rPr>
                <w:rtl/>
              </w:rPr>
              <w:t xml:space="preserve">*المصدر: إعداد الطالب — مبنيٌّ على نتائج التطبيق الميداني</w:t>
            </w:r>
          </w:p>
        </w:tc>
        <w:tc>
          <w:tcPr>
            <w:tcW w:w="1341671" w:type="dxa"/>
          </w:tcPr>
          <w:p>
            <w:pPr>
              <w:pStyle w:val="Compact"/>
              <w:bidi/>
            </w:pPr>
            <w:r>
              <w:rPr>
                <w:rtl/>
              </w:rPr>
              <w:t xml:space="preserve">مارس 2026*</w:t>
            </w:r>
          </w:p>
        </w:tc>
        <w:tc>
          <w:tcPr>
            <w:tcW w:w="488294" w:type="dxa"/>
          </w:tcPr>
          <w:p>
            <w:pPr>
              <w:pStyle w:val="Compact"/>
            </w:pPr>
          </w:p>
        </w:tc>
        <w:tc>
          <w:tcPr>
            <w:tcW w:w="569376" w:type="dxa"/>
          </w:tcPr>
          <w:p>
            <w:pPr>
              <w:pStyle w:val="Compact"/>
            </w:pPr>
          </w:p>
        </w:tc>
        <w:tc>
          <w:tcPr>
            <w:tcW w:w="1173584" w:type="dxa"/>
          </w:tcPr>
          <w:p>
            <w:pPr>
              <w:pStyle w:val="Compact"/>
            </w:pPr>
          </w:p>
        </w:tc>
      </w:tr>
    </w:tbl>
    <w:bookmarkEnd w:id="140"/>
    <w:bookmarkStart w:id="142" w:name="آفاق-البحث"/>
    <w:p>
      <w:pPr>
        <w:pStyle w:val="Heading3"/>
        <w:bidi/>
      </w:pPr>
      <w:r>
        <w:rPr>
          <w:b/>
          <w:sz w:val="32"/>
          <w:rtl/>
        </w:rPr>
        <w:t xml:space="preserve">2. آفاق البحث</w:t>
      </w:r>
    </w:p>
    <w:p>
      <w:pPr>
        <w:bidi/>
        <w:spacing w:line="360" w:lineRule="auto"/>
        <w:jc w:val="right"/>
      </w:pPr>
      <w:r>
        <w:rPr>
          <w:rFonts w:ascii="Traditional Arabic" w:hAnsi="Traditional Arabic"/>
          <w:sz w:val="28"/>
          <w:rtl/>
        </w:rPr>
        <w:t xml:space="preserve">تفتح نتائج هذه الدراسة أمام الباحثين ومتخذي القرار في قطاع التربية آفاقاً بحثية عدة يمكن تناولها في أعمال مستقبلية: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تعميم التجربة: تطبيق النموذج على مديريات التربية في الولايات المجاورة لبناء نموذج معياري مُوحَّد قابل للاعتماد الوطني.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Fonts w:ascii="Traditional Arabic" w:hAnsi="Traditional Arabic"/>
          <w:b/>
          <w:bCs/>
          <w:sz w:val="28"/>
          <w:rtl/>
        </w:rPr>
        <w:t xml:space="preserve"> </w:t>
      </w:r>
      <w:r>
        <w:rPr>
          <w:rStyle w:val="FootnoteReference"/>
          <w:rFonts w:ascii="Traditional Arabic" w:hAnsi="Traditional Arabic"/>
          <w:sz w:val="28"/>
        </w:rPr>
        <w:footnoteReference w:id="141"/>
      </w:r>
      <w:r>
        <w:rPr>
          <w:rFonts w:ascii="Traditional Arabic" w:hAnsi="Traditional Arabic"/>
          <w:sz w:val="28"/>
          <w:rtl/>
        </w:rPr>
        <w:t xml:space="preserve"> </w:t>
      </w:r>
      <w:r>
        <w:rPr>
          <w:rFonts w:ascii="Traditional Arabic" w:hAnsi="Traditional Arabic"/>
          <w:sz w:val="28"/>
          <w:rtl/>
        </w:rPr>
        <w:t xml:space="preserve">— نهاية الفصل الرابع —</w:t>
      </w:r>
    </w:p>
    <w:p>
      <w:pPr>
        <w:bidi/>
        <w:spacing w:line="360" w:lineRule="auto"/>
        <w:jc w:val="right"/>
        <w:sectPr>
          <w:pgNumType w:fmt="lowerRoman" w:start="1"/>
          <w:footnotePr>
            <w:numRestart w:val="eachSect"/>
          </w:footnotePr>
          <w:pgSz w:h="16838" w:w="11906"/>
          <w:pgMar w:bottom="1417" w:left="1417" w:right="1417" w:top="1417"/>
        </w:sectPr>
      </w:pPr>
      <w:r>
        <w:rPr>
          <w:rFonts w:ascii="Traditional Arabic" w:hAnsi="Traditional Arabic"/>
          <w:b/>
          <w:bCs/>
          <w:sz w:val="28"/>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الأولى مُثبَتة: غياب آليات التنبيه الآلي هو السبب الجذري لتكرار نفاد المواد الاستراتيجية.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2"/>
    <w:bookmarkEnd w:id="143"/>
    <w:bookmarkEnd w:id="144"/>
    <w:bookmarkStart w:id="152" w:name="قائمة-المصادر-والمراجع"/>
    <w:p>
      <w:pPr>
        <w:pStyle w:val="Heading1"/>
        <w:bidi/>
      </w:pPr>
      <w:r>
        <w:rPr>
          <w:b/>
          <w:sz w:val="44"/>
          <w:rtl/>
        </w:rPr>
        <w:t xml:space="preserve">قائمة المصادر والمراجع</w:t>
      </w:r>
    </w:p>
    <w:bookmarkStart w:id="145" w:name="أولا-الكتب-والمراجع-العلمية"/>
    <w:p>
      <w:pPr>
        <w:pStyle w:val="Heading2"/>
        <w:bidi/>
      </w:pPr>
      <w:r>
        <w:rPr>
          <w:b/>
          <w:sz w:val="36"/>
          <w:rtl/>
        </w:rPr>
        <w:t xml:space="preserve">أولاً: الكتب والمراجع العلمية</w:t>
      </w:r>
    </w:p>
    <w:p>
      <w:pPr>
        <w:pStyle w:val="Compact"/>
        <w:numPr>
          <w:ilvl w:val="0"/>
          <w:numId w:val="1004"/>
        </w:numPr>
        <w:bidi/>
        <w:spacing w:line="360" w:lineRule="auto"/>
        <w:jc w:val="right"/>
      </w:pPr>
      <w:r>
        <w:rPr>
          <w:rFonts w:ascii="Traditional Arabic" w:hAnsi="Traditional Arabic"/>
          <w:b/>
          <w:bCs/>
          <w:sz w:val="28"/>
          <w:rtl/>
        </w:rPr>
        <w:t xml:space="preserve">Chopra, S., &amp; Meindl, P. (2019). Supply Chain Management: Strategy, Planning, and Operation (7th ed.). Pearson.</w:t>
      </w:r>
    </w:p>
    <w:p>
      <w:pPr>
        <w:pStyle w:val="Compact"/>
        <w:numPr>
          <w:ilvl w:val="0"/>
          <w:numId w:val="1004"/>
        </w:numPr>
        <w:bidi/>
        <w:spacing w:line="360" w:lineRule="auto"/>
        <w:jc w:val="right"/>
      </w:pPr>
      <w:r>
        <w:rPr>
          <w:rFonts w:ascii="Traditional Arabic" w:hAnsi="Traditional Arabic"/>
          <w:b/>
          <w:bCs/>
          <w:sz w:val="28"/>
          <w:rtl/>
        </w:rPr>
        <w:t xml:space="preserve">Cooper, M. C., Lambert, D. M., &amp; Pagh, J. D. (1997). Supply Chain Management: More Than a New Name for Logistics. The International Journal of Logistics Management, 8(1), 1–14.</w:t>
      </w:r>
    </w:p>
    <w:p>
      <w:pPr>
        <w:pStyle w:val="Compact"/>
        <w:numPr>
          <w:ilvl w:val="0"/>
          <w:numId w:val="1004"/>
        </w:numPr>
        <w:bidi/>
        <w:spacing w:line="360" w:lineRule="auto"/>
        <w:jc w:val="right"/>
      </w:pPr>
      <w:r>
        <w:rPr>
          <w:rFonts w:ascii="Traditional Arabic" w:hAnsi="Traditional Arabic"/>
          <w:b/>
          <w:bCs/>
          <w:sz w:val="28"/>
          <w:rtl/>
        </w:rPr>
        <w:t xml:space="preserve">Lambert, D. M., &amp; Stock, J. R. (1993). Strategic Logistics Management (3rd ed.). Irwin.</w:t>
      </w:r>
    </w:p>
    <w:p>
      <w:pPr>
        <w:pStyle w:val="Compact"/>
        <w:numPr>
          <w:ilvl w:val="0"/>
          <w:numId w:val="1004"/>
        </w:numPr>
        <w:bidi/>
        <w:spacing w:line="360" w:lineRule="auto"/>
        <w:jc w:val="right"/>
      </w:pPr>
      <w:r>
        <w:rPr>
          <w:rFonts w:ascii="Traditional Arabic" w:hAnsi="Traditional Arabic"/>
          <w:b/>
          <w:bCs/>
          <w:sz w:val="28"/>
          <w:rtl/>
        </w:rPr>
        <w:t xml:space="preserve">Harris, F. W. (1913). How Many Parts to Make at Once. Factory, The Magazine of Management, 10(2), 135–136, 152.</w:t>
      </w:r>
    </w:p>
    <w:p>
      <w:pPr>
        <w:pStyle w:val="Compact"/>
        <w:numPr>
          <w:ilvl w:val="0"/>
          <w:numId w:val="1004"/>
        </w:numPr>
        <w:bidi/>
        <w:spacing w:line="360" w:lineRule="auto"/>
        <w:jc w:val="right"/>
      </w:pPr>
      <w:r>
        <w:rPr>
          <w:rFonts w:ascii="Traditional Arabic" w:hAnsi="Traditional Arabic"/>
          <w:b/>
          <w:bCs/>
          <w:sz w:val="28"/>
          <w:rtl/>
        </w:rPr>
        <w:t xml:space="preserve">Silver, E. A., Pyke, D. F., &amp; Thomas, D. J. (2017). Inventory and Production Management in Supply Chains (4th ed.). Springer.</w:t>
      </w:r>
    </w:p>
    <w:p>
      <w:pPr>
        <w:pStyle w:val="Compact"/>
        <w:numPr>
          <w:ilvl w:val="0"/>
          <w:numId w:val="1004"/>
        </w:numPr>
        <w:bidi/>
        <w:spacing w:line="360" w:lineRule="auto"/>
        <w:jc w:val="right"/>
      </w:pPr>
      <w:r>
        <w:rPr>
          <w:rFonts w:ascii="Traditional Arabic" w:hAnsi="Traditional Arabic"/>
          <w:b/>
          <w:bCs/>
          <w:sz w:val="28"/>
          <w:rtl/>
        </w:rPr>
        <w:t xml:space="preserve">Stock, J. R., &amp; Lambert, D. M. (2001). Strategic Logistics Management (4th ed.). McGraw-Hill.</w:t>
      </w:r>
    </w:p>
    <w:p>
      <w:pPr>
        <w:pStyle w:val="Compact"/>
        <w:numPr>
          <w:ilvl w:val="0"/>
          <w:numId w:val="1004"/>
        </w:numPr>
        <w:bidi/>
        <w:spacing w:line="360" w:lineRule="auto"/>
        <w:jc w:val="right"/>
      </w:pPr>
      <w:r>
        <w:rPr>
          <w:rFonts w:ascii="Traditional Arabic" w:hAnsi="Traditional Arabic"/>
          <w:b/>
          <w:bCs/>
          <w:sz w:val="28"/>
          <w:rtl/>
        </w:rPr>
        <w:t xml:space="preserve">Van Weele, A. J. (2010). Purchasing and Supply Chain Management: Analysis, Strategy, Planning and Practice (5th ed.). Cengage Learning.</w:t>
      </w:r>
    </w:p>
    <w:p>
      <w:pPr>
        <w:pStyle w:val="Compact"/>
        <w:numPr>
          <w:ilvl w:val="0"/>
          <w:numId w:val="1004"/>
        </w:numPr>
        <w:bidi/>
        <w:spacing w:line="360" w:lineRule="auto"/>
        <w:jc w:val="right"/>
      </w:pPr>
      <w:r>
        <w:rPr>
          <w:rFonts w:ascii="Traditional Arabic" w:hAnsi="Traditional Arabic"/>
          <w:b/>
          <w:bCs/>
          <w:sz w:val="28"/>
          <w:rtl/>
        </w:rPr>
        <w:t xml:space="preserve">Vollmann, T. E., Berry, W. L., Whybark, D. C., &amp; Jacobs, F. R. (2005). Manufacturing Planning and Control for Supply Chain Management (5th ed.). McGraw-Hill.</w:t>
      </w:r>
    </w:p>
    <w:p>
      <w:pPr>
        <w:pStyle w:val="Compact"/>
        <w:numPr>
          <w:ilvl w:val="0"/>
          <w:numId w:val="1004"/>
        </w:numPr>
        <w:bidi/>
        <w:spacing w:line="360" w:lineRule="auto"/>
        <w:jc w:val="right"/>
      </w:pPr>
      <w:r>
        <w:rPr>
          <w:rFonts w:ascii="Traditional Arabic" w:hAnsi="Traditional Arabic"/>
          <w:b/>
          <w:bCs/>
          <w:sz w:val="28"/>
          <w:rtl/>
        </w:rPr>
        <w:t xml:space="preserve">Wilson, R. H. (1934). A Scientific Routine for Stock Control. Harvard Business Review, 13(1), 116–128.</w:t>
      </w:r>
    </w:p>
    <w:p>
      <w:pPr>
        <w:pStyle w:val="Compact"/>
        <w:numPr>
          <w:ilvl w:val="0"/>
          <w:numId w:val="1004"/>
        </w:numPr>
        <w:bidi/>
        <w:spacing w:line="360" w:lineRule="auto"/>
        <w:jc w:val="right"/>
      </w:pPr>
      <w:r>
        <w:rPr>
          <w:rFonts w:ascii="Traditional Arabic" w:hAnsi="Traditional Arabic"/>
          <w:b/>
          <w:bCs/>
          <w:sz w:val="28"/>
          <w:rtl/>
        </w:rPr>
        <w:t xml:space="preserve">Zipkin, P. H. (2000). Foundations of Inventory Management. McGraw-Hill.</w:t>
      </w:r>
    </w:p>
    <w:bookmarkEnd w:id="145"/>
    <w:bookmarkStart w:id="146" w:name="ثانيا-الإطار-القانوني-والتنظيمي-الجزائري"/>
    <w:p>
      <w:pPr>
        <w:pStyle w:val="Heading2"/>
        <w:bidi/>
      </w:pPr>
      <w:r>
        <w:rPr>
          <w:b/>
          <w:sz w:val="36"/>
          <w:rtl/>
        </w:rPr>
        <w:t xml:space="preserve">ثانياً: الإطار القانوني والتنظيمي الجزائري</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spacing w:line="360" w:lineRule="auto"/>
        <w:jc w:val="right"/>
      </w:pPr>
      <w:r>
        <w:rPr>
          <w:rFonts w:ascii="Traditional Arabic" w:hAnsi="Traditional Arabic"/>
          <w:b/>
          <w:bCs/>
          <w:sz w:val="28"/>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spacing w:line="360" w:lineRule="auto"/>
        <w:jc w:val="right"/>
      </w:pPr>
      <w:r>
        <w:rPr>
          <w:rFonts w:ascii="Traditional Arabic" w:hAnsi="Traditional Arabic"/>
          <w:b/>
          <w:bCs/>
          <w:sz w:val="28"/>
          <w:rtl/>
        </w:rPr>
        <w:t xml:space="preserve">قانون المالية. (سنوي). القانون المتضمن قانون المالية للسنة المعنية. الجريدة الرسمية.</w:t>
      </w:r>
    </w:p>
    <w:bookmarkEnd w:id="146"/>
    <w:bookmarkStart w:id="147" w:name="ثالثا-المنهاج-الدراسي-bts-gsl-tag1801"/>
    <w:p>
      <w:pPr>
        <w:pStyle w:val="Heading2"/>
        <w:bidi/>
      </w:pPr>
      <w:r>
        <w:rPr>
          <w:b/>
          <w:sz w:val="36"/>
          <w:rtl/>
        </w:rPr>
        <w:t xml:space="preserve">ثالثاً: المنهاج الدراسي BTS GSL (TAG1801)</w:t>
      </w:r>
    </w:p>
    <w:p>
      <w:pPr>
        <w:pStyle w:val="Compact"/>
        <w:numPr>
          <w:ilvl w:val="0"/>
          <w:numId w:val="1006"/>
        </w:numPr>
        <w:bidi/>
        <w:spacing w:line="360" w:lineRule="auto"/>
        <w:jc w:val="right"/>
      </w:pPr>
      <w:r>
        <w:rPr>
          <w:rFonts w:ascii="Traditional Arabic" w:hAnsi="Traditional Arabic"/>
          <w:b/>
          <w:bCs/>
          <w:sz w:val="28"/>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spacing w:line="360" w:lineRule="auto"/>
        <w:jc w:val="right"/>
      </w:pPr>
      <w:r>
        <w:rPr>
          <w:rFonts w:ascii="Traditional Arabic" w:hAnsi="Traditional Arabic"/>
          <w:b/>
          <w:bCs/>
          <w:sz w:val="28"/>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دراسة الأسعار وشروط التفاوض (Études des Prix et les Conditions de Négociation).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القانون الاجتماعي (Droit Social).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الإعلام الآلي (Informatique).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الرياضيات العامة (Mathématiques Générales). (2024). مقياس BTS GSL، الفصل الدراسي الأول.</w:t>
      </w:r>
    </w:p>
    <w:p>
      <w:pPr>
        <w:pStyle w:val="Compact"/>
        <w:numPr>
          <w:ilvl w:val="0"/>
          <w:numId w:val="1006"/>
        </w:numPr>
        <w:bidi/>
        <w:spacing w:line="360" w:lineRule="auto"/>
        <w:jc w:val="right"/>
      </w:pPr>
      <w:r>
        <w:rPr>
          <w:rFonts w:ascii="Traditional Arabic" w:hAnsi="Traditional Arabic"/>
          <w:b/>
          <w:bCs/>
          <w:sz w:val="28"/>
          <w:rtl/>
        </w:rPr>
        <w:t xml:space="preserve">البحث واختيار الموردين (Recherche et Sélection des Fournisseurs).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إعداد ومراقبة أمر الشراء (Établissement et Contrôle de la Commande d’Achat).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الحساب التجاري (Arithmétique Commerciale).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القانون التجاري (Droit Commercial).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الوثائق التجارية (Documents Commerciaux). (2024). مقياس BTS GSL، الفصل الدراسي الثاني.</w:t>
      </w:r>
    </w:p>
    <w:p>
      <w:pPr>
        <w:pStyle w:val="Compact"/>
        <w:numPr>
          <w:ilvl w:val="0"/>
          <w:numId w:val="1006"/>
        </w:numPr>
        <w:bidi/>
        <w:spacing w:line="360" w:lineRule="auto"/>
        <w:jc w:val="right"/>
      </w:pPr>
      <w:r>
        <w:rPr>
          <w:rFonts w:ascii="Traditional Arabic" w:hAnsi="Traditional Arabic"/>
          <w:b/>
          <w:bCs/>
          <w:sz w:val="28"/>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الفعلي (Réalisation de l’Inventaire Physique).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الجرد المحاسبي (Réalisation de l’Inventaire Comptable).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إجراء دراسة وسائل النقل (Réalisation d’une Étude des Moyens de Transport).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الإدارة الفعالة للتوريدات (Gestion Efficace des Approvisionnements).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تقنيات التعبير والتواصل (Techniques d’Expression et de Communication).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اقتصاد المؤسسة (Économie de l’Entreprise).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الإحصاء الوصفي (Statistiques Descriptives). (2024). مقياس BTS GSL، الفصل الدراسي الثالث.</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للوجستيك (Planification Stratégique de la Logistique).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التخطيط الاستراتيجي (Planification Stratégique).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تجديد الأمر (Renouvellement de la Commande).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الوسائل اللوجستيكية (Organisation des Moyens Logistiques).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التسيير الميزانياتي (Gestion Budgétaire).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الإنجليزية التجارية (Anglais Commercial).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تنظيم المواد (Organisation du Matériel).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المنهجية (Méthodologie). (2024). مقياس BTS GSL، الفصل الدراسي الرابع.</w:t>
      </w:r>
    </w:p>
    <w:p>
      <w:pPr>
        <w:pStyle w:val="Compact"/>
        <w:numPr>
          <w:ilvl w:val="0"/>
          <w:numId w:val="1006"/>
        </w:numPr>
        <w:bidi/>
        <w:spacing w:line="360" w:lineRule="auto"/>
        <w:jc w:val="right"/>
      </w:pPr>
      <w:r>
        <w:rPr>
          <w:rFonts w:ascii="Traditional Arabic" w:hAnsi="Traditional Arabic"/>
          <w:b/>
          <w:bCs/>
          <w:sz w:val="28"/>
          <w:rtl/>
        </w:rPr>
        <w:t xml:space="preserve">المعجم اللوجستيكي (Glossaire). (2024). مقياس BTS GSL، الفصل الدراسي الرابع.</w:t>
      </w:r>
    </w:p>
    <w:bookmarkEnd w:id="147"/>
    <w:bookmarkStart w:id="148" w:name="رابعا-المراجع-التقنية"/>
    <w:p>
      <w:pPr>
        <w:pStyle w:val="Heading2"/>
        <w:bidi/>
      </w:pPr>
      <w:r>
        <w:rPr>
          <w:b/>
          <w:sz w:val="36"/>
          <w:rtl/>
        </w:rPr>
        <w:t xml:space="preserve">رابعاً: المراجع التقنية</w:t>
      </w:r>
    </w:p>
    <w:p>
      <w:pPr>
        <w:pStyle w:val="Compact"/>
        <w:numPr>
          <w:ilvl w:val="0"/>
          <w:numId w:val="1007"/>
        </w:numPr>
        <w:bidi/>
        <w:spacing w:line="360" w:lineRule="auto"/>
        <w:jc w:val="right"/>
      </w:pPr>
      <w:r>
        <w:rPr>
          <w:rFonts w:ascii="Traditional Arabic" w:hAnsi="Traditional Arabic"/>
          <w:b/>
          <w:bCs/>
          <w:sz w:val="28"/>
          <w:rtl/>
        </w:rPr>
        <w:t xml:space="preserve">Microsoft Corporation. (2023). VBA Reference — Visual Basic for Applications. Microsoft Docs.</w:t>
      </w:r>
    </w:p>
    <w:p>
      <w:pPr>
        <w:pStyle w:val="Compact"/>
        <w:numPr>
          <w:ilvl w:val="0"/>
          <w:numId w:val="1007"/>
        </w:numPr>
        <w:bidi/>
        <w:spacing w:line="360" w:lineRule="auto"/>
        <w:jc w:val="right"/>
      </w:pPr>
      <w:r>
        <w:rPr>
          <w:rFonts w:ascii="Traditional Arabic" w:hAnsi="Traditional Arabic"/>
          <w:b/>
          <w:bCs/>
          <w:sz w:val="28"/>
          <w:rtl/>
        </w:rPr>
        <w:t xml:space="preserve">Microsoft Corporation. (2019). Excel Object Model Overview. Microsoft Docs.</w:t>
      </w:r>
    </w:p>
    <w:bookmarkEnd w:id="148"/>
    <w:bookmarkStart w:id="149" w:name="خامسا-مشاريع-وأطروحات-موازية"/>
    <w:p>
      <w:pPr>
        <w:pStyle w:val="Heading2"/>
        <w:bidi/>
      </w:pPr>
      <w:r>
        <w:rPr>
          <w:b/>
          <w:sz w:val="36"/>
          <w:rtl/>
        </w:rPr>
        <w:t xml:space="preserve">خامساً: مشاريع وأطروحات موازية</w:t>
      </w:r>
    </w:p>
    <w:p>
      <w:pPr>
        <w:pStyle w:val="Compact"/>
        <w:numPr>
          <w:ilvl w:val="0"/>
          <w:numId w:val="1008"/>
        </w:numPr>
        <w:bidi/>
        <w:spacing w:line="360" w:lineRule="auto"/>
        <w:jc w:val="right"/>
      </w:pPr>
      <w:r>
        <w:rPr>
          <w:rFonts w:ascii="Traditional Arabic" w:hAnsi="Traditional Arabic"/>
          <w:b/>
          <w:bCs/>
          <w:sz w:val="28"/>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Yahi, A. (1992). Élaboration d’un logiciel de gestion de stocks de pièces de rechange. Mémoire de Projet de Fin d’Études, École Nationale Polytechnique d’Alger.</w:t>
      </w:r>
    </w:p>
    <w:p>
      <w:pPr>
        <w:pStyle w:val="Compact"/>
        <w:numPr>
          <w:ilvl w:val="0"/>
          <w:numId w:val="1008"/>
        </w:numPr>
        <w:bidi/>
        <w:spacing w:line="360" w:lineRule="auto"/>
        <w:jc w:val="right"/>
      </w:pPr>
      <w:r>
        <w:rPr>
          <w:rFonts w:ascii="Traditional Arabic" w:hAnsi="Traditional Arabic"/>
          <w:b/>
          <w:bCs/>
          <w:sz w:val="28"/>
          <w:rtl/>
        </w:rPr>
        <w:t xml:space="preserve">Belhadi, M. E. A. (2015). Modélisation et optimisation de la gestion de stocks des pièces de rechange : application SASACE-Algérie. Mémoire de Projet de Fin d’Études, École Nationale Polytechnique d’Alger.</w:t>
      </w:r>
    </w:p>
    <w:bookmarkEnd w:id="149"/>
    <w:bookmarkStart w:id="150" w:name="سادسا-مصادر-البيانات-الميدانية"/>
    <w:p>
      <w:pPr>
        <w:pStyle w:val="Heading2"/>
        <w:bidi/>
      </w:pPr>
      <w:r>
        <w:rPr>
          <w:b/>
          <w:sz w:val="36"/>
          <w:rtl/>
        </w:rPr>
        <w:t xml:space="preserve">سادساً: مصادر البيانات الميدانية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spacing w:line="360" w:lineRule="auto"/>
        <w:jc w:val="right"/>
      </w:pPr>
      <w:r>
        <w:rPr>
          <w:rFonts w:ascii="Traditional Arabic" w:hAnsi="Traditional Arabic"/>
          <w:b/>
          <w:bCs/>
          <w:sz w:val="28"/>
          <w:rtl/>
        </w:rPr>
        <w:t xml:space="preserve">مديرية التربية لولاية البيض — مصلحة الميزانية. (2025). بيانات تكاليف الطلب والاحتفاظ. وثائق داخلية غير منشورة.</w:t>
      </w:r>
    </w:p>
    <w:bookmarkEnd w:id="150"/>
    <w:bookmarkStart w:id="151" w:name="سابعا-المراجع-البرمجية"/>
    <w:p>
      <w:pPr>
        <w:pStyle w:val="Heading2"/>
        <w:bidi/>
      </w:pPr>
      <w:r>
        <w:rPr>
          <w:b/>
          <w:sz w:val="36"/>
          <w:rtl/>
        </w:rPr>
        <w:t xml:space="preserve">سابعاً: المراجع البرمجية</w:t>
      </w:r>
    </w:p>
    <w:p>
      <w:pPr>
        <w:pStyle w:val="Compact"/>
        <w:numPr>
          <w:ilvl w:val="0"/>
          <w:numId w:val="1010"/>
        </w:numPr>
        <w:bidi/>
        <w:spacing w:line="360" w:lineRule="auto"/>
        <w:jc w:val="right"/>
      </w:pPr>
      <w:r>
        <w:rPr>
          <w:rFonts w:ascii="Traditional Arabic" w:hAnsi="Traditional Arabic"/>
          <w:b/>
          <w:bCs/>
          <w:sz w:val="28"/>
          <w:rtl/>
        </w:rPr>
        <w:t xml:space="preserve">Kamel, M. (2026). ERP_Académie v13.3 — Système d’Aide à la Décision pour la Gestion des Stocks. GitHub. https://github.com/kamelmh/lsm-vba-core.</w:t>
      </w:r>
    </w:p>
    <w:bookmarkEnd w:id="151"/>
    <w:bookmarkEnd w:id="152"/>
    <w:bookmarkStart w:id="153" w:name="جدول-المختصرات-والرموز-التقنية"/>
    <w:p>
      <w:pPr>
        <w:pStyle w:val="Heading1"/>
        <w:bidi/>
      </w:pPr>
      <w:r>
        <w:rPr>
          <w:b/>
          <w:sz w:val="44"/>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pPr>
            <w:r>
              <w:rPr>
                <w:rtl/>
              </w:rPr>
              <w:t xml:space="preserve">الاختصار</w:t>
            </w:r>
          </w:p>
        </w:tc>
        <w:tc>
          <w:tcPr>
            <w:tcW w:w="2053663" w:type="dxa"/>
          </w:tcPr>
          <w:p>
            <w:pPr>
              <w:pStyle w:val="Compact"/>
              <w:bidi/>
            </w:pPr>
            <w:r>
              <w:rPr>
                <w:rtl/>
              </w:rPr>
              <w:t xml:space="preserve">المعنى بالفرنسية/الإنجليزية</w:t>
            </w:r>
          </w:p>
        </w:tc>
        <w:tc>
          <w:tcPr>
            <w:tcW w:w="2631120" w:type="dxa"/>
          </w:tcPr>
          <w:p>
            <w:pPr>
              <w:pStyle w:val="Compact"/>
              <w:bidi/>
            </w:pPr>
            <w:r>
              <w:rPr>
                <w:rtl/>
              </w:rPr>
              <w:t xml:space="preserve">المعنى بالعربية</w:t>
            </w:r>
          </w:p>
        </w:tc>
      </w:tr>
      <w:tr>
        <w:tc>
          <w:tcPr>
            <w:tcW w:w="625216" w:type="dxa"/>
          </w:tcPr>
          <w:p>
            <w:pPr>
              <w:pStyle w:val="Compact"/>
              <w:bidi/>
            </w:pPr>
            <w:r>
              <w:rPr>
                <w:rtl/>
              </w:rPr>
              <w:t xml:space="preserve">ERP</w:t>
            </w:r>
          </w:p>
        </w:tc>
        <w:tc>
          <w:tcPr>
            <w:tcW w:w="2053663" w:type="dxa"/>
          </w:tcPr>
          <w:p>
            <w:pPr>
              <w:pStyle w:val="Compact"/>
              <w:bidi/>
            </w:pPr>
            <w:r>
              <w:rPr>
                <w:rtl/>
              </w:rPr>
              <w:t xml:space="preserve">Enterprise Resource Planning</w:t>
            </w:r>
          </w:p>
        </w:tc>
        <w:tc>
          <w:tcPr>
            <w:tcW w:w="2631120" w:type="dxa"/>
          </w:tcPr>
          <w:p>
            <w:pPr>
              <w:pStyle w:val="Compact"/>
              <w:bidi/>
            </w:pPr>
            <w:r>
              <w:rPr>
                <w:rtl/>
              </w:rPr>
              <w:t xml:space="preserve">نظام تخطيط موارد المؤسسة</w:t>
            </w:r>
          </w:p>
        </w:tc>
      </w:tr>
      <w:tr>
        <w:tc>
          <w:tcPr>
            <w:tcW w:w="625216" w:type="dxa"/>
          </w:tcPr>
          <w:p>
            <w:pPr>
              <w:pStyle w:val="Compact"/>
              <w:bidi/>
            </w:pPr>
            <w:r>
              <w:rPr>
                <w:rtl/>
              </w:rPr>
              <w:t xml:space="preserve">VBA</w:t>
            </w:r>
          </w:p>
        </w:tc>
        <w:tc>
          <w:tcPr>
            <w:tcW w:w="2053663" w:type="dxa"/>
          </w:tcPr>
          <w:p>
            <w:pPr>
              <w:pStyle w:val="Compact"/>
              <w:bidi/>
            </w:pPr>
            <w:r>
              <w:rPr>
                <w:rtl/>
              </w:rPr>
              <w:t xml:space="preserve">Visual Basic for Applications</w:t>
            </w:r>
          </w:p>
        </w:tc>
        <w:tc>
          <w:tcPr>
            <w:tcW w:w="2631120" w:type="dxa"/>
          </w:tcPr>
          <w:p>
            <w:pPr>
              <w:pStyle w:val="Compact"/>
              <w:bidi/>
            </w:pPr>
            <w:r>
              <w:rPr>
                <w:rtl/>
              </w:rPr>
              <w:t xml:space="preserve">لغة الأتمتة في Microsoft Office</w:t>
            </w:r>
          </w:p>
        </w:tc>
      </w:tr>
      <w:tr>
        <w:tc>
          <w:tcPr>
            <w:tcW w:w="625216" w:type="dxa"/>
          </w:tcPr>
          <w:p>
            <w:pPr>
              <w:pStyle w:val="Compact"/>
              <w:bidi/>
            </w:pPr>
            <w:r>
              <w:rPr>
                <w:rtl/>
              </w:rPr>
              <w:t xml:space="preserve">EOQ / Q*</w:t>
            </w:r>
          </w:p>
        </w:tc>
        <w:tc>
          <w:tcPr>
            <w:tcW w:w="2053663" w:type="dxa"/>
          </w:tcPr>
          <w:p>
            <w:pPr>
              <w:pStyle w:val="Compact"/>
              <w:bidi/>
            </w:pPr>
            <w:r>
              <w:rPr>
                <w:rtl/>
              </w:rPr>
              <w:t xml:space="preserve">Economic Order Quantity</w:t>
            </w:r>
          </w:p>
        </w:tc>
        <w:tc>
          <w:tcPr>
            <w:tcW w:w="2631120" w:type="dxa"/>
          </w:tcPr>
          <w:p>
            <w:pPr>
              <w:pStyle w:val="Compact"/>
              <w:bidi/>
            </w:pPr>
            <w:r>
              <w:rPr>
                <w:rtl/>
              </w:rPr>
              <w:t xml:space="preserve">الكمية الاقتصادية المثلى للطلب</w:t>
            </w:r>
          </w:p>
        </w:tc>
      </w:tr>
      <w:tr>
        <w:tc>
          <w:tcPr>
            <w:tcW w:w="625216" w:type="dxa"/>
          </w:tcPr>
          <w:p>
            <w:pPr>
              <w:pStyle w:val="Compact"/>
              <w:bidi/>
            </w:pPr>
            <w:r>
              <w:rPr>
                <w:rtl/>
              </w:rPr>
              <w:t xml:space="preserve">ROP</w:t>
            </w:r>
          </w:p>
        </w:tc>
        <w:tc>
          <w:tcPr>
            <w:tcW w:w="2053663" w:type="dxa"/>
          </w:tcPr>
          <w:p>
            <w:pPr>
              <w:pStyle w:val="Compact"/>
              <w:bidi/>
            </w:pPr>
            <w:r>
              <w:rPr>
                <w:rtl/>
              </w:rPr>
              <w:t xml:space="preserve">Reorder Point</w:t>
            </w:r>
          </w:p>
        </w:tc>
        <w:tc>
          <w:tcPr>
            <w:tcW w:w="2631120" w:type="dxa"/>
          </w:tcPr>
          <w:p>
            <w:pPr>
              <w:pStyle w:val="Compact"/>
              <w:bidi/>
            </w:pPr>
            <w:r>
              <w:rPr>
                <w:rtl/>
              </w:rPr>
              <w:t xml:space="preserve">نقطة إعادة الطلب</w:t>
            </w:r>
          </w:p>
        </w:tc>
      </w:tr>
      <w:tr>
        <w:tc>
          <w:tcPr>
            <w:tcW w:w="625216" w:type="dxa"/>
          </w:tcPr>
          <w:p>
            <w:pPr>
              <w:pStyle w:val="Compact"/>
              <w:bidi/>
            </w:pPr>
            <w:r>
              <w:rPr>
                <w:rtl/>
              </w:rPr>
              <w:t xml:space="preserve">SS</w:t>
            </w:r>
          </w:p>
        </w:tc>
        <w:tc>
          <w:tcPr>
            <w:tcW w:w="2053663" w:type="dxa"/>
          </w:tcPr>
          <w:p>
            <w:pPr>
              <w:pStyle w:val="Compact"/>
              <w:bidi/>
            </w:pPr>
            <w:r>
              <w:rPr>
                <w:rtl/>
              </w:rPr>
              <w:t xml:space="preserve">Safety Stock</w:t>
            </w:r>
          </w:p>
        </w:tc>
        <w:tc>
          <w:tcPr>
            <w:tcW w:w="2631120" w:type="dxa"/>
          </w:tcPr>
          <w:p>
            <w:pPr>
              <w:pStyle w:val="Compact"/>
              <w:bidi/>
            </w:pPr>
            <w:r>
              <w:rPr>
                <w:rtl/>
              </w:rPr>
              <w:t xml:space="preserve">مخزون الأمان</w:t>
            </w:r>
          </w:p>
        </w:tc>
      </w:tr>
      <w:tr>
        <w:tc>
          <w:tcPr>
            <w:tcW w:w="625216" w:type="dxa"/>
          </w:tcPr>
          <w:p>
            <w:pPr>
              <w:pStyle w:val="Compact"/>
              <w:bidi/>
            </w:pPr>
            <w:r>
              <w:rPr>
                <w:rtl/>
              </w:rPr>
              <w:t xml:space="preserve">FIFO</w:t>
            </w:r>
          </w:p>
        </w:tc>
        <w:tc>
          <w:tcPr>
            <w:tcW w:w="2053663" w:type="dxa"/>
          </w:tcPr>
          <w:p>
            <w:pPr>
              <w:pStyle w:val="Compact"/>
              <w:bidi/>
            </w:pPr>
            <w:r>
              <w:rPr>
                <w:rtl/>
              </w:rPr>
              <w:t xml:space="preserve">First In, First Out</w:t>
            </w:r>
          </w:p>
        </w:tc>
        <w:tc>
          <w:tcPr>
            <w:tcW w:w="2631120" w:type="dxa"/>
          </w:tcPr>
          <w:p>
            <w:pPr>
              <w:pStyle w:val="Compact"/>
              <w:bidi/>
            </w:pPr>
            <w:r>
              <w:rPr>
                <w:rtl/>
              </w:rPr>
              <w:t xml:space="preserve">أول دخول أول خروج</w:t>
            </w:r>
          </w:p>
        </w:tc>
      </w:tr>
      <w:tr>
        <w:tc>
          <w:tcPr>
            <w:tcW w:w="625216" w:type="dxa"/>
          </w:tcPr>
          <w:p>
            <w:pPr>
              <w:pStyle w:val="Compact"/>
              <w:bidi/>
            </w:pPr>
            <w:r>
              <w:rPr>
                <w:rtl/>
              </w:rPr>
              <w:t xml:space="preserve">CMUP</w:t>
            </w:r>
          </w:p>
        </w:tc>
        <w:tc>
          <w:tcPr>
            <w:tcW w:w="2053663" w:type="dxa"/>
          </w:tcPr>
          <w:p>
            <w:pPr>
              <w:pStyle w:val="Compact"/>
              <w:bidi/>
            </w:pPr>
            <w:r>
              <w:rPr>
                <w:rtl/>
              </w:rPr>
              <w:t xml:space="preserve">Coût Moyen Unitaire Pondéré</w:t>
            </w:r>
          </w:p>
        </w:tc>
        <w:tc>
          <w:tcPr>
            <w:tcW w:w="2631120" w:type="dxa"/>
          </w:tcPr>
          <w:p>
            <w:pPr>
              <w:pStyle w:val="Compact"/>
              <w:bidi/>
            </w:pPr>
            <w:r>
              <w:rPr>
                <w:rtl/>
              </w:rPr>
              <w:t xml:space="preserve">المتوسط المرجَّح للتكلفة الوحدوية</w:t>
            </w:r>
          </w:p>
        </w:tc>
      </w:tr>
      <w:tr>
        <w:tc>
          <w:tcPr>
            <w:tcW w:w="625216" w:type="dxa"/>
          </w:tcPr>
          <w:p>
            <w:pPr>
              <w:pStyle w:val="Compact"/>
              <w:bidi/>
            </w:pPr>
            <w:r>
              <w:rPr>
                <w:rtl/>
              </w:rPr>
              <w:t xml:space="preserve">CVT</w:t>
            </w:r>
          </w:p>
        </w:tc>
        <w:tc>
          <w:tcPr>
            <w:tcW w:w="2053663" w:type="dxa"/>
          </w:tcPr>
          <w:p>
            <w:pPr>
              <w:pStyle w:val="Compact"/>
              <w:bidi/>
            </w:pPr>
            <w:r>
              <w:rPr>
                <w:rtl/>
              </w:rPr>
              <w:t xml:space="preserve">Coût Variable Total</w:t>
            </w:r>
          </w:p>
        </w:tc>
        <w:tc>
          <w:tcPr>
            <w:tcW w:w="2631120" w:type="dxa"/>
          </w:tcPr>
          <w:p>
            <w:pPr>
              <w:pStyle w:val="Compact"/>
              <w:bidi/>
            </w:pPr>
            <w:r>
              <w:rPr>
                <w:rtl/>
              </w:rPr>
              <w:t xml:space="preserve">إجمالي التكاليف المتغيرة</w:t>
            </w:r>
          </w:p>
        </w:tc>
      </w:tr>
      <w:tr>
        <w:tc>
          <w:tcPr>
            <w:tcW w:w="625216" w:type="dxa"/>
          </w:tcPr>
          <w:p>
            <w:pPr>
              <w:pStyle w:val="Compact"/>
              <w:bidi/>
            </w:pPr>
            <w:r>
              <w:rPr>
                <w:rtl/>
              </w:rPr>
              <w:t xml:space="preserve">KPI</w:t>
            </w:r>
          </w:p>
        </w:tc>
        <w:tc>
          <w:tcPr>
            <w:tcW w:w="2053663" w:type="dxa"/>
          </w:tcPr>
          <w:p>
            <w:pPr>
              <w:pStyle w:val="Compact"/>
              <w:bidi/>
            </w:pPr>
            <w:r>
              <w:rPr>
                <w:rtl/>
              </w:rPr>
              <w:t xml:space="preserve">Key Performance Indicator</w:t>
            </w:r>
          </w:p>
        </w:tc>
        <w:tc>
          <w:tcPr>
            <w:tcW w:w="2631120" w:type="dxa"/>
          </w:tcPr>
          <w:p>
            <w:pPr>
              <w:pStyle w:val="Compact"/>
              <w:bidi/>
            </w:pPr>
            <w:r>
              <w:rPr>
                <w:rtl/>
              </w:rPr>
              <w:t xml:space="preserve">مؤشر الأداء الرئيسي</w:t>
            </w:r>
          </w:p>
        </w:tc>
      </w:tr>
      <w:tr>
        <w:tc>
          <w:tcPr>
            <w:tcW w:w="625216" w:type="dxa"/>
          </w:tcPr>
          <w:p>
            <w:pPr>
              <w:pStyle w:val="Compact"/>
              <w:bidi/>
            </w:pPr>
            <w:r>
              <w:rPr>
                <w:rtl/>
              </w:rPr>
              <w:t xml:space="preserve">ABC</w:t>
            </w:r>
          </w:p>
        </w:tc>
        <w:tc>
          <w:tcPr>
            <w:tcW w:w="2053663" w:type="dxa"/>
          </w:tcPr>
          <w:p>
            <w:pPr>
              <w:pStyle w:val="Compact"/>
              <w:bidi/>
            </w:pPr>
            <w:r>
              <w:rPr>
                <w:rtl/>
              </w:rPr>
              <w:t xml:space="preserve">Analyse ABC (Pareto)</w:t>
            </w:r>
          </w:p>
        </w:tc>
        <w:tc>
          <w:tcPr>
            <w:tcW w:w="2631120" w:type="dxa"/>
          </w:tcPr>
          <w:p>
            <w:pPr>
              <w:pStyle w:val="Compact"/>
              <w:bidi/>
            </w:pPr>
            <w:r>
              <w:rPr>
                <w:rtl/>
              </w:rPr>
              <w:t xml:space="preserve">تصنيف باريتو الثلاثي</w:t>
            </w:r>
          </w:p>
        </w:tc>
      </w:tr>
      <w:tr>
        <w:tc>
          <w:tcPr>
            <w:tcW w:w="625216" w:type="dxa"/>
          </w:tcPr>
          <w:p>
            <w:pPr>
              <w:pStyle w:val="Compact"/>
              <w:bidi/>
            </w:pPr>
            <w:r>
              <w:rPr>
                <w:rtl/>
              </w:rPr>
              <w:t xml:space="preserve">DA</w:t>
            </w:r>
          </w:p>
        </w:tc>
        <w:tc>
          <w:tcPr>
            <w:tcW w:w="2053663" w:type="dxa"/>
          </w:tcPr>
          <w:p>
            <w:pPr>
              <w:pStyle w:val="Compact"/>
              <w:bidi/>
            </w:pPr>
            <w:r>
              <w:rPr>
                <w:rtl/>
              </w:rPr>
              <w:t xml:space="preserve">Demande d’Achat</w:t>
            </w:r>
          </w:p>
        </w:tc>
        <w:tc>
          <w:tcPr>
            <w:tcW w:w="2631120" w:type="dxa"/>
          </w:tcPr>
          <w:p>
            <w:pPr>
              <w:pStyle w:val="Compact"/>
              <w:bidi/>
            </w:pPr>
            <w:r>
              <w:rPr>
                <w:rtl/>
              </w:rPr>
              <w:t xml:space="preserve">طلب الشراء الداخلي</w:t>
            </w:r>
          </w:p>
        </w:tc>
      </w:tr>
      <w:tr>
        <w:tc>
          <w:tcPr>
            <w:tcW w:w="625216" w:type="dxa"/>
          </w:tcPr>
          <w:p>
            <w:pPr>
              <w:pStyle w:val="Compact"/>
              <w:bidi/>
            </w:pPr>
            <w:r>
              <w:rPr>
                <w:rtl/>
              </w:rPr>
              <w:t xml:space="preserve">BC</w:t>
            </w:r>
          </w:p>
        </w:tc>
        <w:tc>
          <w:tcPr>
            <w:tcW w:w="2053663" w:type="dxa"/>
          </w:tcPr>
          <w:p>
            <w:pPr>
              <w:pStyle w:val="Compact"/>
              <w:bidi/>
            </w:pPr>
            <w:r>
              <w:rPr>
                <w:rtl/>
              </w:rPr>
              <w:t xml:space="preserve">Bon de Commande</w:t>
            </w:r>
          </w:p>
        </w:tc>
        <w:tc>
          <w:tcPr>
            <w:tcW w:w="2631120" w:type="dxa"/>
          </w:tcPr>
          <w:p>
            <w:pPr>
              <w:pStyle w:val="Compact"/>
              <w:bidi/>
            </w:pPr>
            <w:r>
              <w:rPr>
                <w:rtl/>
              </w:rPr>
              <w:t xml:space="preserve">أمر الشراء</w:t>
            </w:r>
          </w:p>
        </w:tc>
      </w:tr>
      <w:tr>
        <w:tc>
          <w:tcPr>
            <w:tcW w:w="625216" w:type="dxa"/>
          </w:tcPr>
          <w:p>
            <w:pPr>
              <w:pStyle w:val="Compact"/>
              <w:bidi/>
            </w:pPr>
            <w:r>
              <w:rPr>
                <w:rtl/>
              </w:rPr>
              <w:t xml:space="preserve">BR</w:t>
            </w:r>
          </w:p>
        </w:tc>
        <w:tc>
          <w:tcPr>
            <w:tcW w:w="2053663" w:type="dxa"/>
          </w:tcPr>
          <w:p>
            <w:pPr>
              <w:pStyle w:val="Compact"/>
              <w:bidi/>
            </w:pPr>
            <w:r>
              <w:rPr>
                <w:rtl/>
              </w:rPr>
              <w:t xml:space="preserve">Bon de Réception</w:t>
            </w:r>
          </w:p>
        </w:tc>
        <w:tc>
          <w:tcPr>
            <w:tcW w:w="2631120" w:type="dxa"/>
          </w:tcPr>
          <w:p>
            <w:pPr>
              <w:pStyle w:val="Compact"/>
              <w:bidi/>
            </w:pPr>
            <w:r>
              <w:rPr>
                <w:rtl/>
              </w:rPr>
              <w:t xml:space="preserve">وصل الاستلام</w:t>
            </w:r>
          </w:p>
        </w:tc>
      </w:tr>
      <w:tr>
        <w:tc>
          <w:tcPr>
            <w:tcW w:w="625216" w:type="dxa"/>
          </w:tcPr>
          <w:p>
            <w:pPr>
              <w:pStyle w:val="Compact"/>
              <w:bidi/>
            </w:pPr>
            <w:r>
              <w:rPr>
                <w:rtl/>
              </w:rPr>
              <w:t xml:space="preserve">BS</w:t>
            </w:r>
          </w:p>
        </w:tc>
        <w:tc>
          <w:tcPr>
            <w:tcW w:w="2053663" w:type="dxa"/>
          </w:tcPr>
          <w:p>
            <w:pPr>
              <w:pStyle w:val="Compact"/>
              <w:bidi/>
            </w:pPr>
            <w:r>
              <w:rPr>
                <w:rtl/>
              </w:rPr>
              <w:t xml:space="preserve">Bon de Sortie</w:t>
            </w:r>
          </w:p>
        </w:tc>
        <w:tc>
          <w:tcPr>
            <w:tcW w:w="2631120" w:type="dxa"/>
          </w:tcPr>
          <w:p>
            <w:pPr>
              <w:pStyle w:val="Compact"/>
              <w:bidi/>
            </w:pPr>
            <w:r>
              <w:rPr>
                <w:rtl/>
              </w:rPr>
              <w:t xml:space="preserve">وصل الإخراج</w:t>
            </w:r>
          </w:p>
        </w:tc>
      </w:tr>
      <w:tr>
        <w:tc>
          <w:tcPr>
            <w:tcW w:w="625216" w:type="dxa"/>
          </w:tcPr>
          <w:p>
            <w:pPr>
              <w:pStyle w:val="Compact"/>
              <w:bidi/>
            </w:pPr>
            <w:r>
              <w:rPr>
                <w:rtl/>
              </w:rPr>
              <w:t xml:space="preserve">LT</w:t>
            </w:r>
          </w:p>
        </w:tc>
        <w:tc>
          <w:tcPr>
            <w:tcW w:w="2053663" w:type="dxa"/>
          </w:tcPr>
          <w:p>
            <w:pPr>
              <w:pStyle w:val="Compact"/>
              <w:bidi/>
            </w:pPr>
            <w:r>
              <w:rPr>
                <w:rtl/>
              </w:rPr>
              <w:t xml:space="preserve">Lead Time</w:t>
            </w:r>
          </w:p>
        </w:tc>
        <w:tc>
          <w:tcPr>
            <w:tcW w:w="2631120" w:type="dxa"/>
          </w:tcPr>
          <w:p>
            <w:pPr>
              <w:pStyle w:val="Compact"/>
              <w:bidi/>
            </w:pPr>
            <w:r>
              <w:rPr>
                <w:rtl/>
              </w:rPr>
              <w:t xml:space="preserve">أجل التسليم</w:t>
            </w:r>
          </w:p>
        </w:tc>
      </w:tr>
      <w:tr>
        <w:tc>
          <w:tcPr>
            <w:tcW w:w="625216" w:type="dxa"/>
          </w:tcPr>
          <w:p>
            <w:pPr>
              <w:pStyle w:val="Compact"/>
              <w:bidi/>
            </w:pPr>
            <w:r>
              <w:rPr>
                <w:rtl/>
              </w:rPr>
              <w:t xml:space="preserve">D</w:t>
            </w:r>
          </w:p>
        </w:tc>
        <w:tc>
          <w:tcPr>
            <w:tcW w:w="2053663" w:type="dxa"/>
          </w:tcPr>
          <w:p>
            <w:pPr>
              <w:pStyle w:val="Compact"/>
              <w:bidi/>
            </w:pPr>
            <w:r>
              <w:rPr>
                <w:rtl/>
              </w:rPr>
              <w:t xml:space="preserve">Demande Annuelle</w:t>
            </w:r>
          </w:p>
        </w:tc>
        <w:tc>
          <w:tcPr>
            <w:tcW w:w="2631120" w:type="dxa"/>
          </w:tcPr>
          <w:p>
            <w:pPr>
              <w:pStyle w:val="Compact"/>
              <w:bidi/>
            </w:pPr>
            <w:r>
              <w:rPr>
                <w:rtl/>
              </w:rPr>
              <w:t xml:space="preserve">الطلب السنوي</w:t>
            </w:r>
          </w:p>
        </w:tc>
      </w:tr>
      <w:tr>
        <w:tc>
          <w:tcPr>
            <w:tcW w:w="625216" w:type="dxa"/>
          </w:tcPr>
          <w:p>
            <w:pPr>
              <w:pStyle w:val="Compact"/>
              <w:bidi/>
            </w:pPr>
            <w:r>
              <w:rPr>
                <w:rtl/>
              </w:rPr>
              <w:t xml:space="preserve">CoV</w:t>
            </w:r>
          </w:p>
        </w:tc>
        <w:tc>
          <w:tcPr>
            <w:tcW w:w="2053663" w:type="dxa"/>
          </w:tcPr>
          <w:p>
            <w:pPr>
              <w:pStyle w:val="Compact"/>
              <w:bidi/>
            </w:pPr>
            <w:r>
              <w:rPr>
                <w:rtl/>
              </w:rPr>
              <w:t xml:space="preserve">Coefficient of Variation</w:t>
            </w:r>
          </w:p>
        </w:tc>
        <w:tc>
          <w:tcPr>
            <w:tcW w:w="2631120" w:type="dxa"/>
          </w:tcPr>
          <w:p>
            <w:pPr>
              <w:pStyle w:val="Compact"/>
              <w:bidi/>
            </w:pPr>
            <w:r>
              <w:rPr>
                <w:rtl/>
              </w:rPr>
              <w:t xml:space="preserve">معامل التباين</w:t>
            </w:r>
          </w:p>
        </w:tc>
      </w:tr>
      <w:tr>
        <w:tc>
          <w:tcPr>
            <w:tcW w:w="625216" w:type="dxa"/>
          </w:tcPr>
          <w:p>
            <w:pPr>
              <w:pStyle w:val="Compact"/>
              <w:bidi/>
            </w:pPr>
            <w:r>
              <w:rPr>
                <w:rtl/>
              </w:rPr>
              <w:t xml:space="preserve">I</w:t>
            </w:r>
          </w:p>
        </w:tc>
        <w:tc>
          <w:tcPr>
            <w:tcW w:w="2053663" w:type="dxa"/>
          </w:tcPr>
          <w:p>
            <w:pPr>
              <w:pStyle w:val="Compact"/>
              <w:bidi/>
            </w:pPr>
            <w:r>
              <w:rPr>
                <w:rtl/>
              </w:rPr>
              <w:t xml:space="preserve">Taux de Possession</w:t>
            </w:r>
          </w:p>
        </w:tc>
        <w:tc>
          <w:tcPr>
            <w:tcW w:w="2631120" w:type="dxa"/>
          </w:tcPr>
          <w:p>
            <w:pPr>
              <w:pStyle w:val="Compact"/>
              <w:bidi/>
            </w:pPr>
            <w:r>
              <w:rPr>
                <w:rtl/>
              </w:rPr>
              <w:t xml:space="preserve">معدل حامل التكلفة (20% - CNEPD)</w:t>
            </w:r>
          </w:p>
        </w:tc>
      </w:tr>
      <w:tr>
        <w:tc>
          <w:tcPr>
            <w:tcW w:w="625216" w:type="dxa"/>
          </w:tcPr>
          <w:p>
            <w:pPr>
              <w:pStyle w:val="Compact"/>
              <w:bidi/>
            </w:pPr>
            <w:r>
              <w:rPr>
                <w:rtl/>
              </w:rPr>
              <w:t xml:space="preserve">SCO</w:t>
            </w:r>
          </w:p>
        </w:tc>
        <w:tc>
          <w:tcPr>
            <w:tcW w:w="2053663" w:type="dxa"/>
          </w:tcPr>
          <w:p>
            <w:pPr>
              <w:pStyle w:val="Compact"/>
              <w:bidi/>
            </w:pPr>
            <w:r>
              <w:rPr>
                <w:rtl/>
              </w:rPr>
              <w:t xml:space="preserve">Système Comptable des Organismes publics</w:t>
            </w:r>
          </w:p>
        </w:tc>
        <w:tc>
          <w:tcPr>
            <w:tcW w:w="2631120" w:type="dxa"/>
          </w:tcPr>
          <w:p>
            <w:pPr>
              <w:pStyle w:val="Compact"/>
              <w:bidi/>
            </w:pPr>
            <w:r>
              <w:rPr>
                <w:rtl/>
              </w:rPr>
              <w:t xml:space="preserve">النظام المحاسبي للهيئات العمومية</w:t>
            </w:r>
          </w:p>
        </w:tc>
      </w:tr>
      <w:tr>
        <w:tc>
          <w:tcPr>
            <w:tcW w:w="625216" w:type="dxa"/>
          </w:tcPr>
          <w:p>
            <w:pPr>
              <w:pStyle w:val="Compact"/>
              <w:bidi/>
            </w:pPr>
            <w:r>
              <w:rPr>
                <w:rtl/>
              </w:rPr>
              <w:t xml:space="preserve">TAG1801</w:t>
            </w:r>
          </w:p>
        </w:tc>
        <w:tc>
          <w:tcPr>
            <w:tcW w:w="2053663" w:type="dxa"/>
          </w:tcPr>
          <w:p>
            <w:pPr>
              <w:pStyle w:val="Compact"/>
              <w:bidi/>
            </w:pPr>
            <w:r>
              <w:rPr>
                <w:rtl/>
              </w:rPr>
              <w:t xml:space="preserve">Tag Formation CNEPD</w:t>
            </w:r>
          </w:p>
        </w:tc>
        <w:tc>
          <w:tcPr>
            <w:tcW w:w="2631120" w:type="dxa"/>
          </w:tcPr>
          <w:p>
            <w:pPr>
              <w:pStyle w:val="Compact"/>
              <w:bidi/>
            </w:pPr>
            <w:r>
              <w:rPr>
                <w:rtl/>
              </w:rPr>
              <w:t xml:space="preserve">رمز المنهاج التكويني (تسيير المخازن)</w:t>
            </w:r>
          </w:p>
        </w:tc>
      </w:tr>
      <w:tr>
        <w:tc>
          <w:tcPr>
            <w:tcW w:w="625216" w:type="dxa"/>
          </w:tcPr>
          <w:p>
            <w:pPr>
              <w:pStyle w:val="Compact"/>
              <w:bidi/>
            </w:pPr>
            <w:r>
              <w:rPr>
                <w:rtl/>
              </w:rPr>
              <w:t xml:space="preserve">SIGLE</w:t>
            </w:r>
          </w:p>
        </w:tc>
        <w:tc>
          <w:tcPr>
            <w:tcW w:w="2053663" w:type="dxa"/>
          </w:tcPr>
          <w:p>
            <w:pPr>
              <w:pStyle w:val="Compact"/>
              <w:bidi/>
            </w:pPr>
            <w:r>
              <w:rPr>
                <w:rtl/>
              </w:rPr>
              <w:t xml:space="preserve">Système Intégré de Gestion de la Logistique</w:t>
            </w:r>
          </w:p>
        </w:tc>
        <w:tc>
          <w:tcPr>
            <w:tcW w:w="2631120" w:type="dxa"/>
          </w:tcPr>
          <w:p>
            <w:pPr>
              <w:pStyle w:val="Compact"/>
              <w:bidi/>
            </w:pPr>
            <w:r>
              <w:rPr>
                <w:rtl/>
              </w:rPr>
              <w:t xml:space="preserve">منظومة المحاسبة العمومية الجزائرية</w:t>
            </w:r>
          </w:p>
        </w:tc>
      </w:tr>
      <w:tr>
        <w:tc>
          <w:tcPr>
            <w:tcW w:w="625216" w:type="dxa"/>
          </w:tcPr>
          <w:p>
            <w:pPr>
              <w:pStyle w:val="Compact"/>
              <w:bidi/>
            </w:pPr>
            <w:r>
              <w:rPr>
                <w:rtl/>
              </w:rPr>
              <w:t xml:space="preserve">DSS</w:t>
            </w:r>
          </w:p>
        </w:tc>
        <w:tc>
          <w:tcPr>
            <w:tcW w:w="2053663" w:type="dxa"/>
          </w:tcPr>
          <w:p>
            <w:pPr>
              <w:pStyle w:val="Compact"/>
              <w:bidi/>
            </w:pPr>
            <w:r>
              <w:rPr>
                <w:rtl/>
              </w:rPr>
              <w:t xml:space="preserve">Decision Support System</w:t>
            </w:r>
          </w:p>
        </w:tc>
        <w:tc>
          <w:tcPr>
            <w:tcW w:w="2631120" w:type="dxa"/>
          </w:tcPr>
          <w:p>
            <w:pPr>
              <w:pStyle w:val="Compact"/>
              <w:bidi/>
            </w:pPr>
            <w:r>
              <w:rPr>
                <w:rtl/>
              </w:rPr>
              <w:t xml:space="preserve">نظام دعم القرار لتسيير المخزون</w:t>
            </w:r>
          </w:p>
        </w:tc>
      </w:tr>
    </w:tbl>
    <w:bookmarkEnd w:id="153"/>
    <w:bookmarkStart w:id="160" w:name="قائمة-المصطلحات"/>
    <w:p>
      <w:pPr>
        <w:pStyle w:val="Heading1"/>
        <w:bidi/>
      </w:pPr>
      <w:r>
        <w:rPr>
          <w:b/>
          <w:sz w:val="44"/>
          <w:rtl/>
        </w:rPr>
        <w:t xml:space="preserve">قائمة المصطلحات</w:t>
      </w:r>
    </w:p>
    <w:bookmarkStart w:id="154" w:name="المصطلحات-اللوجستية-والتسييرية"/>
    <w:p>
      <w:pPr>
        <w:pStyle w:val="Heading2"/>
        <w:bidi/>
      </w:pPr>
      <w:r>
        <w:rPr>
          <w:b/>
          <w:sz w:val="36"/>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pPr>
            <w:r>
              <w:rPr>
                <w:rtl/>
              </w:rPr>
              <w:t xml:space="preserve">العربية</w:t>
            </w:r>
          </w:p>
        </w:tc>
        <w:tc>
          <w:tcPr>
            <w:tcW w:w="1032670" w:type="dxa"/>
          </w:tcPr>
          <w:p>
            <w:pPr>
              <w:pStyle w:val="Compact"/>
              <w:bidi/>
            </w:pPr>
            <w:r>
              <w:rPr>
                <w:rtl/>
              </w:rPr>
              <w:t xml:space="preserve">الفرنسية</w:t>
            </w:r>
          </w:p>
        </w:tc>
        <w:tc>
          <w:tcPr>
            <w:tcW w:w="1069551" w:type="dxa"/>
          </w:tcPr>
          <w:p>
            <w:pPr>
              <w:pStyle w:val="Compact"/>
              <w:bidi/>
            </w:pPr>
            <w:r>
              <w:rPr>
                <w:rtl/>
              </w:rPr>
              <w:t xml:space="preserve">الإنجليزية</w:t>
            </w:r>
          </w:p>
        </w:tc>
        <w:tc>
          <w:tcPr>
            <w:tcW w:w="2055282" w:type="dxa"/>
          </w:tcPr>
          <w:p>
            <w:pPr>
              <w:pStyle w:val="Compact"/>
              <w:bidi/>
            </w:pPr>
            <w:r>
              <w:rPr>
                <w:rtl/>
              </w:rPr>
              <w:t xml:space="preserve">التعريف</w:t>
            </w:r>
          </w:p>
        </w:tc>
      </w:tr>
      <w:tr>
        <w:tc>
          <w:tcPr>
            <w:tcW w:w="1002495" w:type="dxa"/>
          </w:tcPr>
          <w:p>
            <w:pPr>
              <w:pStyle w:val="Compact"/>
              <w:bidi/>
            </w:pPr>
            <w:r>
              <w:rPr>
                <w:rtl/>
              </w:rPr>
              <w:t xml:space="preserve">تسيير المخازن</w:t>
            </w:r>
          </w:p>
        </w:tc>
        <w:tc>
          <w:tcPr>
            <w:tcW w:w="1032670" w:type="dxa"/>
          </w:tcPr>
          <w:p>
            <w:pPr>
              <w:pStyle w:val="Compact"/>
              <w:bidi/>
            </w:pPr>
            <w:r>
              <w:rPr>
                <w:rtl/>
              </w:rPr>
              <w:t xml:space="preserve">Gestion des stocks</w:t>
            </w:r>
          </w:p>
        </w:tc>
        <w:tc>
          <w:tcPr>
            <w:tcW w:w="1069551" w:type="dxa"/>
          </w:tcPr>
          <w:p>
            <w:pPr>
              <w:pStyle w:val="Compact"/>
              <w:bidi/>
            </w:pPr>
            <w:r>
              <w:rPr>
                <w:rtl/>
              </w:rPr>
              <w:t xml:space="preserve">Inventory Management</w:t>
            </w:r>
          </w:p>
        </w:tc>
        <w:tc>
          <w:tcPr>
            <w:tcW w:w="2055282" w:type="dxa"/>
          </w:tcPr>
          <w:p>
            <w:pPr>
              <w:pStyle w:val="Compact"/>
              <w:bidi/>
            </w:pPr>
            <w:r>
              <w:rPr>
                <w:rtl/>
              </w:rPr>
              <w:t xml:space="preserve">عملية مراقبة وتدفق المواد</w:t>
            </w:r>
          </w:p>
        </w:tc>
      </w:tr>
      <w:tr>
        <w:tc>
          <w:tcPr>
            <w:tcW w:w="1002495" w:type="dxa"/>
          </w:tcPr>
          <w:p>
            <w:pPr>
              <w:pStyle w:val="Compact"/>
              <w:bidi/>
            </w:pPr>
            <w:r>
              <w:rPr>
                <w:rtl/>
              </w:rPr>
              <w:t xml:space="preserve">المخزون</w:t>
            </w:r>
          </w:p>
        </w:tc>
        <w:tc>
          <w:tcPr>
            <w:tcW w:w="1032670" w:type="dxa"/>
          </w:tcPr>
          <w:p>
            <w:pPr>
              <w:pStyle w:val="Compact"/>
              <w:bidi/>
            </w:pPr>
            <w:r>
              <w:rPr>
                <w:rtl/>
              </w:rPr>
              <w:t xml:space="preserve">Stock</w:t>
            </w:r>
          </w:p>
        </w:tc>
        <w:tc>
          <w:tcPr>
            <w:tcW w:w="1069551" w:type="dxa"/>
          </w:tcPr>
          <w:p>
            <w:pPr>
              <w:pStyle w:val="Compact"/>
              <w:bidi/>
            </w:pPr>
            <w:r>
              <w:rPr>
                <w:rtl/>
              </w:rPr>
              <w:t xml:space="preserve">Inventory</w:t>
            </w:r>
          </w:p>
        </w:tc>
        <w:tc>
          <w:tcPr>
            <w:tcW w:w="2055282" w:type="dxa"/>
          </w:tcPr>
          <w:p>
            <w:pPr>
              <w:pStyle w:val="Compact"/>
              <w:bidi/>
            </w:pPr>
            <w:r>
              <w:rPr>
                <w:rtl/>
              </w:rPr>
              <w:t xml:space="preserve">المواد المخزنة للاستخدام</w:t>
            </w:r>
          </w:p>
        </w:tc>
      </w:tr>
      <w:tr>
        <w:tc>
          <w:tcPr>
            <w:tcW w:w="1002495" w:type="dxa"/>
          </w:tcPr>
          <w:p>
            <w:pPr>
              <w:pStyle w:val="Compact"/>
              <w:bidi/>
            </w:pPr>
            <w:r>
              <w:rPr>
                <w:rtl/>
              </w:rPr>
              <w:t xml:space="preserve">مخزون الأمان</w:t>
            </w:r>
          </w:p>
        </w:tc>
        <w:tc>
          <w:tcPr>
            <w:tcW w:w="1032670" w:type="dxa"/>
          </w:tcPr>
          <w:p>
            <w:pPr>
              <w:pStyle w:val="Compact"/>
              <w:bidi/>
            </w:pPr>
            <w:r>
              <w:rPr>
                <w:rtl/>
              </w:rPr>
              <w:t xml:space="preserve">Stock de sécurité</w:t>
            </w:r>
          </w:p>
        </w:tc>
        <w:tc>
          <w:tcPr>
            <w:tcW w:w="1069551" w:type="dxa"/>
          </w:tcPr>
          <w:p>
            <w:pPr>
              <w:pStyle w:val="Compact"/>
              <w:bidi/>
            </w:pPr>
            <w:r>
              <w:rPr>
                <w:rtl/>
              </w:rPr>
              <w:t xml:space="preserve">Safety Stock</w:t>
            </w:r>
          </w:p>
        </w:tc>
        <w:tc>
          <w:tcPr>
            <w:tcW w:w="2055282" w:type="dxa"/>
          </w:tcPr>
          <w:p>
            <w:pPr>
              <w:pStyle w:val="Compact"/>
              <w:bidi/>
            </w:pPr>
            <w:r>
              <w:rPr>
                <w:rtl/>
              </w:rPr>
              <w:t xml:space="preserve">رصيد احتياطي للحماية من نفاد المخزون</w:t>
            </w:r>
          </w:p>
        </w:tc>
      </w:tr>
      <w:tr>
        <w:tc>
          <w:tcPr>
            <w:tcW w:w="1002495" w:type="dxa"/>
          </w:tcPr>
          <w:p>
            <w:pPr>
              <w:pStyle w:val="Compact"/>
              <w:bidi/>
            </w:pPr>
            <w:r>
              <w:rPr>
                <w:rtl/>
              </w:rPr>
              <w:t xml:space="preserve">نقطة إعادة الطلب</w:t>
            </w:r>
          </w:p>
        </w:tc>
        <w:tc>
          <w:tcPr>
            <w:tcW w:w="1032670" w:type="dxa"/>
          </w:tcPr>
          <w:p>
            <w:pPr>
              <w:pStyle w:val="Compact"/>
              <w:bidi/>
            </w:pPr>
            <w:r>
              <w:rPr>
                <w:rtl/>
              </w:rPr>
              <w:t xml:space="preserve">Point de réapprovisionnement</w:t>
            </w:r>
          </w:p>
        </w:tc>
        <w:tc>
          <w:tcPr>
            <w:tcW w:w="1069551" w:type="dxa"/>
          </w:tcPr>
          <w:p>
            <w:pPr>
              <w:pStyle w:val="Compact"/>
              <w:bidi/>
            </w:pPr>
            <w:r>
              <w:rPr>
                <w:rtl/>
              </w:rPr>
              <w:t xml:space="preserve">Reorder Point (ROP)</w:t>
            </w:r>
          </w:p>
        </w:tc>
        <w:tc>
          <w:tcPr>
            <w:tcW w:w="2055282" w:type="dxa"/>
          </w:tcPr>
          <w:p>
            <w:pPr>
              <w:pStyle w:val="Compact"/>
              <w:bidi/>
            </w:pPr>
            <w:r>
              <w:rPr>
                <w:rtl/>
              </w:rPr>
              <w:t xml:space="preserve">مستوى المخزون الذي يُطلق أمر الشراء</w:t>
            </w:r>
          </w:p>
        </w:tc>
      </w:tr>
      <w:tr>
        <w:tc>
          <w:tcPr>
            <w:tcW w:w="1002495" w:type="dxa"/>
          </w:tcPr>
          <w:p>
            <w:pPr>
              <w:pStyle w:val="Compact"/>
              <w:bidi/>
            </w:pPr>
            <w:r>
              <w:rPr>
                <w:rtl/>
              </w:rPr>
              <w:t xml:space="preserve">الكمية الاقتصادية</w:t>
            </w:r>
          </w:p>
        </w:tc>
        <w:tc>
          <w:tcPr>
            <w:tcW w:w="1032670" w:type="dxa"/>
          </w:tcPr>
          <w:p>
            <w:pPr>
              <w:pStyle w:val="Compact"/>
              <w:bidi/>
            </w:pPr>
            <w:r>
              <w:rPr>
                <w:rtl/>
              </w:rPr>
              <w:t xml:space="preserve">Quantité économique</w:t>
            </w:r>
          </w:p>
        </w:tc>
        <w:tc>
          <w:tcPr>
            <w:tcW w:w="1069551" w:type="dxa"/>
          </w:tcPr>
          <w:p>
            <w:pPr>
              <w:pStyle w:val="Compact"/>
              <w:bidi/>
            </w:pPr>
            <w:r>
              <w:rPr>
                <w:rtl/>
              </w:rPr>
              <w:t xml:space="preserve">Economic Order Quantity (EOQ)</w:t>
            </w:r>
          </w:p>
        </w:tc>
        <w:tc>
          <w:tcPr>
            <w:tcW w:w="2055282" w:type="dxa"/>
          </w:tcPr>
          <w:p>
            <w:pPr>
              <w:pStyle w:val="Compact"/>
              <w:bidi/>
            </w:pPr>
            <w:r>
              <w:rPr>
                <w:rtl/>
              </w:rPr>
              <w:t xml:space="preserve">الحجم الأمثل للطلب</w:t>
            </w:r>
          </w:p>
        </w:tc>
      </w:tr>
      <w:tr>
        <w:tc>
          <w:tcPr>
            <w:tcW w:w="1002495" w:type="dxa"/>
          </w:tcPr>
          <w:p>
            <w:pPr>
              <w:pStyle w:val="Compact"/>
              <w:bidi/>
            </w:pPr>
            <w:r>
              <w:rPr>
                <w:rtl/>
              </w:rPr>
              <w:t xml:space="preserve">الجرد الدائم</w:t>
            </w:r>
          </w:p>
        </w:tc>
        <w:tc>
          <w:tcPr>
            <w:tcW w:w="1032670" w:type="dxa"/>
          </w:tcPr>
          <w:p>
            <w:pPr>
              <w:pStyle w:val="Compact"/>
              <w:bidi/>
            </w:pPr>
            <w:r>
              <w:rPr>
                <w:rtl/>
              </w:rPr>
              <w:t xml:space="preserve">Inventaire permanent</w:t>
            </w:r>
          </w:p>
        </w:tc>
        <w:tc>
          <w:tcPr>
            <w:tcW w:w="1069551" w:type="dxa"/>
          </w:tcPr>
          <w:p>
            <w:pPr>
              <w:pStyle w:val="Compact"/>
              <w:bidi/>
            </w:pPr>
            <w:r>
              <w:rPr>
                <w:rtl/>
              </w:rPr>
              <w:t xml:space="preserve">Perpetual Inventory</w:t>
            </w:r>
          </w:p>
        </w:tc>
        <w:tc>
          <w:tcPr>
            <w:tcW w:w="2055282" w:type="dxa"/>
          </w:tcPr>
          <w:p>
            <w:pPr>
              <w:pStyle w:val="Compact"/>
              <w:bidi/>
            </w:pPr>
            <w:r>
              <w:rPr>
                <w:rtl/>
              </w:rPr>
              <w:t xml:space="preserve">تحديث مستمر للرصيد</w:t>
            </w:r>
          </w:p>
        </w:tc>
      </w:tr>
      <w:tr>
        <w:tc>
          <w:tcPr>
            <w:tcW w:w="1002495" w:type="dxa"/>
          </w:tcPr>
          <w:p>
            <w:pPr>
              <w:pStyle w:val="Compact"/>
              <w:bidi/>
            </w:pPr>
            <w:r>
              <w:rPr>
                <w:rtl/>
              </w:rPr>
              <w:t xml:space="preserve">الجرد الدوري</w:t>
            </w:r>
          </w:p>
        </w:tc>
        <w:tc>
          <w:tcPr>
            <w:tcW w:w="1032670" w:type="dxa"/>
          </w:tcPr>
          <w:p>
            <w:pPr>
              <w:pStyle w:val="Compact"/>
              <w:bidi/>
            </w:pPr>
            <w:r>
              <w:rPr>
                <w:rtl/>
              </w:rPr>
              <w:t xml:space="preserve">Inventaire périodique</w:t>
            </w:r>
          </w:p>
        </w:tc>
        <w:tc>
          <w:tcPr>
            <w:tcW w:w="1069551" w:type="dxa"/>
          </w:tcPr>
          <w:p>
            <w:pPr>
              <w:pStyle w:val="Compact"/>
              <w:bidi/>
            </w:pPr>
            <w:r>
              <w:rPr>
                <w:rtl/>
              </w:rPr>
              <w:t xml:space="preserve">Periodic Inventory</w:t>
            </w:r>
          </w:p>
        </w:tc>
        <w:tc>
          <w:tcPr>
            <w:tcW w:w="2055282" w:type="dxa"/>
          </w:tcPr>
          <w:p>
            <w:pPr>
              <w:pStyle w:val="Compact"/>
              <w:bidi/>
            </w:pPr>
            <w:r>
              <w:rPr>
                <w:rtl/>
              </w:rPr>
              <w:t xml:space="preserve">جرد موسمي</w:t>
            </w:r>
          </w:p>
        </w:tc>
      </w:tr>
      <w:tr>
        <w:tc>
          <w:tcPr>
            <w:tcW w:w="1002495" w:type="dxa"/>
          </w:tcPr>
          <w:p>
            <w:pPr>
              <w:pStyle w:val="Compact"/>
              <w:bidi/>
            </w:pPr>
            <w:r>
              <w:rPr>
                <w:rtl/>
              </w:rPr>
              <w:t xml:space="preserve">تصنيف ABC</w:t>
            </w:r>
          </w:p>
        </w:tc>
        <w:tc>
          <w:tcPr>
            <w:tcW w:w="1032670" w:type="dxa"/>
          </w:tcPr>
          <w:p>
            <w:pPr>
              <w:pStyle w:val="Compact"/>
              <w:bidi/>
            </w:pPr>
            <w:r>
              <w:rPr>
                <w:rtl/>
              </w:rPr>
              <w:t xml:space="preserve">Classification ABC</w:t>
            </w:r>
          </w:p>
        </w:tc>
        <w:tc>
          <w:tcPr>
            <w:tcW w:w="1069551" w:type="dxa"/>
          </w:tcPr>
          <w:p>
            <w:pPr>
              <w:pStyle w:val="Compact"/>
              <w:bidi/>
            </w:pPr>
            <w:r>
              <w:rPr>
                <w:rtl/>
              </w:rPr>
              <w:t xml:space="preserve">ABC Classification</w:t>
            </w:r>
          </w:p>
        </w:tc>
        <w:tc>
          <w:tcPr>
            <w:tcW w:w="2055282" w:type="dxa"/>
          </w:tcPr>
          <w:p>
            <w:pPr>
              <w:pStyle w:val="Compact"/>
              <w:bidi/>
            </w:pPr>
            <w:r>
              <w:rPr>
                <w:rtl/>
              </w:rPr>
              <w:t xml:space="preserve">تصنيف باريتو الثلاثي</w:t>
            </w:r>
          </w:p>
        </w:tc>
      </w:tr>
      <w:tr>
        <w:tc>
          <w:tcPr>
            <w:tcW w:w="1002495" w:type="dxa"/>
          </w:tcPr>
          <w:p>
            <w:pPr>
              <w:pStyle w:val="Compact"/>
              <w:bidi/>
            </w:pPr>
            <w:r>
              <w:rPr>
                <w:rtl/>
              </w:rPr>
              <w:t xml:space="preserve">تصنيف XYZ</w:t>
            </w:r>
          </w:p>
        </w:tc>
        <w:tc>
          <w:tcPr>
            <w:tcW w:w="1032670" w:type="dxa"/>
          </w:tcPr>
          <w:p>
            <w:pPr>
              <w:pStyle w:val="Compact"/>
              <w:bidi/>
            </w:pPr>
            <w:r>
              <w:rPr>
                <w:rtl/>
              </w:rPr>
              <w:t xml:space="preserve">Classification XYZ</w:t>
            </w:r>
          </w:p>
        </w:tc>
        <w:tc>
          <w:tcPr>
            <w:tcW w:w="1069551" w:type="dxa"/>
          </w:tcPr>
          <w:p>
            <w:pPr>
              <w:pStyle w:val="Compact"/>
              <w:bidi/>
            </w:pPr>
            <w:r>
              <w:rPr>
                <w:rtl/>
              </w:rPr>
              <w:t xml:space="preserve">XYZ Classification</w:t>
            </w:r>
          </w:p>
        </w:tc>
        <w:tc>
          <w:tcPr>
            <w:tcW w:w="2055282" w:type="dxa"/>
          </w:tcPr>
          <w:p>
            <w:pPr>
              <w:pStyle w:val="Compact"/>
              <w:bidi/>
            </w:pPr>
            <w:r>
              <w:rPr>
                <w:rtl/>
              </w:rPr>
              <w:t xml:space="preserve">تصنيف حسب تقلب الطلب</w:t>
            </w:r>
          </w:p>
        </w:tc>
      </w:tr>
      <w:tr>
        <w:tc>
          <w:tcPr>
            <w:tcW w:w="1002495" w:type="dxa"/>
          </w:tcPr>
          <w:p>
            <w:pPr>
              <w:pStyle w:val="Compact"/>
              <w:bidi/>
            </w:pPr>
            <w:r>
              <w:rPr>
                <w:rtl/>
              </w:rPr>
              <w:t xml:space="preserve">CMUP</w:t>
            </w:r>
          </w:p>
        </w:tc>
        <w:tc>
          <w:tcPr>
            <w:tcW w:w="1032670" w:type="dxa"/>
          </w:tcPr>
          <w:p>
            <w:pPr>
              <w:pStyle w:val="Compact"/>
              <w:bidi/>
            </w:pPr>
            <w:r>
              <w:rPr>
                <w:rtl/>
              </w:rPr>
              <w:t xml:space="preserve">CMUP</w:t>
            </w:r>
          </w:p>
        </w:tc>
        <w:tc>
          <w:tcPr>
            <w:tcW w:w="1069551" w:type="dxa"/>
          </w:tcPr>
          <w:p>
            <w:pPr>
              <w:pStyle w:val="Compact"/>
              <w:bidi/>
            </w:pPr>
            <w:r>
              <w:rPr>
                <w:rtl/>
              </w:rPr>
              <w:t xml:space="preserve">Weighted Average Cost</w:t>
            </w:r>
          </w:p>
        </w:tc>
        <w:tc>
          <w:tcPr>
            <w:tcW w:w="2055282" w:type="dxa"/>
          </w:tcPr>
          <w:p>
            <w:pPr>
              <w:pStyle w:val="Compact"/>
              <w:bidi/>
            </w:pPr>
            <w:r>
              <w:rPr>
                <w:rtl/>
              </w:rPr>
              <w:t xml:space="preserve">التكلفة المتوسطة المرجحة</w:t>
            </w:r>
          </w:p>
        </w:tc>
      </w:tr>
      <w:tr>
        <w:tc>
          <w:tcPr>
            <w:tcW w:w="1002495" w:type="dxa"/>
          </w:tcPr>
          <w:p>
            <w:pPr>
              <w:pStyle w:val="Compact"/>
              <w:bidi/>
            </w:pPr>
            <w:r>
              <w:rPr>
                <w:rtl/>
              </w:rPr>
              <w:t xml:space="preserve">FIFO</w:t>
            </w:r>
          </w:p>
        </w:tc>
        <w:tc>
          <w:tcPr>
            <w:tcW w:w="1032670" w:type="dxa"/>
          </w:tcPr>
          <w:p>
            <w:pPr>
              <w:pStyle w:val="Compact"/>
              <w:bidi/>
            </w:pPr>
            <w:r>
              <w:rPr>
                <w:rtl/>
              </w:rPr>
              <w:t xml:space="preserve">FIFO</w:t>
            </w:r>
          </w:p>
        </w:tc>
        <w:tc>
          <w:tcPr>
            <w:tcW w:w="1069551" w:type="dxa"/>
          </w:tcPr>
          <w:p>
            <w:pPr>
              <w:pStyle w:val="Compact"/>
              <w:bidi/>
            </w:pPr>
            <w:r>
              <w:rPr>
                <w:rtl/>
              </w:rPr>
              <w:t xml:space="preserve">First In, First Out</w:t>
            </w:r>
          </w:p>
        </w:tc>
        <w:tc>
          <w:tcPr>
            <w:tcW w:w="2055282" w:type="dxa"/>
          </w:tcPr>
          <w:p>
            <w:pPr>
              <w:pStyle w:val="Compact"/>
              <w:bidi/>
            </w:pPr>
            <w:r>
              <w:rPr>
                <w:rtl/>
              </w:rPr>
              <w:t xml:space="preserve">أول دخول أول خروج</w:t>
            </w:r>
          </w:p>
        </w:tc>
      </w:tr>
      <w:tr>
        <w:tc>
          <w:tcPr>
            <w:tcW w:w="1002495" w:type="dxa"/>
          </w:tcPr>
          <w:p>
            <w:pPr>
              <w:pStyle w:val="Compact"/>
              <w:bidi/>
            </w:pPr>
            <w:r>
              <w:rPr>
                <w:rtl/>
              </w:rPr>
              <w:t xml:space="preserve">LIFO</w:t>
            </w:r>
          </w:p>
        </w:tc>
        <w:tc>
          <w:tcPr>
            <w:tcW w:w="1032670" w:type="dxa"/>
          </w:tcPr>
          <w:p>
            <w:pPr>
              <w:pStyle w:val="Compact"/>
              <w:bidi/>
            </w:pPr>
            <w:r>
              <w:rPr>
                <w:rtl/>
              </w:rPr>
              <w:t xml:space="preserve">LIFO</w:t>
            </w:r>
          </w:p>
        </w:tc>
        <w:tc>
          <w:tcPr>
            <w:tcW w:w="1069551" w:type="dxa"/>
          </w:tcPr>
          <w:p>
            <w:pPr>
              <w:pStyle w:val="Compact"/>
              <w:bidi/>
            </w:pPr>
            <w:r>
              <w:rPr>
                <w:rtl/>
              </w:rPr>
              <w:t xml:space="preserve">Last In, First Out</w:t>
            </w:r>
          </w:p>
        </w:tc>
        <w:tc>
          <w:tcPr>
            <w:tcW w:w="2055282" w:type="dxa"/>
          </w:tcPr>
          <w:p>
            <w:pPr>
              <w:pStyle w:val="Compact"/>
              <w:bidi/>
            </w:pPr>
            <w:r>
              <w:rPr>
                <w:rtl/>
              </w:rPr>
              <w:t xml:space="preserve">آخر دخول أول خروج</w:t>
            </w:r>
          </w:p>
        </w:tc>
      </w:tr>
      <w:tr>
        <w:tc>
          <w:tcPr>
            <w:tcW w:w="1002495" w:type="dxa"/>
          </w:tcPr>
          <w:p>
            <w:pPr>
              <w:pStyle w:val="Compact"/>
              <w:bidi/>
            </w:pPr>
            <w:r>
              <w:rPr>
                <w:rtl/>
              </w:rPr>
              <w:t xml:space="preserve">أمر الشراء</w:t>
            </w:r>
          </w:p>
        </w:tc>
        <w:tc>
          <w:tcPr>
            <w:tcW w:w="1032670" w:type="dxa"/>
          </w:tcPr>
          <w:p>
            <w:pPr>
              <w:pStyle w:val="Compact"/>
              <w:bidi/>
            </w:pPr>
            <w:r>
              <w:rPr>
                <w:rtl/>
              </w:rPr>
              <w:t xml:space="preserve">Bon de Commande</w:t>
            </w:r>
          </w:p>
        </w:tc>
        <w:tc>
          <w:tcPr>
            <w:tcW w:w="1069551" w:type="dxa"/>
          </w:tcPr>
          <w:p>
            <w:pPr>
              <w:pStyle w:val="Compact"/>
              <w:bidi/>
            </w:pPr>
            <w:r>
              <w:rPr>
                <w:rtl/>
              </w:rPr>
              <w:t xml:space="preserve">Purchase Order</w:t>
            </w:r>
          </w:p>
        </w:tc>
        <w:tc>
          <w:tcPr>
            <w:tcW w:w="2055282" w:type="dxa"/>
          </w:tcPr>
          <w:p>
            <w:pPr>
              <w:pStyle w:val="Compact"/>
              <w:bidi/>
            </w:pPr>
            <w:r>
              <w:rPr>
                <w:rtl/>
              </w:rPr>
              <w:t xml:space="preserve">وثيقة طلب الشراء</w:t>
            </w:r>
          </w:p>
        </w:tc>
      </w:tr>
      <w:tr>
        <w:tc>
          <w:tcPr>
            <w:tcW w:w="1002495" w:type="dxa"/>
          </w:tcPr>
          <w:p>
            <w:pPr>
              <w:pStyle w:val="Compact"/>
              <w:bidi/>
            </w:pPr>
            <w:r>
              <w:rPr>
                <w:rtl/>
              </w:rPr>
              <w:t xml:space="preserve">وصل الاستلام</w:t>
            </w:r>
          </w:p>
        </w:tc>
        <w:tc>
          <w:tcPr>
            <w:tcW w:w="1032670" w:type="dxa"/>
          </w:tcPr>
          <w:p>
            <w:pPr>
              <w:pStyle w:val="Compact"/>
              <w:bidi/>
            </w:pPr>
            <w:r>
              <w:rPr>
                <w:rtl/>
              </w:rPr>
              <w:t xml:space="preserve">Bon de Réception</w:t>
            </w:r>
          </w:p>
        </w:tc>
        <w:tc>
          <w:tcPr>
            <w:tcW w:w="1069551" w:type="dxa"/>
          </w:tcPr>
          <w:p>
            <w:pPr>
              <w:pStyle w:val="Compact"/>
              <w:bidi/>
            </w:pPr>
            <w:r>
              <w:rPr>
                <w:rtl/>
              </w:rPr>
              <w:t xml:space="preserve">Receipt Note</w:t>
            </w:r>
          </w:p>
        </w:tc>
        <w:tc>
          <w:tcPr>
            <w:tcW w:w="2055282" w:type="dxa"/>
          </w:tcPr>
          <w:p>
            <w:pPr>
              <w:pStyle w:val="Compact"/>
              <w:bidi/>
            </w:pPr>
            <w:r>
              <w:rPr>
                <w:rtl/>
              </w:rPr>
              <w:t xml:space="preserve">وثيقة استلام البضاعة</w:t>
            </w:r>
          </w:p>
        </w:tc>
      </w:tr>
      <w:tr>
        <w:tc>
          <w:tcPr>
            <w:tcW w:w="1002495" w:type="dxa"/>
          </w:tcPr>
          <w:p>
            <w:pPr>
              <w:pStyle w:val="Compact"/>
              <w:bidi/>
            </w:pPr>
            <w:r>
              <w:rPr>
                <w:rtl/>
              </w:rPr>
              <w:t xml:space="preserve">وصل الإخراج</w:t>
            </w:r>
          </w:p>
        </w:tc>
        <w:tc>
          <w:tcPr>
            <w:tcW w:w="1032670" w:type="dxa"/>
          </w:tcPr>
          <w:p>
            <w:pPr>
              <w:pStyle w:val="Compact"/>
              <w:bidi/>
            </w:pPr>
            <w:r>
              <w:rPr>
                <w:rtl/>
              </w:rPr>
              <w:t xml:space="preserve">Bon de Sortie</w:t>
            </w:r>
          </w:p>
        </w:tc>
        <w:tc>
          <w:tcPr>
            <w:tcW w:w="1069551" w:type="dxa"/>
          </w:tcPr>
          <w:p>
            <w:pPr>
              <w:pStyle w:val="Compact"/>
              <w:bidi/>
            </w:pPr>
            <w:r>
              <w:rPr>
                <w:rtl/>
              </w:rPr>
              <w:t xml:space="preserve">Issue Note</w:t>
            </w:r>
          </w:p>
        </w:tc>
        <w:tc>
          <w:tcPr>
            <w:tcW w:w="2055282" w:type="dxa"/>
          </w:tcPr>
          <w:p>
            <w:pPr>
              <w:pStyle w:val="Compact"/>
              <w:bidi/>
            </w:pPr>
            <w:r>
              <w:rPr>
                <w:rtl/>
              </w:rPr>
              <w:t xml:space="preserve">وثيقة صرف المواد</w:t>
            </w:r>
          </w:p>
        </w:tc>
      </w:tr>
      <w:tr>
        <w:tc>
          <w:tcPr>
            <w:tcW w:w="1002495" w:type="dxa"/>
          </w:tcPr>
          <w:p>
            <w:pPr>
              <w:pStyle w:val="Compact"/>
              <w:bidi/>
            </w:pPr>
            <w:r>
              <w:rPr>
                <w:rtl/>
              </w:rPr>
              <w:t xml:space="preserve">طلب الشراء</w:t>
            </w:r>
          </w:p>
        </w:tc>
        <w:tc>
          <w:tcPr>
            <w:tcW w:w="1032670" w:type="dxa"/>
          </w:tcPr>
          <w:p>
            <w:pPr>
              <w:pStyle w:val="Compact"/>
              <w:bidi/>
            </w:pPr>
            <w:r>
              <w:rPr>
                <w:rtl/>
              </w:rPr>
              <w:t xml:space="preserve">Demande d’Achat</w:t>
            </w:r>
          </w:p>
        </w:tc>
        <w:tc>
          <w:tcPr>
            <w:tcW w:w="1069551" w:type="dxa"/>
          </w:tcPr>
          <w:p>
            <w:pPr>
              <w:pStyle w:val="Compact"/>
              <w:bidi/>
            </w:pPr>
            <w:r>
              <w:rPr>
                <w:rtl/>
              </w:rPr>
              <w:t xml:space="preserve">Purchase Request</w:t>
            </w:r>
          </w:p>
        </w:tc>
        <w:tc>
          <w:tcPr>
            <w:tcW w:w="2055282" w:type="dxa"/>
          </w:tcPr>
          <w:p>
            <w:pPr>
              <w:pStyle w:val="Compact"/>
              <w:bidi/>
            </w:pPr>
            <w:r>
              <w:rPr>
                <w:rtl/>
              </w:rPr>
              <w:t xml:space="preserve">طلب داخلي للشراء</w:t>
            </w:r>
          </w:p>
        </w:tc>
      </w:tr>
      <w:tr>
        <w:tc>
          <w:tcPr>
            <w:tcW w:w="1002495" w:type="dxa"/>
          </w:tcPr>
          <w:p>
            <w:pPr>
              <w:pStyle w:val="Compact"/>
              <w:bidi/>
            </w:pPr>
            <w:r>
              <w:rPr>
                <w:rtl/>
              </w:rPr>
              <w:t xml:space="preserve">الدورة المستندية</w:t>
            </w:r>
          </w:p>
        </w:tc>
        <w:tc>
          <w:tcPr>
            <w:tcW w:w="1032670" w:type="dxa"/>
          </w:tcPr>
          <w:p>
            <w:pPr>
              <w:pStyle w:val="Compact"/>
              <w:bidi/>
            </w:pPr>
            <w:r>
              <w:rPr>
                <w:rtl/>
              </w:rPr>
              <w:t xml:space="preserve">Circuit documentaire</w:t>
            </w:r>
          </w:p>
        </w:tc>
        <w:tc>
          <w:tcPr>
            <w:tcW w:w="1069551" w:type="dxa"/>
          </w:tcPr>
          <w:p>
            <w:pPr>
              <w:pStyle w:val="Compact"/>
              <w:bidi/>
            </w:pPr>
            <w:r>
              <w:rPr>
                <w:rtl/>
              </w:rPr>
              <w:t xml:space="preserve">Documentary Cycle</w:t>
            </w:r>
          </w:p>
        </w:tc>
        <w:tc>
          <w:tcPr>
            <w:tcW w:w="2055282" w:type="dxa"/>
          </w:tcPr>
          <w:p>
            <w:pPr>
              <w:pStyle w:val="Compact"/>
              <w:bidi/>
            </w:pPr>
            <w:r>
              <w:rPr>
                <w:rtl/>
              </w:rPr>
              <w:t xml:space="preserve">سلسلة الوثائق المترابطة</w:t>
            </w:r>
          </w:p>
        </w:tc>
      </w:tr>
      <w:tr>
        <w:tc>
          <w:tcPr>
            <w:tcW w:w="1002495" w:type="dxa"/>
          </w:tcPr>
          <w:p>
            <w:pPr>
              <w:pStyle w:val="Compact"/>
              <w:bidi/>
            </w:pPr>
            <w:r>
              <w:rPr>
                <w:rtl/>
              </w:rPr>
              <w:t xml:space="preserve">الرصيد الدفتري</w:t>
            </w:r>
          </w:p>
        </w:tc>
        <w:tc>
          <w:tcPr>
            <w:tcW w:w="1032670" w:type="dxa"/>
          </w:tcPr>
          <w:p>
            <w:pPr>
              <w:pStyle w:val="Compact"/>
              <w:bidi/>
            </w:pPr>
            <w:r>
              <w:rPr>
                <w:rtl/>
              </w:rPr>
              <w:t xml:space="preserve">Solde comptable</w:t>
            </w:r>
          </w:p>
        </w:tc>
        <w:tc>
          <w:tcPr>
            <w:tcW w:w="1069551" w:type="dxa"/>
          </w:tcPr>
          <w:p>
            <w:pPr>
              <w:pStyle w:val="Compact"/>
              <w:bidi/>
            </w:pPr>
            <w:r>
              <w:rPr>
                <w:rtl/>
              </w:rPr>
              <w:t xml:space="preserve">Book Balance</w:t>
            </w:r>
          </w:p>
        </w:tc>
        <w:tc>
          <w:tcPr>
            <w:tcW w:w="2055282" w:type="dxa"/>
          </w:tcPr>
          <w:p>
            <w:pPr>
              <w:pStyle w:val="Compact"/>
              <w:bidi/>
            </w:pPr>
            <w:r>
              <w:rPr>
                <w:rtl/>
              </w:rPr>
              <w:t xml:space="preserve">الرصيد في السجلات المحاسبية</w:t>
            </w:r>
          </w:p>
        </w:tc>
      </w:tr>
      <w:tr>
        <w:tc>
          <w:tcPr>
            <w:tcW w:w="1002495" w:type="dxa"/>
          </w:tcPr>
          <w:p>
            <w:pPr>
              <w:pStyle w:val="Compact"/>
              <w:bidi/>
            </w:pPr>
            <w:r>
              <w:rPr>
                <w:rtl/>
              </w:rPr>
              <w:t xml:space="preserve">الرصيد الفعلي</w:t>
            </w:r>
          </w:p>
        </w:tc>
        <w:tc>
          <w:tcPr>
            <w:tcW w:w="1032670" w:type="dxa"/>
          </w:tcPr>
          <w:p>
            <w:pPr>
              <w:pStyle w:val="Compact"/>
              <w:bidi/>
            </w:pPr>
            <w:r>
              <w:rPr>
                <w:rtl/>
              </w:rPr>
              <w:t xml:space="preserve">Solde physique</w:t>
            </w:r>
          </w:p>
        </w:tc>
        <w:tc>
          <w:tcPr>
            <w:tcW w:w="1069551" w:type="dxa"/>
          </w:tcPr>
          <w:p>
            <w:pPr>
              <w:pStyle w:val="Compact"/>
              <w:bidi/>
            </w:pPr>
            <w:r>
              <w:rPr>
                <w:rtl/>
              </w:rPr>
              <w:t xml:space="preserve">Physical Balance</w:t>
            </w:r>
          </w:p>
        </w:tc>
        <w:tc>
          <w:tcPr>
            <w:tcW w:w="2055282" w:type="dxa"/>
          </w:tcPr>
          <w:p>
            <w:pPr>
              <w:pStyle w:val="Compact"/>
              <w:bidi/>
            </w:pPr>
            <w:r>
              <w:rPr>
                <w:rtl/>
              </w:rPr>
              <w:t xml:space="preserve">الرصيد الموجود فعلياً في المستودع</w:t>
            </w:r>
          </w:p>
        </w:tc>
      </w:tr>
      <w:tr>
        <w:tc>
          <w:tcPr>
            <w:tcW w:w="1002495" w:type="dxa"/>
          </w:tcPr>
          <w:p>
            <w:pPr>
              <w:pStyle w:val="Compact"/>
              <w:bidi/>
            </w:pPr>
            <w:r>
              <w:rPr>
                <w:rtl/>
              </w:rPr>
              <w:t xml:space="preserve">أرصدة وهمية</w:t>
            </w:r>
          </w:p>
        </w:tc>
        <w:tc>
          <w:tcPr>
            <w:tcW w:w="1032670" w:type="dxa"/>
          </w:tcPr>
          <w:p>
            <w:pPr>
              <w:pStyle w:val="Compact"/>
              <w:bidi/>
            </w:pPr>
            <w:r>
              <w:rPr>
                <w:rtl/>
              </w:rPr>
              <w:t xml:space="preserve">Stocks fantômes</w:t>
            </w:r>
          </w:p>
        </w:tc>
        <w:tc>
          <w:tcPr>
            <w:tcW w:w="1069551" w:type="dxa"/>
          </w:tcPr>
          <w:p>
            <w:pPr>
              <w:pStyle w:val="Compact"/>
              <w:bidi/>
            </w:pPr>
            <w:r>
              <w:rPr>
                <w:rtl/>
              </w:rPr>
              <w:t xml:space="preserve">Phantom Stocks</w:t>
            </w:r>
          </w:p>
        </w:tc>
        <w:tc>
          <w:tcPr>
            <w:tcW w:w="2055282" w:type="dxa"/>
          </w:tcPr>
          <w:p>
            <w:pPr>
              <w:pStyle w:val="Compact"/>
              <w:bidi/>
            </w:pPr>
            <w:r>
              <w:rPr>
                <w:rtl/>
              </w:rPr>
              <w:t xml:space="preserve">رصيد وهمي غير موجود فعلياً</w:t>
            </w:r>
          </w:p>
        </w:tc>
      </w:tr>
      <w:tr>
        <w:tc>
          <w:tcPr>
            <w:tcW w:w="1002495" w:type="dxa"/>
          </w:tcPr>
          <w:p>
            <w:pPr>
              <w:pStyle w:val="Compact"/>
              <w:bidi/>
            </w:pPr>
            <w:r>
              <w:rPr>
                <w:rtl/>
              </w:rPr>
              <w:t xml:space="preserve">نفاد المخزون</w:t>
            </w:r>
          </w:p>
        </w:tc>
        <w:tc>
          <w:tcPr>
            <w:tcW w:w="1032670" w:type="dxa"/>
          </w:tcPr>
          <w:p>
            <w:pPr>
              <w:pStyle w:val="Compact"/>
              <w:bidi/>
            </w:pPr>
            <w:r>
              <w:rPr>
                <w:rtl/>
              </w:rPr>
              <w:t xml:space="preserve">Rupture de stock</w:t>
            </w:r>
          </w:p>
        </w:tc>
        <w:tc>
          <w:tcPr>
            <w:tcW w:w="1069551" w:type="dxa"/>
          </w:tcPr>
          <w:p>
            <w:pPr>
              <w:pStyle w:val="Compact"/>
              <w:bidi/>
            </w:pPr>
            <w:r>
              <w:rPr>
                <w:rtl/>
              </w:rPr>
              <w:t xml:space="preserve">Stockout</w:t>
            </w:r>
          </w:p>
        </w:tc>
        <w:tc>
          <w:tcPr>
            <w:tcW w:w="2055282" w:type="dxa"/>
          </w:tcPr>
          <w:p>
            <w:pPr>
              <w:pStyle w:val="Compact"/>
              <w:bidi/>
            </w:pPr>
            <w:r>
              <w:rPr>
                <w:rtl/>
              </w:rPr>
              <w:t xml:space="preserve">عدم توفر المادة</w:t>
            </w:r>
          </w:p>
        </w:tc>
      </w:tr>
      <w:tr>
        <w:tc>
          <w:tcPr>
            <w:tcW w:w="1002495" w:type="dxa"/>
          </w:tcPr>
          <w:p>
            <w:pPr>
              <w:pStyle w:val="Compact"/>
              <w:bidi/>
            </w:pPr>
            <w:r>
              <w:rPr>
                <w:rtl/>
              </w:rPr>
              <w:t xml:space="preserve">أجل التسليم</w:t>
            </w:r>
          </w:p>
        </w:tc>
        <w:tc>
          <w:tcPr>
            <w:tcW w:w="1032670" w:type="dxa"/>
          </w:tcPr>
          <w:p>
            <w:pPr>
              <w:pStyle w:val="Compact"/>
              <w:bidi/>
            </w:pPr>
            <w:r>
              <w:rPr>
                <w:rtl/>
              </w:rPr>
              <w:t xml:space="preserve">Délai de livraison</w:t>
            </w:r>
          </w:p>
        </w:tc>
        <w:tc>
          <w:tcPr>
            <w:tcW w:w="1069551" w:type="dxa"/>
          </w:tcPr>
          <w:p>
            <w:pPr>
              <w:pStyle w:val="Compact"/>
              <w:bidi/>
            </w:pPr>
            <w:r>
              <w:rPr>
                <w:rtl/>
              </w:rPr>
              <w:t xml:space="preserve">Lead Time</w:t>
            </w:r>
          </w:p>
        </w:tc>
        <w:tc>
          <w:tcPr>
            <w:tcW w:w="2055282" w:type="dxa"/>
          </w:tcPr>
          <w:p>
            <w:pPr>
              <w:pStyle w:val="Compact"/>
              <w:bidi/>
            </w:pPr>
            <w:r>
              <w:rPr>
                <w:rtl/>
              </w:rPr>
              <w:t xml:space="preserve">مدة التوريد</w:t>
            </w:r>
          </w:p>
        </w:tc>
      </w:tr>
      <w:tr>
        <w:tc>
          <w:tcPr>
            <w:tcW w:w="1002495" w:type="dxa"/>
          </w:tcPr>
          <w:p>
            <w:pPr>
              <w:pStyle w:val="Compact"/>
              <w:bidi/>
            </w:pPr>
            <w:r>
              <w:rPr>
                <w:rtl/>
              </w:rPr>
              <w:t xml:space="preserve">الطلب السنوي</w:t>
            </w:r>
          </w:p>
        </w:tc>
        <w:tc>
          <w:tcPr>
            <w:tcW w:w="1032670" w:type="dxa"/>
          </w:tcPr>
          <w:p>
            <w:pPr>
              <w:pStyle w:val="Compact"/>
              <w:bidi/>
            </w:pPr>
            <w:r>
              <w:rPr>
                <w:rtl/>
              </w:rPr>
              <w:t xml:space="preserve">Demande annuelle</w:t>
            </w:r>
          </w:p>
        </w:tc>
        <w:tc>
          <w:tcPr>
            <w:tcW w:w="1069551" w:type="dxa"/>
          </w:tcPr>
          <w:p>
            <w:pPr>
              <w:pStyle w:val="Compact"/>
              <w:bidi/>
            </w:pPr>
            <w:r>
              <w:rPr>
                <w:rtl/>
              </w:rPr>
              <w:t xml:space="preserve">Annual Demand</w:t>
            </w:r>
          </w:p>
        </w:tc>
        <w:tc>
          <w:tcPr>
            <w:tcW w:w="2055282" w:type="dxa"/>
          </w:tcPr>
          <w:p>
            <w:pPr>
              <w:pStyle w:val="Compact"/>
              <w:bidi/>
            </w:pPr>
            <w:r>
              <w:rPr>
                <w:rtl/>
              </w:rPr>
              <w:t xml:space="preserve">الاستهلاك السنوي</w:t>
            </w:r>
          </w:p>
        </w:tc>
      </w:tr>
      <w:tr>
        <w:tc>
          <w:tcPr>
            <w:tcW w:w="1002495" w:type="dxa"/>
          </w:tcPr>
          <w:p>
            <w:pPr>
              <w:pStyle w:val="Compact"/>
              <w:bidi/>
            </w:pPr>
            <w:r>
              <w:rPr>
                <w:rtl/>
              </w:rPr>
              <w:t xml:space="preserve">معامل التباين</w:t>
            </w:r>
          </w:p>
        </w:tc>
        <w:tc>
          <w:tcPr>
            <w:tcW w:w="1032670" w:type="dxa"/>
          </w:tcPr>
          <w:p>
            <w:pPr>
              <w:pStyle w:val="Compact"/>
              <w:bidi/>
            </w:pPr>
            <w:r>
              <w:rPr>
                <w:rtl/>
              </w:rPr>
              <w:t xml:space="preserve">Coefficient de variation</w:t>
            </w:r>
          </w:p>
        </w:tc>
        <w:tc>
          <w:tcPr>
            <w:tcW w:w="1069551" w:type="dxa"/>
          </w:tcPr>
          <w:p>
            <w:pPr>
              <w:pStyle w:val="Compact"/>
              <w:bidi/>
            </w:pPr>
            <w:r>
              <w:rPr>
                <w:rtl/>
              </w:rPr>
              <w:t xml:space="preserve">Coefficient of Variation</w:t>
            </w:r>
          </w:p>
        </w:tc>
        <w:tc>
          <w:tcPr>
            <w:tcW w:w="2055282" w:type="dxa"/>
          </w:tcPr>
          <w:p>
            <w:pPr>
              <w:pStyle w:val="Compact"/>
              <w:bidi/>
            </w:pPr>
            <w:r>
              <w:rPr>
                <w:rtl/>
              </w:rPr>
              <w:t xml:space="preserve">مقياس التقلب</w:t>
            </w:r>
          </w:p>
        </w:tc>
      </w:tr>
      <w:tr>
        <w:tc>
          <w:tcPr>
            <w:tcW w:w="1002495" w:type="dxa"/>
          </w:tcPr>
          <w:p>
            <w:pPr>
              <w:pStyle w:val="Compact"/>
              <w:bidi/>
            </w:pPr>
            <w:r>
              <w:rPr>
                <w:rtl/>
              </w:rPr>
              <w:t xml:space="preserve">حامل التكاليف</w:t>
            </w:r>
          </w:p>
        </w:tc>
        <w:tc>
          <w:tcPr>
            <w:tcW w:w="1032670" w:type="dxa"/>
          </w:tcPr>
          <w:p>
            <w:pPr>
              <w:pStyle w:val="Compact"/>
              <w:bidi/>
            </w:pPr>
            <w:r>
              <w:rPr>
                <w:rtl/>
              </w:rPr>
              <w:t xml:space="preserve">Coût de possession</w:t>
            </w:r>
          </w:p>
        </w:tc>
        <w:tc>
          <w:tcPr>
            <w:tcW w:w="1069551" w:type="dxa"/>
          </w:tcPr>
          <w:p>
            <w:pPr>
              <w:pStyle w:val="Compact"/>
              <w:bidi/>
            </w:pPr>
            <w:r>
              <w:rPr>
                <w:rtl/>
              </w:rPr>
              <w:t xml:space="preserve">Holding Cost</w:t>
            </w:r>
          </w:p>
        </w:tc>
        <w:tc>
          <w:tcPr>
            <w:tcW w:w="2055282" w:type="dxa"/>
          </w:tcPr>
          <w:p>
            <w:pPr>
              <w:pStyle w:val="Compact"/>
              <w:bidi/>
            </w:pPr>
            <w:r>
              <w:rPr>
                <w:rtl/>
              </w:rPr>
              <w:t xml:space="preserve">تكلفة التخزين</w:t>
            </w:r>
          </w:p>
        </w:tc>
      </w:tr>
      <w:tr>
        <w:tc>
          <w:tcPr>
            <w:tcW w:w="1002495" w:type="dxa"/>
          </w:tcPr>
          <w:p>
            <w:pPr>
              <w:pStyle w:val="Compact"/>
              <w:bidi/>
            </w:pPr>
            <w:r>
              <w:rPr>
                <w:rtl/>
              </w:rPr>
              <w:t xml:space="preserve">تكلفة الطلبية</w:t>
            </w:r>
          </w:p>
        </w:tc>
        <w:tc>
          <w:tcPr>
            <w:tcW w:w="1032670" w:type="dxa"/>
          </w:tcPr>
          <w:p>
            <w:pPr>
              <w:pStyle w:val="Compact"/>
              <w:bidi/>
            </w:pPr>
            <w:r>
              <w:rPr>
                <w:rtl/>
              </w:rPr>
              <w:t xml:space="preserve">Coût de commande</w:t>
            </w:r>
          </w:p>
        </w:tc>
        <w:tc>
          <w:tcPr>
            <w:tcW w:w="1069551" w:type="dxa"/>
          </w:tcPr>
          <w:p>
            <w:pPr>
              <w:pStyle w:val="Compact"/>
              <w:bidi/>
            </w:pPr>
            <w:r>
              <w:rPr>
                <w:rtl/>
              </w:rPr>
              <w:t xml:space="preserve">Ordering Cost</w:t>
            </w:r>
          </w:p>
        </w:tc>
        <w:tc>
          <w:tcPr>
            <w:tcW w:w="2055282" w:type="dxa"/>
          </w:tcPr>
          <w:p>
            <w:pPr>
              <w:pStyle w:val="Compact"/>
              <w:bidi/>
            </w:pPr>
            <w:r>
              <w:rPr>
                <w:rtl/>
              </w:rPr>
              <w:t xml:space="preserve">تكلفة تقديم الطلب</w:t>
            </w:r>
          </w:p>
        </w:tc>
      </w:tr>
      <w:tr>
        <w:tc>
          <w:tcPr>
            <w:tcW w:w="1002495" w:type="dxa"/>
          </w:tcPr>
          <w:p>
            <w:pPr>
              <w:pStyle w:val="Compact"/>
              <w:bidi/>
            </w:pPr>
            <w:r>
              <w:rPr>
                <w:rtl/>
              </w:rPr>
              <w:t xml:space="preserve">القيمة المخزنية</w:t>
            </w:r>
          </w:p>
        </w:tc>
        <w:tc>
          <w:tcPr>
            <w:tcW w:w="1032670" w:type="dxa"/>
          </w:tcPr>
          <w:p>
            <w:pPr>
              <w:pStyle w:val="Compact"/>
              <w:bidi/>
            </w:pPr>
            <w:r>
              <w:rPr>
                <w:rtl/>
              </w:rPr>
              <w:t xml:space="preserve">Valeur du stock</w:t>
            </w:r>
          </w:p>
        </w:tc>
        <w:tc>
          <w:tcPr>
            <w:tcW w:w="1069551" w:type="dxa"/>
          </w:tcPr>
          <w:p>
            <w:pPr>
              <w:pStyle w:val="Compact"/>
              <w:bidi/>
            </w:pPr>
            <w:r>
              <w:rPr>
                <w:rtl/>
              </w:rPr>
              <w:t xml:space="preserve">Inventory Value</w:t>
            </w:r>
          </w:p>
        </w:tc>
        <w:tc>
          <w:tcPr>
            <w:tcW w:w="2055282" w:type="dxa"/>
          </w:tcPr>
          <w:p>
            <w:pPr>
              <w:pStyle w:val="Compact"/>
              <w:bidi/>
            </w:pPr>
            <w:r>
              <w:rPr>
                <w:rtl/>
              </w:rPr>
              <w:t xml:space="preserve">القيمة المالية للمخزون</w:t>
            </w:r>
          </w:p>
        </w:tc>
      </w:tr>
    </w:tbl>
    <w:bookmarkEnd w:id="154"/>
    <w:bookmarkStart w:id="159" w:name="مصطلحات-تقنية-النظام"/>
    <w:p>
      <w:pPr>
        <w:pStyle w:val="Heading2"/>
        <w:bidi/>
        <w:sectPr>
          <w:pgNumType w:fmt="decimal" w:start="1"/>
          <w:footnotePr>
            <w:numRestart w:val="eachSect"/>
          </w:footnotePr>
          <w:pgSz w:h="16838" w:w="11906"/>
          <w:pgMar w:bottom="1417" w:left="1417" w:right="1417" w:top="1417"/>
        </w:sectPr>
      </w:pPr>
      <w:r>
        <w:rPr>
          <w:b/>
          <w:sz w:val="36"/>
          <w:rtl/>
        </w:rPr>
        <w:t xml:space="preserve">مصطلحات تقنية النظام</w:t>
      </w:r>
      <w:r>
        <w:rPr>
          <w:b/>
          <w:sz w:val="36"/>
          <w:rtl/>
        </w:rPr>
        <w:t xml:space="preserve"> </w:t>
      </w:r>
      <w:r>
        <w:rPr>
          <w:rStyle w:val="FootnoteReference"/>
          <w:b/>
          <w:sz w:val="36"/>
        </w:rPr>
        <w:footnoteReference w:id="155"/>
      </w:r>
      <w:r>
        <w:rPr>
          <w:b/>
          <w:sz w:val="36"/>
          <w:rtl/>
        </w:rPr>
        <w:t xml:space="preserve"> </w:t>
      </w:r>
      <w:r>
        <w:rPr>
          <w:rStyle w:val="FootnoteReference"/>
          <w:b/>
          <w:sz w:val="36"/>
        </w:rPr>
        <w:footnoteReference w:id="156"/>
      </w:r>
      <w:r>
        <w:rPr>
          <w:b/>
          <w:sz w:val="36"/>
          <w:rtl/>
        </w:rPr>
        <w:t xml:space="preserve"> </w:t>
      </w:r>
      <w:r>
        <w:rPr>
          <w:rStyle w:val="FootnoteReference"/>
          <w:b/>
          <w:sz w:val="36"/>
        </w:rPr>
        <w:footnoteReference w:id="157"/>
      </w:r>
      <w:r>
        <w:rPr>
          <w:b/>
          <w:sz w:val="36"/>
          <w:rtl/>
        </w:rPr>
        <w:t xml:space="preserve"> </w:t>
      </w:r>
      <w:r>
        <w:rPr>
          <w:rStyle w:val="FootnoteReference"/>
          <w:b/>
          <w:sz w:val="36"/>
        </w:rPr>
        <w:footnoteReference w:id="158"/>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pPr>
            <w:r>
              <w:rPr>
                <w:rtl/>
              </w:rPr>
              <w:t xml:space="preserve">العربية</w:t>
            </w:r>
          </w:p>
        </w:tc>
        <w:tc>
          <w:tcPr>
            <w:tcW w:w="1086563" w:type="dxa"/>
          </w:tcPr>
          <w:p>
            <w:pPr>
              <w:pStyle w:val="Compact"/>
              <w:bidi/>
            </w:pPr>
            <w:r>
              <w:rPr>
                <w:rtl/>
              </w:rPr>
              <w:t xml:space="preserve">الفرنسية</w:t>
            </w:r>
          </w:p>
        </w:tc>
        <w:tc>
          <w:tcPr>
            <w:tcW w:w="879598" w:type="dxa"/>
          </w:tcPr>
          <w:p>
            <w:pPr>
              <w:pStyle w:val="Compact"/>
              <w:bidi/>
            </w:pPr>
            <w:r>
              <w:rPr>
                <w:rtl/>
              </w:rPr>
              <w:t xml:space="preserve">الإنجليزية</w:t>
            </w:r>
          </w:p>
        </w:tc>
        <w:tc>
          <w:tcPr>
            <w:tcW w:w="1872087" w:type="dxa"/>
          </w:tcPr>
          <w:p>
            <w:pPr>
              <w:pStyle w:val="Compact"/>
              <w:bidi/>
            </w:pPr>
            <w:r>
              <w:rPr>
                <w:rtl/>
              </w:rPr>
              <w:t xml:space="preserve">التعريف</w:t>
            </w:r>
          </w:p>
        </w:tc>
      </w:tr>
      <w:tr>
        <w:tc>
          <w:tcPr>
            <w:tcW w:w="1321750" w:type="dxa"/>
          </w:tcPr>
          <w:p>
            <w:pPr>
              <w:pStyle w:val="Compact"/>
              <w:bidi/>
            </w:pPr>
            <w:r>
              <w:rPr>
                <w:rtl/>
              </w:rPr>
              <w:t xml:space="preserve">Excel VBA</w:t>
            </w:r>
          </w:p>
        </w:tc>
        <w:tc>
          <w:tcPr>
            <w:tcW w:w="1086563" w:type="dxa"/>
          </w:tcPr>
          <w:p>
            <w:pPr>
              <w:pStyle w:val="Compact"/>
              <w:bidi/>
            </w:pPr>
            <w:r>
              <w:rPr>
                <w:rtl/>
              </w:rPr>
              <w:t xml:space="preserve">Excel VBA</w:t>
            </w:r>
          </w:p>
        </w:tc>
        <w:tc>
          <w:tcPr>
            <w:tcW w:w="879598" w:type="dxa"/>
          </w:tcPr>
          <w:p>
            <w:pPr>
              <w:pStyle w:val="Compact"/>
              <w:bidi/>
            </w:pPr>
            <w:r>
              <w:rPr>
                <w:rtl/>
              </w:rPr>
              <w:t xml:space="preserve">Excel VBA</w:t>
            </w:r>
          </w:p>
        </w:tc>
        <w:tc>
          <w:tcPr>
            <w:tcW w:w="1872087" w:type="dxa"/>
          </w:tcPr>
          <w:p>
            <w:pPr>
              <w:pStyle w:val="Compact"/>
              <w:bidi/>
            </w:pPr>
            <w:r>
              <w:rPr>
                <w:rtl/>
              </w:rPr>
              <w:t xml:space="preserve">لغة البرمجة في Excel</w:t>
            </w:r>
          </w:p>
        </w:tc>
      </w:tr>
      <w:tr>
        <w:tc>
          <w:tcPr>
            <w:tcW w:w="1321750" w:type="dxa"/>
          </w:tcPr>
          <w:p>
            <w:pPr>
              <w:pStyle w:val="Compact"/>
              <w:bidi/>
            </w:pPr>
            <w:r>
              <w:rPr>
                <w:rtl/>
              </w:rPr>
              <w:t xml:space="preserve">محرك المعالجة</w:t>
            </w:r>
          </w:p>
        </w:tc>
        <w:tc>
          <w:tcPr>
            <w:tcW w:w="1086563" w:type="dxa"/>
          </w:tcPr>
          <w:p>
            <w:pPr>
              <w:pStyle w:val="Compact"/>
              <w:bidi/>
            </w:pPr>
            <w:r>
              <w:rPr>
                <w:rtl/>
              </w:rPr>
              <w:t xml:space="preserve">Moteur de traitement</w:t>
            </w:r>
          </w:p>
        </w:tc>
        <w:tc>
          <w:tcPr>
            <w:tcW w:w="879598" w:type="dxa"/>
          </w:tcPr>
          <w:p>
            <w:pPr>
              <w:pStyle w:val="Compact"/>
              <w:bidi/>
            </w:pPr>
            <w:r>
              <w:rPr>
                <w:rtl/>
              </w:rPr>
              <w:t xml:space="preserve">Processing Engine</w:t>
            </w:r>
          </w:p>
        </w:tc>
        <w:tc>
          <w:tcPr>
            <w:tcW w:w="1872087" w:type="dxa"/>
          </w:tcPr>
          <w:p>
            <w:pPr>
              <w:pStyle w:val="Compact"/>
              <w:bidi/>
            </w:pPr>
            <w:r>
              <w:rPr>
                <w:rtl/>
              </w:rPr>
              <w:t xml:space="preserve">وحدة المعالجة الخلفية</w:t>
            </w:r>
          </w:p>
        </w:tc>
      </w:tr>
      <w:tr>
        <w:tc>
          <w:tcPr>
            <w:tcW w:w="1321750" w:type="dxa"/>
          </w:tcPr>
          <w:p>
            <w:pPr>
              <w:pStyle w:val="Compact"/>
              <w:bidi/>
            </w:pPr>
            <w:r>
              <w:rPr>
                <w:rtl/>
              </w:rPr>
              <w:t xml:space="preserve">واجهة المستخدم</w:t>
            </w:r>
          </w:p>
        </w:tc>
        <w:tc>
          <w:tcPr>
            <w:tcW w:w="1086563" w:type="dxa"/>
          </w:tcPr>
          <w:p>
            <w:pPr>
              <w:pStyle w:val="Compact"/>
              <w:bidi/>
            </w:pPr>
            <w:r>
              <w:rPr>
                <w:rtl/>
              </w:rPr>
              <w:t xml:space="preserve">Interface utilisateur</w:t>
            </w:r>
          </w:p>
        </w:tc>
        <w:tc>
          <w:tcPr>
            <w:tcW w:w="879598" w:type="dxa"/>
          </w:tcPr>
          <w:p>
            <w:pPr>
              <w:pStyle w:val="Compact"/>
              <w:bidi/>
            </w:pPr>
            <w:r>
              <w:rPr>
                <w:rtl/>
              </w:rPr>
              <w:t xml:space="preserve">User Interface</w:t>
            </w:r>
          </w:p>
        </w:tc>
        <w:tc>
          <w:tcPr>
            <w:tcW w:w="1872087" w:type="dxa"/>
          </w:tcPr>
          <w:p>
            <w:pPr>
              <w:pStyle w:val="Compact"/>
              <w:bidi/>
            </w:pPr>
            <w:r>
              <w:rPr>
                <w:rtl/>
              </w:rPr>
              <w:t xml:space="preserve">شاشة التفاعل</w:t>
            </w:r>
          </w:p>
        </w:tc>
      </w:tr>
      <w:tr>
        <w:tc>
          <w:tcPr>
            <w:tcW w:w="1321750" w:type="dxa"/>
          </w:tcPr>
          <w:p>
            <w:pPr>
              <w:pStyle w:val="Compact"/>
              <w:bidi/>
            </w:pPr>
            <w:r>
              <w:rPr>
                <w:rtl/>
              </w:rPr>
              <w:t xml:space="preserve">الحراسة المزدوجة</w:t>
            </w:r>
          </w:p>
        </w:tc>
        <w:tc>
          <w:tcPr>
            <w:tcW w:w="1086563" w:type="dxa"/>
          </w:tcPr>
          <w:p>
            <w:pPr>
              <w:pStyle w:val="Compact"/>
              <w:bidi/>
            </w:pPr>
            <w:r>
              <w:rPr>
                <w:rtl/>
              </w:rPr>
              <w:t xml:space="preserve">Double garde</w:t>
            </w:r>
          </w:p>
        </w:tc>
        <w:tc>
          <w:tcPr>
            <w:tcW w:w="879598" w:type="dxa"/>
          </w:tcPr>
          <w:p>
            <w:pPr>
              <w:pStyle w:val="Compact"/>
              <w:bidi/>
            </w:pPr>
            <w:r>
              <w:rPr>
                <w:rtl/>
              </w:rPr>
              <w:t xml:space="preserve">Dual-Guard</w:t>
            </w:r>
          </w:p>
        </w:tc>
        <w:tc>
          <w:tcPr>
            <w:tcW w:w="1872087" w:type="dxa"/>
          </w:tcPr>
          <w:p>
            <w:pPr>
              <w:pStyle w:val="Compact"/>
              <w:bidi/>
            </w:pPr>
            <w:r>
              <w:rPr>
                <w:rtl/>
              </w:rPr>
              <w:t xml:space="preserve">نظام حماية مزدوج</w:t>
            </w:r>
          </w:p>
        </w:tc>
      </w:tr>
      <w:tr>
        <w:tc>
          <w:tcPr>
            <w:tcW w:w="1321750" w:type="dxa"/>
          </w:tcPr>
          <w:p>
            <w:pPr>
              <w:pStyle w:val="Compact"/>
              <w:bidi/>
            </w:pPr>
            <w:r>
              <w:rPr>
                <w:rtl/>
              </w:rPr>
              <w:t xml:space="preserve">التنبيه الآلي</w:t>
            </w:r>
          </w:p>
        </w:tc>
        <w:tc>
          <w:tcPr>
            <w:tcW w:w="1086563" w:type="dxa"/>
          </w:tcPr>
          <w:p>
            <w:pPr>
              <w:pStyle w:val="Compact"/>
              <w:bidi/>
            </w:pPr>
            <w:r>
              <w:rPr>
                <w:rtl/>
              </w:rPr>
              <w:t xml:space="preserve">Alerte automatique</w:t>
            </w:r>
          </w:p>
        </w:tc>
        <w:tc>
          <w:tcPr>
            <w:tcW w:w="879598" w:type="dxa"/>
          </w:tcPr>
          <w:p>
            <w:pPr>
              <w:pStyle w:val="Compact"/>
              <w:bidi/>
            </w:pPr>
            <w:r>
              <w:rPr>
                <w:rtl/>
              </w:rPr>
              <w:t xml:space="preserve">Automatic Alert</w:t>
            </w:r>
          </w:p>
        </w:tc>
        <w:tc>
          <w:tcPr>
            <w:tcW w:w="1872087" w:type="dxa"/>
          </w:tcPr>
          <w:p>
            <w:pPr>
              <w:pStyle w:val="Compact"/>
              <w:bidi/>
            </w:pPr>
            <w:r>
              <w:rPr>
                <w:rtl/>
              </w:rPr>
              <w:t xml:space="preserve">إشعار النظام</w:t>
            </w:r>
          </w:p>
        </w:tc>
      </w:tr>
      <w:tr>
        <w:tc>
          <w:tcPr>
            <w:tcW w:w="1321750" w:type="dxa"/>
          </w:tcPr>
          <w:p>
            <w:pPr>
              <w:pStyle w:val="Compact"/>
              <w:bidi/>
            </w:pPr>
            <w:r>
              <w:rPr>
                <w:rtl/>
              </w:rPr>
              <w:t xml:space="preserve">الكتابة الذرية</w:t>
            </w:r>
          </w:p>
        </w:tc>
        <w:tc>
          <w:tcPr>
            <w:tcW w:w="1086563" w:type="dxa"/>
          </w:tcPr>
          <w:p>
            <w:pPr>
              <w:pStyle w:val="Compact"/>
              <w:bidi/>
            </w:pPr>
            <w:r>
              <w:rPr>
                <w:rtl/>
              </w:rPr>
              <w:t xml:space="preserve">Écriture atomique</w:t>
            </w:r>
          </w:p>
        </w:tc>
        <w:tc>
          <w:tcPr>
            <w:tcW w:w="879598" w:type="dxa"/>
          </w:tcPr>
          <w:p>
            <w:pPr>
              <w:pStyle w:val="Compact"/>
              <w:bidi/>
            </w:pPr>
            <w:r>
              <w:rPr>
                <w:rtl/>
              </w:rPr>
              <w:t xml:space="preserve">Atomic Write</w:t>
            </w:r>
          </w:p>
        </w:tc>
        <w:tc>
          <w:tcPr>
            <w:tcW w:w="1872087" w:type="dxa"/>
          </w:tcPr>
          <w:p>
            <w:pPr>
              <w:pStyle w:val="Compact"/>
              <w:bidi/>
            </w:pPr>
            <w:r>
              <w:rPr>
                <w:rtl/>
              </w:rPr>
              <w:t xml:space="preserve">كتابة كاملة أو لا شيء</w:t>
            </w:r>
          </w:p>
        </w:tc>
      </w:tr>
      <w:tr>
        <w:tc>
          <w:tcPr>
            <w:tcW w:w="1321750" w:type="dxa"/>
          </w:tcPr>
          <w:p>
            <w:pPr>
              <w:pStyle w:val="Compact"/>
              <w:bidi/>
            </w:pPr>
            <w:r>
              <w:rPr>
                <w:rtl/>
              </w:rPr>
              <w:t xml:space="preserve">التخزين الهجين</w:t>
            </w:r>
          </w:p>
        </w:tc>
        <w:tc>
          <w:tcPr>
            <w:tcW w:w="1086563" w:type="dxa"/>
          </w:tcPr>
          <w:p>
            <w:pPr>
              <w:pStyle w:val="Compact"/>
              <w:bidi/>
            </w:pPr>
            <w:r>
              <w:rPr>
                <w:rtl/>
              </w:rPr>
              <w:t xml:space="preserve">Stockage hybride</w:t>
            </w:r>
          </w:p>
        </w:tc>
        <w:tc>
          <w:tcPr>
            <w:tcW w:w="879598" w:type="dxa"/>
          </w:tcPr>
          <w:p>
            <w:pPr>
              <w:pStyle w:val="Compact"/>
              <w:bidi/>
            </w:pPr>
            <w:r>
              <w:rPr>
                <w:rtl/>
              </w:rPr>
              <w:t xml:space="preserve">Hybrid Storage</w:t>
            </w:r>
          </w:p>
        </w:tc>
        <w:tc>
          <w:tcPr>
            <w:tcW w:w="1872087" w:type="dxa"/>
          </w:tcPr>
          <w:p>
            <w:pPr>
              <w:pStyle w:val="Compact"/>
              <w:bidi/>
            </w:pPr>
            <w:r>
              <w:rPr>
                <w:rtl/>
              </w:rPr>
              <w:t xml:space="preserve">تخزين السجل الرقمي + Excel</w:t>
            </w:r>
          </w:p>
        </w:tc>
      </w:tr>
      <w:tr>
        <w:tc>
          <w:tcPr>
            <w:tcW w:w="1321750" w:type="dxa"/>
          </w:tcPr>
          <w:p>
            <w:pPr>
              <w:pStyle w:val="Compact"/>
              <w:bidi/>
            </w:pPr>
            <w:r>
              <w:rPr>
                <w:rtl/>
              </w:rPr>
              <w:t xml:space="preserve">المصفوفة</w:t>
            </w:r>
          </w:p>
        </w:tc>
        <w:tc>
          <w:tcPr>
            <w:tcW w:w="1086563" w:type="dxa"/>
          </w:tcPr>
          <w:p>
            <w:pPr>
              <w:pStyle w:val="Compact"/>
              <w:bidi/>
            </w:pPr>
            <w:r>
              <w:rPr>
                <w:rtl/>
              </w:rPr>
              <w:t xml:space="preserve">Matrice</w:t>
            </w:r>
          </w:p>
        </w:tc>
        <w:tc>
          <w:tcPr>
            <w:tcW w:w="879598" w:type="dxa"/>
          </w:tcPr>
          <w:p>
            <w:pPr>
              <w:pStyle w:val="Compact"/>
              <w:bidi/>
            </w:pPr>
            <w:r>
              <w:rPr>
                <w:rtl/>
              </w:rPr>
              <w:t xml:space="preserve">Matrix</w:t>
            </w:r>
          </w:p>
        </w:tc>
        <w:tc>
          <w:tcPr>
            <w:tcW w:w="1872087" w:type="dxa"/>
          </w:tcPr>
          <w:p>
            <w:pPr>
              <w:pStyle w:val="Compact"/>
              <w:bidi/>
            </w:pPr>
            <w:r>
              <w:rPr>
                <w:rtl/>
              </w:rPr>
              <w:t xml:space="preserve">جدول التصنيف</w:t>
            </w:r>
          </w:p>
        </w:tc>
      </w:tr>
      <w:tr>
        <w:tc>
          <w:tcPr>
            <w:tcW w:w="1321750" w:type="dxa"/>
          </w:tcPr>
          <w:p>
            <w:pPr>
              <w:pStyle w:val="Compact"/>
              <w:bidi/>
            </w:pPr>
            <w:r>
              <w:rPr>
                <w:rtl/>
              </w:rPr>
              <w:t xml:space="preserve">لوحة القيادة</w:t>
            </w:r>
          </w:p>
        </w:tc>
        <w:tc>
          <w:tcPr>
            <w:tcW w:w="1086563" w:type="dxa"/>
          </w:tcPr>
          <w:p>
            <w:pPr>
              <w:pStyle w:val="Compact"/>
              <w:bidi/>
            </w:pPr>
            <w:r>
              <w:rPr>
                <w:rtl/>
              </w:rPr>
              <w:t xml:space="preserve">Tableau de bord</w:t>
            </w:r>
          </w:p>
        </w:tc>
        <w:tc>
          <w:tcPr>
            <w:tcW w:w="879598" w:type="dxa"/>
          </w:tcPr>
          <w:p>
            <w:pPr>
              <w:pStyle w:val="Compact"/>
              <w:bidi/>
            </w:pPr>
            <w:r>
              <w:rPr>
                <w:rtl/>
              </w:rPr>
              <w:t xml:space="preserve">Dashboard</w:t>
            </w:r>
          </w:p>
        </w:tc>
        <w:tc>
          <w:tcPr>
            <w:tcW w:w="1872087" w:type="dxa"/>
          </w:tcPr>
          <w:p>
            <w:pPr>
              <w:pStyle w:val="Compact"/>
              <w:bidi/>
            </w:pPr>
            <w:r>
              <w:rPr>
                <w:rtl/>
              </w:rPr>
              <w:t xml:space="preserve">شاشة المراقبة</w:t>
            </w:r>
          </w:p>
        </w:tc>
      </w:tr>
      <w:tr>
        <w:tc>
          <w:tcPr>
            <w:tcW w:w="1321750" w:type="dxa"/>
          </w:tcPr>
          <w:p>
            <w:pPr>
              <w:pStyle w:val="Compact"/>
              <w:bidi/>
            </w:pPr>
            <w:r>
              <w:rPr>
                <w:rtl/>
              </w:rPr>
              <w:t xml:space="preserve">التصدير</w:t>
            </w:r>
          </w:p>
        </w:tc>
        <w:tc>
          <w:tcPr>
            <w:tcW w:w="1086563" w:type="dxa"/>
          </w:tcPr>
          <w:p>
            <w:pPr>
              <w:pStyle w:val="Compact"/>
              <w:bidi/>
            </w:pPr>
            <w:r>
              <w:rPr>
                <w:rtl/>
              </w:rPr>
              <w:t xml:space="preserve">Export</w:t>
            </w:r>
          </w:p>
        </w:tc>
        <w:tc>
          <w:tcPr>
            <w:tcW w:w="879598" w:type="dxa"/>
          </w:tcPr>
          <w:p>
            <w:pPr>
              <w:pStyle w:val="Compact"/>
              <w:bidi/>
            </w:pPr>
            <w:r>
              <w:rPr>
                <w:rtl/>
              </w:rPr>
              <w:t xml:space="preserve">Export</w:t>
            </w:r>
          </w:p>
        </w:tc>
        <w:tc>
          <w:tcPr>
            <w:tcW w:w="1872087" w:type="dxa"/>
          </w:tcPr>
          <w:p>
            <w:pPr>
              <w:pStyle w:val="Compact"/>
              <w:bidi/>
            </w:pPr>
            <w:r>
              <w:rPr>
                <w:rtl/>
              </w:rPr>
              <w:t xml:space="preserve">استخراج البيانات</w:t>
            </w:r>
          </w:p>
        </w:tc>
      </w:tr>
      <w:tr>
        <w:tc>
          <w:tcPr>
            <w:tcW w:w="1321750" w:type="dxa"/>
          </w:tcPr>
          <w:p>
            <w:pPr>
              <w:pStyle w:val="Compact"/>
              <w:bidi/>
            </w:pPr>
            <w:r>
              <w:rPr>
                <w:rtl/>
              </w:rPr>
              <w:t xml:space="preserve">التتبع</w:t>
            </w:r>
          </w:p>
        </w:tc>
        <w:tc>
          <w:tcPr>
            <w:tcW w:w="1086563" w:type="dxa"/>
          </w:tcPr>
          <w:p>
            <w:pPr>
              <w:pStyle w:val="Compact"/>
              <w:bidi/>
            </w:pPr>
            <w:r>
              <w:rPr>
                <w:rtl/>
              </w:rPr>
              <w:t xml:space="preserve">Traçabilité</w:t>
            </w:r>
          </w:p>
        </w:tc>
        <w:tc>
          <w:tcPr>
            <w:tcW w:w="879598" w:type="dxa"/>
          </w:tcPr>
          <w:p>
            <w:pPr>
              <w:pStyle w:val="Compact"/>
              <w:bidi/>
            </w:pPr>
            <w:r>
              <w:rPr>
                <w:rtl/>
              </w:rPr>
              <w:t xml:space="preserve">Traceability</w:t>
            </w:r>
          </w:p>
        </w:tc>
        <w:tc>
          <w:tcPr>
            <w:tcW w:w="1872087" w:type="dxa"/>
          </w:tcPr>
          <w:p>
            <w:pPr>
              <w:pStyle w:val="Compact"/>
              <w:bidi/>
            </w:pPr>
            <w:r>
              <w:rPr>
                <w:rtl/>
              </w:rPr>
              <w:t xml:space="preserve">تتبع الحركات</w:t>
            </w:r>
          </w:p>
        </w:tc>
      </w:tr>
      <w:tr>
        <w:tc>
          <w:tcPr>
            <w:tcW w:w="1321750" w:type="dxa"/>
          </w:tcPr>
          <w:p>
            <w:pPr>
              <w:pStyle w:val="Compact"/>
              <w:bidi/>
            </w:pPr>
            <w:r>
              <w:rPr>
                <w:rtl/>
              </w:rPr>
              <w:t xml:space="preserve">سجل المراجعة</w:t>
            </w:r>
          </w:p>
        </w:tc>
        <w:tc>
          <w:tcPr>
            <w:tcW w:w="1086563" w:type="dxa"/>
          </w:tcPr>
          <w:p>
            <w:pPr>
              <w:pStyle w:val="Compact"/>
              <w:bidi/>
            </w:pPr>
            <w:r>
              <w:rPr>
                <w:rtl/>
              </w:rPr>
              <w:t xml:space="preserve">Journal d’audit</w:t>
            </w:r>
          </w:p>
        </w:tc>
        <w:tc>
          <w:tcPr>
            <w:tcW w:w="879598" w:type="dxa"/>
          </w:tcPr>
          <w:p>
            <w:pPr>
              <w:pStyle w:val="Compact"/>
              <w:bidi/>
            </w:pPr>
            <w:r>
              <w:rPr>
                <w:rtl/>
              </w:rPr>
              <w:t xml:space="preserve">Audit Trail</w:t>
            </w:r>
          </w:p>
        </w:tc>
        <w:tc>
          <w:tcPr>
            <w:tcW w:w="1872087" w:type="dxa"/>
          </w:tcPr>
          <w:p>
            <w:pPr>
              <w:pStyle w:val="Compact"/>
              <w:bidi/>
            </w:pPr>
            <w:r>
              <w:rPr>
                <w:rtl/>
              </w:rPr>
              <w:t xml:space="preserve">سجل التغييرات</w:t>
            </w:r>
          </w:p>
        </w:tc>
      </w:tr>
    </w:tbl>
    <w:bookmarkEnd w:id="159"/>
    <w:bookmarkEnd w:id="160"/>
    <w:bookmarkStart w:id="184" w:name="الملاحق-annexes"/>
    <w:p>
      <w:pPr>
        <w:pStyle w:val="Heading1"/>
        <w:bidi/>
      </w:pPr>
      <w:r>
        <w:rPr>
          <w:b/>
          <w:sz w:val="44"/>
          <w:rtl/>
        </w:rPr>
        <w:t xml:space="preserve">الملاحق (Annexes)</w:t>
      </w:r>
    </w:p>
    <w:bookmarkStart w:id="161" w:name="الملحق-الأول-هيكل-ملف-النظام"/>
    <w:p>
      <w:pPr>
        <w:pStyle w:val="Heading2"/>
        <w:bidi/>
      </w:pPr>
      <w:r>
        <w:rPr>
          <w:b/>
          <w:sz w:val="36"/>
          <w:rtl/>
        </w:rPr>
        <w:t xml:space="preserve">الملحق الأول: هيكل ملف النظام</w:t>
      </w:r>
    </w:p>
    <w:p>
      <w:pPr>
        <w:bidi/>
        <w:spacing w:line="360" w:lineRule="auto"/>
        <w:jc w:val="right"/>
      </w:pPr>
      <w:r>
        <w:rPr>
          <w:rFonts w:ascii="Traditional Arabic" w:hAnsi="Traditional Arabic"/>
          <w:sz w:val="28"/>
          <w:rtl/>
        </w:rPr>
        <w:t xml:space="preserve">وصف موجز لأوراق العمل الرئيسية في ملف Excel:</w:t>
      </w:r>
      <w:r>
        <w:rPr>
          <w:rFonts w:ascii="Traditional Arabic" w:hAnsi="Traditional Arabic"/>
          <w:sz w:val="28"/>
          <w:rtl/>
        </w:rPr>
        <w:t xml:space="preserve"> </w:t>
      </w:r>
      <w:r>
        <w:rPr>
          <w:rFonts w:ascii="Traditional Arabic" w:hAnsi="Traditional Arabic"/>
          <w:b/>
          <w:bCs/>
          <w:sz w:val="28"/>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pPr>
            <w:r>
              <w:rPr>
                <w:rtl/>
              </w:rPr>
              <w:t xml:space="preserve">ورقة العمل</w:t>
            </w:r>
          </w:p>
        </w:tc>
        <w:tc>
          <w:tcPr>
            <w:tcW w:w="4186981" w:type="dxa"/>
          </w:tcPr>
          <w:p>
            <w:pPr>
              <w:pStyle w:val="Compact"/>
              <w:bidi/>
            </w:pPr>
            <w:r>
              <w:rPr>
                <w:rtl/>
              </w:rPr>
              <w:t xml:space="preserve">الوظيفة</w:t>
            </w:r>
          </w:p>
        </w:tc>
      </w:tr>
      <w:tr>
        <w:tc>
          <w:tcPr>
            <w:tcW w:w="1273018" w:type="dxa"/>
          </w:tcPr>
          <w:p>
            <w:pPr>
              <w:pStyle w:val="Compact"/>
              <w:bidi/>
            </w:pPr>
            <w:r>
              <w:rPr>
                <w:rtl/>
              </w:rPr>
              <w:t xml:space="preserve">dashboard</w:t>
            </w:r>
          </w:p>
        </w:tc>
        <w:tc>
          <w:tcPr>
            <w:tcW w:w="4186981" w:type="dxa"/>
          </w:tcPr>
          <w:p>
            <w:pPr>
              <w:pStyle w:val="Compact"/>
              <w:bidi/>
            </w:pPr>
            <w:r>
              <w:rPr>
                <w:rtl/>
              </w:rPr>
              <w:t xml:space="preserve">لوحة القيادة ورؤية المخزون العامة</w:t>
            </w:r>
          </w:p>
        </w:tc>
      </w:tr>
      <w:tr>
        <w:tc>
          <w:tcPr>
            <w:tcW w:w="1273018" w:type="dxa"/>
          </w:tcPr>
          <w:p>
            <w:pPr>
              <w:pStyle w:val="Compact"/>
              <w:bidi/>
            </w:pPr>
            <w:r>
              <w:rPr>
                <w:rtl/>
              </w:rPr>
              <w:t xml:space="preserve">ARTICLES</w:t>
            </w:r>
          </w:p>
        </w:tc>
        <w:tc>
          <w:tcPr>
            <w:tcW w:w="4186981" w:type="dxa"/>
          </w:tcPr>
          <w:p>
            <w:pPr>
              <w:pStyle w:val="Compact"/>
              <w:bidi/>
            </w:pPr>
            <w:r>
              <w:rPr>
                <w:rtl/>
              </w:rPr>
              <w:t xml:space="preserve">قائمة الأصناف والمواد</w:t>
            </w:r>
          </w:p>
        </w:tc>
      </w:tr>
      <w:tr>
        <w:tc>
          <w:tcPr>
            <w:tcW w:w="1273018" w:type="dxa"/>
          </w:tcPr>
          <w:p>
            <w:pPr>
              <w:pStyle w:val="Compact"/>
              <w:bidi/>
            </w:pPr>
            <w:r>
              <w:rPr>
                <w:rtl/>
              </w:rPr>
              <w:t xml:space="preserve">MOUVEMENTS</w:t>
            </w:r>
          </w:p>
        </w:tc>
        <w:tc>
          <w:tcPr>
            <w:tcW w:w="4186981" w:type="dxa"/>
          </w:tcPr>
          <w:p>
            <w:pPr>
              <w:pStyle w:val="Compact"/>
              <w:bidi/>
            </w:pPr>
            <w:r>
              <w:rPr>
                <w:rtl/>
              </w:rPr>
              <w:t xml:space="preserve">سجل حركات الدخول والخروج</w:t>
            </w:r>
          </w:p>
        </w:tc>
      </w:tr>
      <w:tr>
        <w:tc>
          <w:tcPr>
            <w:tcW w:w="1273018" w:type="dxa"/>
          </w:tcPr>
          <w:p>
            <w:pPr>
              <w:pStyle w:val="Compact"/>
              <w:bidi/>
            </w:pPr>
            <w:r>
              <w:rPr>
                <w:rtl/>
              </w:rPr>
              <w:t xml:space="preserve">ANALYSE</w:t>
            </w:r>
          </w:p>
        </w:tc>
        <w:tc>
          <w:tcPr>
            <w:tcW w:w="4186981" w:type="dxa"/>
          </w:tcPr>
          <w:p>
            <w:pPr>
              <w:pStyle w:val="Compact"/>
              <w:bidi/>
            </w:pPr>
            <w:r>
              <w:rPr>
                <w:rtl/>
              </w:rPr>
              <w:t xml:space="preserve">تحليلات ABC-XYZ ومؤشرات الأداء</w:t>
            </w:r>
          </w:p>
        </w:tc>
      </w:tr>
      <w:tr>
        <w:tc>
          <w:tcPr>
            <w:tcW w:w="1273018" w:type="dxa"/>
          </w:tcPr>
          <w:p>
            <w:pPr>
              <w:pStyle w:val="Compact"/>
              <w:bidi/>
            </w:pPr>
            <w:r>
              <w:rPr>
                <w:rtl/>
              </w:rPr>
              <w:t xml:space="preserve">SUPPLIERS</w:t>
            </w:r>
          </w:p>
        </w:tc>
        <w:tc>
          <w:tcPr>
            <w:tcW w:w="4186981" w:type="dxa"/>
          </w:tcPr>
          <w:p>
            <w:pPr>
              <w:pStyle w:val="Compact"/>
              <w:bidi/>
            </w:pPr>
            <w:r>
              <w:rPr>
                <w:rtl/>
              </w:rPr>
              <w:t xml:space="preserve">قاعدة بيانات الموردين وتقييمهم</w:t>
            </w:r>
          </w:p>
        </w:tc>
      </w:tr>
      <w:tr>
        <w:tc>
          <w:tcPr>
            <w:tcW w:w="1273018" w:type="dxa"/>
          </w:tcPr>
          <w:p>
            <w:pPr>
              <w:pStyle w:val="Compact"/>
              <w:bidi/>
            </w:pPr>
            <w:r>
              <w:rPr>
                <w:rtl/>
              </w:rPr>
              <w:t xml:space="preserve">DOCUMENTS</w:t>
            </w:r>
          </w:p>
        </w:tc>
        <w:tc>
          <w:tcPr>
            <w:tcW w:w="4186981" w:type="dxa"/>
          </w:tcPr>
          <w:p>
            <w:pPr>
              <w:pStyle w:val="Compact"/>
              <w:bidi/>
            </w:pPr>
            <w:r>
              <w:rPr>
                <w:rtl/>
              </w:rPr>
              <w:t xml:space="preserve">توليد الوثائق الإدارية (DA, BC, BR, BS)</w:t>
            </w:r>
          </w:p>
        </w:tc>
      </w:tr>
      <w:tr>
        <w:tc>
          <w:tcPr>
            <w:tcW w:w="1273018" w:type="dxa"/>
          </w:tcPr>
          <w:p>
            <w:pPr>
              <w:pStyle w:val="Compact"/>
              <w:bidi/>
            </w:pPr>
            <w:r>
              <w:rPr>
                <w:rtl/>
              </w:rPr>
              <w:t xml:space="preserve">CONFIG</w:t>
            </w:r>
          </w:p>
        </w:tc>
        <w:tc>
          <w:tcPr>
            <w:tcW w:w="4186981" w:type="dxa"/>
          </w:tcPr>
          <w:p>
            <w:pPr>
              <w:pStyle w:val="Compact"/>
              <w:bidi/>
            </w:pPr>
            <w:r>
              <w:rPr>
                <w:rtl/>
              </w:rPr>
              <w:t xml:space="preserve">إعدادات النظام والثوابت</w:t>
            </w:r>
          </w:p>
        </w:tc>
      </w:tr>
    </w:tbl>
    <w:bookmarkEnd w:id="161"/>
    <w:bookmarkStart w:id="162" w:name="الملحق-الثاني-وحدات-vba-الرئيسية"/>
    <w:p>
      <w:pPr>
        <w:pStyle w:val="Heading2"/>
        <w:bidi/>
      </w:pPr>
      <w:r>
        <w:rPr>
          <w:b/>
          <w:sz w:val="36"/>
          <w:rtl/>
        </w:rPr>
        <w:t xml:space="preserve">الملحق الثاني: وحدات VBA الرئيسية</w:t>
      </w:r>
    </w:p>
    <w:p>
      <w:pPr>
        <w:bidi/>
        <w:spacing w:line="360" w:lineRule="auto"/>
        <w:jc w:val="right"/>
      </w:pPr>
      <w:r>
        <w:rPr>
          <w:rFonts w:ascii="Traditional Arabic" w:hAnsi="Traditional Arabic"/>
          <w:sz w:val="28"/>
          <w:rtl/>
        </w:rPr>
        <w:t xml:space="preserve">الوحدات البرمجية المطوَّرة:</w:t>
      </w:r>
      <w:r>
        <w:rPr>
          <w:rFonts w:ascii="Traditional Arabic" w:hAnsi="Traditional Arabic"/>
          <w:sz w:val="28"/>
          <w:rtl/>
        </w:rPr>
        <w:t xml:space="preserve"> </w:t>
      </w:r>
      <w:r>
        <w:rPr>
          <w:rFonts w:ascii="Traditional Arabic" w:hAnsi="Traditional Arabic"/>
          <w:b/>
          <w:bCs/>
          <w:sz w:val="28"/>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pPr>
            <w:r>
              <w:rPr>
                <w:rtl/>
              </w:rPr>
              <w:t xml:space="preserve">الوحدة</w:t>
            </w:r>
          </w:p>
        </w:tc>
        <w:tc>
          <w:tcPr>
            <w:tcW w:w="4074000" w:type="dxa"/>
          </w:tcPr>
          <w:p>
            <w:pPr>
              <w:pStyle w:val="Compact"/>
              <w:bidi/>
            </w:pPr>
            <w:r>
              <w:rPr>
                <w:rtl/>
              </w:rPr>
              <w:t xml:space="preserve">الوظيفة</w:t>
            </w:r>
          </w:p>
        </w:tc>
      </w:tr>
      <w:tr>
        <w:tc>
          <w:tcPr>
            <w:tcW w:w="1386000" w:type="dxa"/>
          </w:tcPr>
          <w:p>
            <w:pPr>
              <w:pStyle w:val="Compact"/>
              <w:bidi/>
            </w:pPr>
            <w:r>
              <w:rPr>
                <w:rtl/>
              </w:rPr>
              <w:t xml:space="preserve">mod_StockEngine</w:t>
            </w:r>
          </w:p>
        </w:tc>
        <w:tc>
          <w:tcPr>
            <w:tcW w:w="4074000" w:type="dxa"/>
          </w:tcPr>
          <w:p>
            <w:pPr>
              <w:pStyle w:val="Compact"/>
              <w:bidi/>
            </w:pPr>
            <w:r>
              <w:rPr>
                <w:rtl/>
              </w:rPr>
              <w:t xml:space="preserve">حسابات EOQ، ROP، CMUP</w:t>
            </w:r>
          </w:p>
        </w:tc>
      </w:tr>
      <w:tr>
        <w:tc>
          <w:tcPr>
            <w:tcW w:w="1386000" w:type="dxa"/>
          </w:tcPr>
          <w:p>
            <w:pPr>
              <w:pStyle w:val="Compact"/>
              <w:bidi/>
            </w:pPr>
            <w:r>
              <w:rPr>
                <w:rtl/>
              </w:rPr>
              <w:t xml:space="preserve">mod_StockEntry_Logic</w:t>
            </w:r>
          </w:p>
        </w:tc>
        <w:tc>
          <w:tcPr>
            <w:tcW w:w="4074000" w:type="dxa"/>
          </w:tcPr>
          <w:p>
            <w:pPr>
              <w:pStyle w:val="Compact"/>
              <w:bidi/>
            </w:pPr>
            <w:r>
              <w:rPr>
                <w:rtl/>
              </w:rPr>
              <w:t xml:space="preserve">منطق إدخال الحركات وحساب CMUP</w:t>
            </w:r>
          </w:p>
        </w:tc>
      </w:tr>
      <w:tr>
        <w:tc>
          <w:tcPr>
            <w:tcW w:w="1386000" w:type="dxa"/>
          </w:tcPr>
          <w:p>
            <w:pPr>
              <w:pStyle w:val="Compact"/>
              <w:bidi/>
            </w:pPr>
            <w:r>
              <w:rPr>
                <w:rtl/>
              </w:rPr>
              <w:t xml:space="preserve">mod_SyncBridge</w:t>
            </w:r>
          </w:p>
        </w:tc>
        <w:tc>
          <w:tcPr>
            <w:tcW w:w="4074000" w:type="dxa"/>
          </w:tcPr>
          <w:p>
            <w:pPr>
              <w:pStyle w:val="Compact"/>
              <w:bidi/>
            </w:pPr>
            <w:r>
              <w:rPr>
                <w:rtl/>
              </w:rPr>
              <w:t xml:space="preserve">جسر المزامنة بين السجل الرقمي وأوراق Excel</w:t>
            </w:r>
          </w:p>
        </w:tc>
      </w:tr>
      <w:tr>
        <w:tc>
          <w:tcPr>
            <w:tcW w:w="1386000" w:type="dxa"/>
          </w:tcPr>
          <w:p>
            <w:pPr>
              <w:pStyle w:val="Compact"/>
              <w:bidi/>
            </w:pPr>
            <w:r>
              <w:rPr>
                <w:rtl/>
              </w:rPr>
              <w:t xml:space="preserve">mod_ExportEngine</w:t>
            </w:r>
          </w:p>
        </w:tc>
        <w:tc>
          <w:tcPr>
            <w:tcW w:w="4074000" w:type="dxa"/>
          </w:tcPr>
          <w:p>
            <w:pPr>
              <w:pStyle w:val="Compact"/>
              <w:bidi/>
            </w:pPr>
            <w:r>
              <w:rPr>
                <w:rtl/>
              </w:rPr>
              <w:t xml:space="preserve">تصدير التقارير</w:t>
            </w:r>
          </w:p>
        </w:tc>
      </w:tr>
      <w:tr>
        <w:tc>
          <w:tcPr>
            <w:tcW w:w="1386000" w:type="dxa"/>
          </w:tcPr>
          <w:p>
            <w:pPr>
              <w:pStyle w:val="Compact"/>
              <w:bidi/>
            </w:pPr>
            <w:r>
              <w:rPr>
                <w:rtl/>
              </w:rPr>
              <w:t xml:space="preserve">mod_Dashboard</w:t>
            </w:r>
          </w:p>
        </w:tc>
        <w:tc>
          <w:tcPr>
            <w:tcW w:w="4074000" w:type="dxa"/>
          </w:tcPr>
          <w:p>
            <w:pPr>
              <w:pStyle w:val="Compact"/>
              <w:bidi/>
            </w:pPr>
            <w:r>
              <w:rPr>
                <w:rtl/>
              </w:rPr>
              <w:t xml:space="preserve">لوحة المراقبة والتنبيهات</w:t>
            </w:r>
          </w:p>
        </w:tc>
      </w:tr>
      <w:tr>
        <w:tc>
          <w:tcPr>
            <w:tcW w:w="1386000" w:type="dxa"/>
          </w:tcPr>
          <w:p>
            <w:pPr>
              <w:pStyle w:val="Compact"/>
              <w:bidi/>
            </w:pPr>
            <w:r>
              <w:rPr>
                <w:rtl/>
              </w:rPr>
              <w:t xml:space="preserve">mod_AuditTrail</w:t>
            </w:r>
          </w:p>
        </w:tc>
        <w:tc>
          <w:tcPr>
            <w:tcW w:w="4074000" w:type="dxa"/>
          </w:tcPr>
          <w:p>
            <w:pPr>
              <w:pStyle w:val="Compact"/>
              <w:bidi/>
            </w:pPr>
            <w:r>
              <w:rPr>
                <w:rtl/>
              </w:rPr>
              <w:t xml:space="preserve">سجل المراجعة والتدقيق</w:t>
            </w:r>
          </w:p>
        </w:tc>
      </w:tr>
      <w:tr>
        <w:tc>
          <w:tcPr>
            <w:tcW w:w="1386000" w:type="dxa"/>
          </w:tcPr>
          <w:p>
            <w:pPr>
              <w:pStyle w:val="Compact"/>
              <w:bidi/>
            </w:pPr>
            <w:r>
              <w:rPr>
                <w:rtl/>
              </w:rPr>
              <w:t xml:space="preserve">mod_TransactionSafety</w:t>
            </w:r>
          </w:p>
        </w:tc>
        <w:tc>
          <w:tcPr>
            <w:tcW w:w="4074000" w:type="dxa"/>
          </w:tcPr>
          <w:p>
            <w:pPr>
              <w:pStyle w:val="Compact"/>
              <w:bidi/>
            </w:pPr>
            <w:r>
              <w:rPr>
                <w:rtl/>
              </w:rPr>
              <w:t xml:space="preserve">أمان المعاملات ومنع التعديل اليدوي</w:t>
            </w:r>
          </w:p>
        </w:tc>
      </w:tr>
      <w:tr>
        <w:tc>
          <w:tcPr>
            <w:tcW w:w="1386000" w:type="dxa"/>
          </w:tcPr>
          <w:p>
            <w:pPr>
              <w:pStyle w:val="Compact"/>
              <w:bidi/>
            </w:pPr>
            <w:r>
              <w:rPr>
                <w:rtl/>
              </w:rPr>
              <w:t xml:space="preserve">mod_DataValidator</w:t>
            </w:r>
          </w:p>
        </w:tc>
        <w:tc>
          <w:tcPr>
            <w:tcW w:w="4074000" w:type="dxa"/>
          </w:tcPr>
          <w:p>
            <w:pPr>
              <w:pStyle w:val="Compact"/>
              <w:bidi/>
            </w:pPr>
            <w:r>
              <w:rPr>
                <w:rtl/>
              </w:rPr>
              <w:t xml:space="preserve">التحقق من صحة البيانات عند الإدخال</w:t>
            </w:r>
          </w:p>
        </w:tc>
      </w:tr>
      <w:tr>
        <w:tc>
          <w:tcPr>
            <w:tcW w:w="1386000" w:type="dxa"/>
          </w:tcPr>
          <w:p>
            <w:pPr>
              <w:pStyle w:val="Compact"/>
              <w:bidi/>
            </w:pPr>
            <w:r>
              <w:rPr>
                <w:rtl/>
              </w:rPr>
              <w:t xml:space="preserve">mod_ApprovalWorkflow</w:t>
            </w:r>
          </w:p>
        </w:tc>
        <w:tc>
          <w:tcPr>
            <w:tcW w:w="4074000" w:type="dxa"/>
          </w:tcPr>
          <w:p>
            <w:pPr>
              <w:pStyle w:val="Compact"/>
              <w:bidi/>
            </w:pPr>
            <w:r>
              <w:rPr>
                <w:rtl/>
              </w:rPr>
              <w:t xml:space="preserve">سير عمل الموافقة الثنائية</w:t>
            </w:r>
          </w:p>
        </w:tc>
      </w:tr>
      <w:tr>
        <w:tc>
          <w:tcPr>
            <w:tcW w:w="1386000" w:type="dxa"/>
          </w:tcPr>
          <w:p>
            <w:pPr>
              <w:pStyle w:val="Compact"/>
              <w:bidi/>
            </w:pPr>
            <w:r>
              <w:rPr>
                <w:rtl/>
              </w:rPr>
              <w:t xml:space="preserve">mod_Config</w:t>
            </w:r>
          </w:p>
        </w:tc>
        <w:tc>
          <w:tcPr>
            <w:tcW w:w="4074000" w:type="dxa"/>
          </w:tcPr>
          <w:p>
            <w:pPr>
              <w:pStyle w:val="Compact"/>
              <w:bidi/>
            </w:pPr>
            <w:r>
              <w:rPr>
                <w:rtl/>
              </w:rPr>
              <w:t xml:space="preserve">إعدادات النظام والثوابت</w:t>
            </w:r>
          </w:p>
        </w:tc>
      </w:tr>
    </w:tbl>
    <w:bookmarkEnd w:id="162"/>
    <w:bookmarkStart w:id="163" w:name="الملحق-الثالث-بيانات-المخزون-الميدانية"/>
    <w:p>
      <w:pPr>
        <w:pStyle w:val="Heading2"/>
        <w:bidi/>
      </w:pPr>
      <w:r>
        <w:rPr>
          <w:b/>
          <w:sz w:val="36"/>
          <w:rtl/>
        </w:rPr>
        <w:t xml:space="preserve">الملحق الثالث: بيانات المخزون الميدانية</w:t>
      </w:r>
    </w:p>
    <w:p>
      <w:pPr>
        <w:bidi/>
        <w:spacing w:line="360" w:lineRule="auto"/>
        <w:jc w:val="right"/>
      </w:pPr>
      <w:r>
        <w:rPr>
          <w:rFonts w:ascii="Traditional Arabic" w:hAnsi="Traditional Arabic"/>
          <w:sz w:val="28"/>
          <w:rtl/>
        </w:rPr>
        <w:t xml:space="preserve">عينة من بيانات المخزون الفعلية كما تظهر في السجل الرقمي:</w:t>
      </w:r>
      <w:r>
        <w:rPr>
          <w:rFonts w:ascii="Traditional Arabic" w:hAnsi="Traditional Arabic"/>
          <w:sz w:val="28"/>
          <w:rtl/>
        </w:rPr>
        <w:t xml:space="preserve"> </w:t>
      </w:r>
      <w:r>
        <w:rPr>
          <w:rFonts w:ascii="Traditional Arabic" w:hAnsi="Traditional Arabic"/>
          <w:b/>
          <w:bCs/>
          <w:sz w:val="28"/>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pPr>
            <w:r>
              <w:rPr>
                <w:rtl/>
              </w:rPr>
              <w:t xml:space="preserve">الرمز</w:t>
            </w:r>
          </w:p>
        </w:tc>
        <w:tc>
          <w:tcPr>
            <w:tcW w:w="2028054" w:type="dxa"/>
          </w:tcPr>
          <w:p>
            <w:pPr>
              <w:pStyle w:val="Compact"/>
              <w:bidi/>
            </w:pPr>
            <w:r>
              <w:rPr>
                <w:rtl/>
              </w:rPr>
              <w:t xml:space="preserve">التسمية</w:t>
            </w:r>
          </w:p>
        </w:tc>
        <w:tc>
          <w:tcPr>
            <w:tcW w:w="829659" w:type="dxa"/>
          </w:tcPr>
          <w:p>
            <w:pPr>
              <w:pStyle w:val="Compact"/>
              <w:bidi/>
            </w:pPr>
            <w:r>
              <w:rPr>
                <w:rtl/>
              </w:rPr>
              <w:t xml:space="preserve">الرصيد</w:t>
            </w:r>
          </w:p>
        </w:tc>
        <w:tc>
          <w:tcPr>
            <w:tcW w:w="492968" w:type="dxa"/>
          </w:tcPr>
          <w:p>
            <w:pPr>
              <w:pStyle w:val="Compact"/>
              <w:bidi/>
            </w:pPr>
            <w:r>
              <w:rPr>
                <w:rtl/>
              </w:rPr>
              <w:t xml:space="preserve">ROP</w:t>
            </w:r>
          </w:p>
        </w:tc>
        <w:tc>
          <w:tcPr>
            <w:tcW w:w="967934" w:type="dxa"/>
          </w:tcPr>
          <w:p>
            <w:pPr>
              <w:pStyle w:val="Compact"/>
              <w:bidi/>
            </w:pPr>
            <w:r>
              <w:rPr>
                <w:rtl/>
              </w:rPr>
              <w:t xml:space="preserve">التصنيف</w:t>
            </w:r>
          </w:p>
        </w:tc>
      </w:tr>
      <w:tr>
        <w:tc>
          <w:tcPr>
            <w:tcW w:w="691382" w:type="dxa"/>
          </w:tcPr>
          <w:p>
            <w:pPr>
              <w:pStyle w:val="Compact"/>
              <w:bidi/>
            </w:pPr>
            <w:r>
              <w:rPr>
                <w:rtl/>
              </w:rPr>
              <w:t xml:space="preserve">ART-001</w:t>
            </w:r>
          </w:p>
        </w:tc>
        <w:tc>
          <w:tcPr>
            <w:tcW w:w="2028054" w:type="dxa"/>
          </w:tcPr>
          <w:p>
            <w:pPr>
              <w:pStyle w:val="Compact"/>
              <w:bidi/>
            </w:pPr>
            <w:r>
              <w:rPr>
                <w:rtl/>
              </w:rPr>
              <w:t xml:space="preserve">Toner G030</w:t>
            </w:r>
          </w:p>
        </w:tc>
        <w:tc>
          <w:tcPr>
            <w:tcW w:w="829659" w:type="dxa"/>
          </w:tcPr>
          <w:p>
            <w:pPr>
              <w:pStyle w:val="Compact"/>
              <w:bidi/>
            </w:pPr>
            <w:r>
              <w:rPr>
                <w:rtl/>
              </w:rPr>
              <w:t xml:space="preserve">289</w:t>
            </w:r>
          </w:p>
        </w:tc>
        <w:tc>
          <w:tcPr>
            <w:tcW w:w="492968" w:type="dxa"/>
          </w:tcPr>
          <w:p>
            <w:pPr>
              <w:pStyle w:val="Compact"/>
              <w:bidi/>
            </w:pPr>
            <w:r>
              <w:rPr>
                <w:rtl/>
              </w:rPr>
              <w:t xml:space="preserve">206</w:t>
            </w:r>
          </w:p>
        </w:tc>
        <w:tc>
          <w:tcPr>
            <w:tcW w:w="967934" w:type="dxa"/>
          </w:tcPr>
          <w:p>
            <w:pPr>
              <w:pStyle w:val="Compact"/>
              <w:bidi/>
            </w:pPr>
            <w:r>
              <w:rPr>
                <w:rtl/>
              </w:rPr>
              <w:t xml:space="preserve">AX</w:t>
            </w:r>
          </w:p>
        </w:tc>
      </w:tr>
      <w:tr>
        <w:tc>
          <w:tcPr>
            <w:tcW w:w="691382" w:type="dxa"/>
          </w:tcPr>
          <w:p>
            <w:pPr>
              <w:pStyle w:val="Compact"/>
              <w:bidi/>
            </w:pPr>
            <w:r>
              <w:rPr>
                <w:rtl/>
              </w:rPr>
              <w:t xml:space="preserve">ART-002</w:t>
            </w:r>
          </w:p>
        </w:tc>
        <w:tc>
          <w:tcPr>
            <w:tcW w:w="2028054" w:type="dxa"/>
          </w:tcPr>
          <w:p>
            <w:pPr>
              <w:pStyle w:val="Compact"/>
              <w:bidi/>
            </w:pPr>
            <w:r>
              <w:rPr>
                <w:rtl/>
              </w:rPr>
              <w:t xml:space="preserve">Ramette A4 80g</w:t>
            </w:r>
          </w:p>
        </w:tc>
        <w:tc>
          <w:tcPr>
            <w:tcW w:w="829659" w:type="dxa"/>
          </w:tcPr>
          <w:p>
            <w:pPr>
              <w:pStyle w:val="Compact"/>
              <w:bidi/>
            </w:pPr>
            <w:r>
              <w:rPr>
                <w:rtl/>
              </w:rPr>
              <w:t xml:space="preserve">520</w:t>
            </w:r>
          </w:p>
        </w:tc>
        <w:tc>
          <w:tcPr>
            <w:tcW w:w="492968" w:type="dxa"/>
          </w:tcPr>
          <w:p>
            <w:pPr>
              <w:pStyle w:val="Compact"/>
              <w:bidi/>
            </w:pPr>
            <w:r>
              <w:rPr>
                <w:rtl/>
              </w:rPr>
              <w:t xml:space="preserve">400.0</w:t>
            </w:r>
          </w:p>
        </w:tc>
        <w:tc>
          <w:tcPr>
            <w:tcW w:w="967934" w:type="dxa"/>
          </w:tcPr>
          <w:p>
            <w:pPr>
              <w:pStyle w:val="Compact"/>
              <w:bidi/>
            </w:pPr>
            <w:r>
              <w:rPr>
                <w:rtl/>
              </w:rPr>
              <w:t xml:space="preserve">AX</w:t>
            </w:r>
          </w:p>
        </w:tc>
      </w:tr>
      <w:tr>
        <w:tc>
          <w:tcPr>
            <w:tcW w:w="691382" w:type="dxa"/>
          </w:tcPr>
          <w:p>
            <w:pPr>
              <w:pStyle w:val="Compact"/>
              <w:bidi/>
            </w:pPr>
            <w:r>
              <w:rPr>
                <w:rtl/>
              </w:rPr>
              <w:t xml:space="preserve">ART-003</w:t>
            </w:r>
          </w:p>
        </w:tc>
        <w:tc>
          <w:tcPr>
            <w:tcW w:w="2028054" w:type="dxa"/>
          </w:tcPr>
          <w:p>
            <w:pPr>
              <w:pStyle w:val="Compact"/>
              <w:bidi/>
            </w:pPr>
            <w:r>
              <w:rPr>
                <w:rtl/>
              </w:rPr>
              <w:t xml:space="preserve">Rame papier A3 80g/m²</w:t>
            </w:r>
          </w:p>
        </w:tc>
        <w:tc>
          <w:tcPr>
            <w:tcW w:w="829659" w:type="dxa"/>
          </w:tcPr>
          <w:p>
            <w:pPr>
              <w:pStyle w:val="Compact"/>
              <w:bidi/>
            </w:pPr>
            <w:r>
              <w:rPr>
                <w:rtl/>
              </w:rPr>
              <w:t xml:space="preserve">210</w:t>
            </w:r>
          </w:p>
        </w:tc>
        <w:tc>
          <w:tcPr>
            <w:tcW w:w="492968" w:type="dxa"/>
          </w:tcPr>
          <w:p>
            <w:pPr>
              <w:pStyle w:val="Compact"/>
              <w:bidi/>
            </w:pPr>
            <w:r>
              <w:rPr>
                <w:rtl/>
              </w:rPr>
              <w:t xml:space="preserve">46.4</w:t>
            </w:r>
          </w:p>
        </w:tc>
        <w:tc>
          <w:tcPr>
            <w:tcW w:w="967934" w:type="dxa"/>
          </w:tcPr>
          <w:p>
            <w:pPr>
              <w:pStyle w:val="Compact"/>
              <w:bidi/>
            </w:pPr>
            <w:r>
              <w:rPr>
                <w:rtl/>
              </w:rPr>
              <w:t xml:space="preserve">BX</w:t>
            </w:r>
          </w:p>
        </w:tc>
      </w:tr>
      <w:tr>
        <w:tc>
          <w:tcPr>
            <w:tcW w:w="691382" w:type="dxa"/>
          </w:tcPr>
          <w:p>
            <w:pPr>
              <w:pStyle w:val="Compact"/>
              <w:bidi/>
            </w:pPr>
            <w:r>
              <w:rPr>
                <w:rtl/>
              </w:rPr>
              <w:t xml:space="preserve">ART-004</w:t>
            </w:r>
          </w:p>
        </w:tc>
        <w:tc>
          <w:tcPr>
            <w:tcW w:w="2028054" w:type="dxa"/>
          </w:tcPr>
          <w:p>
            <w:pPr>
              <w:pStyle w:val="Compact"/>
              <w:bidi/>
            </w:pPr>
            <w:r>
              <w:rPr>
                <w:rtl/>
              </w:rPr>
              <w:t xml:space="preserve">Boîte archives carton</w:t>
            </w:r>
          </w:p>
        </w:tc>
        <w:tc>
          <w:tcPr>
            <w:tcW w:w="829659" w:type="dxa"/>
          </w:tcPr>
          <w:p>
            <w:pPr>
              <w:pStyle w:val="Compact"/>
              <w:bidi/>
            </w:pPr>
            <w:r>
              <w:rPr>
                <w:rtl/>
              </w:rPr>
              <w:t xml:space="preserve">85</w:t>
            </w:r>
          </w:p>
        </w:tc>
        <w:tc>
          <w:tcPr>
            <w:tcW w:w="492968" w:type="dxa"/>
          </w:tcPr>
          <w:p>
            <w:pPr>
              <w:pStyle w:val="Compact"/>
              <w:bidi/>
            </w:pPr>
            <w:r>
              <w:rPr>
                <w:rtl/>
              </w:rPr>
              <w:t xml:space="preserve">23.2</w:t>
            </w:r>
          </w:p>
        </w:tc>
        <w:tc>
          <w:tcPr>
            <w:tcW w:w="967934" w:type="dxa"/>
          </w:tcPr>
          <w:p>
            <w:pPr>
              <w:pStyle w:val="Compact"/>
              <w:bidi/>
            </w:pPr>
            <w:r>
              <w:rPr>
                <w:rtl/>
              </w:rPr>
              <w:t xml:space="preserve">BY</w:t>
            </w:r>
          </w:p>
        </w:tc>
      </w:tr>
      <w:tr>
        <w:tc>
          <w:tcPr>
            <w:tcW w:w="691382" w:type="dxa"/>
          </w:tcPr>
          <w:p>
            <w:pPr>
              <w:pStyle w:val="Compact"/>
              <w:bidi/>
            </w:pPr>
            <w:r>
              <w:rPr>
                <w:rtl/>
              </w:rPr>
              <w:t xml:space="preserve">ART-005</w:t>
            </w:r>
          </w:p>
        </w:tc>
        <w:tc>
          <w:tcPr>
            <w:tcW w:w="2028054" w:type="dxa"/>
          </w:tcPr>
          <w:p>
            <w:pPr>
              <w:pStyle w:val="Compact"/>
              <w:bidi/>
            </w:pPr>
            <w:r>
              <w:rPr>
                <w:rtl/>
              </w:rPr>
              <w:t xml:space="preserve">Agrafeuse de bureau</w:t>
            </w:r>
          </w:p>
        </w:tc>
        <w:tc>
          <w:tcPr>
            <w:tcW w:w="829659" w:type="dxa"/>
          </w:tcPr>
          <w:p>
            <w:pPr>
              <w:pStyle w:val="Compact"/>
              <w:bidi/>
            </w:pPr>
            <w:r>
              <w:rPr>
                <w:rtl/>
              </w:rPr>
              <w:t xml:space="preserve">12</w:t>
            </w:r>
          </w:p>
        </w:tc>
        <w:tc>
          <w:tcPr>
            <w:tcW w:w="492968" w:type="dxa"/>
          </w:tcPr>
          <w:p>
            <w:pPr>
              <w:pStyle w:val="Compact"/>
              <w:bidi/>
            </w:pPr>
            <w:r>
              <w:rPr>
                <w:rtl/>
              </w:rPr>
              <w:t xml:space="preserve">12.4</w:t>
            </w:r>
          </w:p>
        </w:tc>
        <w:tc>
          <w:tcPr>
            <w:tcW w:w="967934" w:type="dxa"/>
          </w:tcPr>
          <w:p>
            <w:pPr>
              <w:pStyle w:val="Compact"/>
              <w:bidi/>
            </w:pPr>
            <w:r>
              <w:rPr>
                <w:rtl/>
              </w:rPr>
              <w:t xml:space="preserve">CX</w:t>
            </w:r>
          </w:p>
        </w:tc>
      </w:tr>
      <w:tr>
        <w:tc>
          <w:tcPr>
            <w:tcW w:w="691382" w:type="dxa"/>
          </w:tcPr>
          <w:p>
            <w:pPr>
              <w:pStyle w:val="Compact"/>
              <w:bidi/>
            </w:pPr>
            <w:r>
              <w:rPr>
                <w:rtl/>
              </w:rPr>
              <w:t xml:space="preserve">ART-006</w:t>
            </w:r>
          </w:p>
        </w:tc>
        <w:tc>
          <w:tcPr>
            <w:tcW w:w="2028054" w:type="dxa"/>
          </w:tcPr>
          <w:p>
            <w:pPr>
              <w:pStyle w:val="Compact"/>
              <w:bidi/>
            </w:pPr>
            <w:r>
              <w:rPr>
                <w:rtl/>
              </w:rPr>
              <w:t xml:space="preserve">Stylos bille boîte/50</w:t>
            </w:r>
          </w:p>
        </w:tc>
        <w:tc>
          <w:tcPr>
            <w:tcW w:w="829659" w:type="dxa"/>
          </w:tcPr>
          <w:p>
            <w:pPr>
              <w:pStyle w:val="Compact"/>
              <w:bidi/>
            </w:pPr>
            <w:r>
              <w:rPr>
                <w:rtl/>
              </w:rPr>
              <w:t xml:space="preserve">95</w:t>
            </w:r>
          </w:p>
        </w:tc>
        <w:tc>
          <w:tcPr>
            <w:tcW w:w="492968" w:type="dxa"/>
          </w:tcPr>
          <w:p>
            <w:pPr>
              <w:pStyle w:val="Compact"/>
              <w:bidi/>
            </w:pPr>
            <w:r>
              <w:rPr>
                <w:rtl/>
              </w:rPr>
              <w:t xml:space="preserve">50.0</w:t>
            </w:r>
          </w:p>
        </w:tc>
        <w:tc>
          <w:tcPr>
            <w:tcW w:w="967934" w:type="dxa"/>
          </w:tcPr>
          <w:p>
            <w:pPr>
              <w:pStyle w:val="Compact"/>
              <w:bidi/>
            </w:pPr>
            <w:r>
              <w:rPr>
                <w:rtl/>
              </w:rPr>
              <w:t xml:space="preserve">CX</w:t>
            </w:r>
          </w:p>
        </w:tc>
      </w:tr>
      <w:tr>
        <w:tc>
          <w:tcPr>
            <w:tcW w:w="691382" w:type="dxa"/>
          </w:tcPr>
          <w:p>
            <w:pPr>
              <w:pStyle w:val="Compact"/>
              <w:bidi/>
            </w:pPr>
            <w:r>
              <w:rPr>
                <w:rtl/>
              </w:rPr>
              <w:t xml:space="preserve">ART-007</w:t>
            </w:r>
          </w:p>
        </w:tc>
        <w:tc>
          <w:tcPr>
            <w:tcW w:w="2028054" w:type="dxa"/>
          </w:tcPr>
          <w:p>
            <w:pPr>
              <w:pStyle w:val="Compact"/>
              <w:bidi/>
            </w:pPr>
            <w:r>
              <w:rPr>
                <w:rtl/>
              </w:rPr>
              <w:t xml:space="preserve">Registre grand format 5m</w:t>
            </w:r>
          </w:p>
        </w:tc>
        <w:tc>
          <w:tcPr>
            <w:tcW w:w="829659" w:type="dxa"/>
          </w:tcPr>
          <w:p>
            <w:pPr>
              <w:pStyle w:val="Compact"/>
              <w:bidi/>
            </w:pPr>
            <w:r>
              <w:rPr>
                <w:rtl/>
              </w:rPr>
              <w:t xml:space="preserve">60</w:t>
            </w:r>
          </w:p>
        </w:tc>
        <w:tc>
          <w:tcPr>
            <w:tcW w:w="492968" w:type="dxa"/>
          </w:tcPr>
          <w:p>
            <w:pPr>
              <w:pStyle w:val="Compact"/>
              <w:bidi/>
            </w:pPr>
            <w:r>
              <w:rPr>
                <w:rtl/>
              </w:rPr>
              <w:t xml:space="preserve">35.0</w:t>
            </w:r>
          </w:p>
        </w:tc>
        <w:tc>
          <w:tcPr>
            <w:tcW w:w="967934" w:type="dxa"/>
          </w:tcPr>
          <w:p>
            <w:pPr>
              <w:pStyle w:val="Compact"/>
              <w:bidi/>
            </w:pPr>
            <w:r>
              <w:rPr>
                <w:rtl/>
              </w:rPr>
              <w:t xml:space="preserve">CX</w:t>
            </w:r>
          </w:p>
        </w:tc>
      </w:tr>
      <w:tr>
        <w:tc>
          <w:tcPr>
            <w:tcW w:w="691382" w:type="dxa"/>
          </w:tcPr>
          <w:p>
            <w:pPr>
              <w:pStyle w:val="Compact"/>
              <w:bidi/>
            </w:pPr>
            <w:r>
              <w:rPr>
                <w:rtl/>
              </w:rPr>
              <w:t xml:space="preserve">ART-008</w:t>
            </w:r>
          </w:p>
        </w:tc>
        <w:tc>
          <w:tcPr>
            <w:tcW w:w="2028054" w:type="dxa"/>
          </w:tcPr>
          <w:p>
            <w:pPr>
              <w:pStyle w:val="Compact"/>
              <w:bidi/>
            </w:pPr>
            <w:r>
              <w:rPr>
                <w:rtl/>
              </w:rPr>
              <w:t xml:space="preserve">Encre tampon</w:t>
            </w:r>
          </w:p>
        </w:tc>
        <w:tc>
          <w:tcPr>
            <w:tcW w:w="829659" w:type="dxa"/>
          </w:tcPr>
          <w:p>
            <w:pPr>
              <w:pStyle w:val="Compact"/>
              <w:bidi/>
            </w:pPr>
            <w:r>
              <w:rPr>
                <w:rtl/>
              </w:rPr>
              <w:t xml:space="preserve">30</w:t>
            </w:r>
          </w:p>
        </w:tc>
        <w:tc>
          <w:tcPr>
            <w:tcW w:w="492968" w:type="dxa"/>
          </w:tcPr>
          <w:p>
            <w:pPr>
              <w:pStyle w:val="Compact"/>
              <w:bidi/>
            </w:pPr>
            <w:r>
              <w:rPr>
                <w:rtl/>
              </w:rPr>
              <w:t xml:space="preserve">20.0</w:t>
            </w:r>
          </w:p>
        </w:tc>
        <w:tc>
          <w:tcPr>
            <w:tcW w:w="967934" w:type="dxa"/>
          </w:tcPr>
          <w:p>
            <w:pPr>
              <w:pStyle w:val="Compact"/>
              <w:bidi/>
            </w:pPr>
            <w:r>
              <w:rPr>
                <w:rtl/>
              </w:rPr>
              <w:t xml:space="preserve">CX</w:t>
            </w:r>
          </w:p>
        </w:tc>
      </w:tr>
      <w:tr>
        <w:tc>
          <w:tcPr>
            <w:tcW w:w="691382" w:type="dxa"/>
          </w:tcPr>
          <w:p>
            <w:pPr>
              <w:pStyle w:val="Compact"/>
              <w:bidi/>
            </w:pPr>
            <w:r>
              <w:rPr>
                <w:rtl/>
              </w:rPr>
              <w:t xml:space="preserve">ART-009</w:t>
            </w:r>
          </w:p>
        </w:tc>
        <w:tc>
          <w:tcPr>
            <w:tcW w:w="2028054" w:type="dxa"/>
          </w:tcPr>
          <w:p>
            <w:pPr>
              <w:pStyle w:val="Compact"/>
              <w:bidi/>
            </w:pPr>
            <w:r>
              <w:rPr>
                <w:rtl/>
              </w:rPr>
              <w:t xml:space="preserve">Sous-chemise carton</w:t>
            </w:r>
          </w:p>
        </w:tc>
        <w:tc>
          <w:tcPr>
            <w:tcW w:w="829659" w:type="dxa"/>
          </w:tcPr>
          <w:p>
            <w:pPr>
              <w:pStyle w:val="Compact"/>
              <w:bidi/>
            </w:pPr>
            <w:r>
              <w:rPr>
                <w:rtl/>
              </w:rPr>
              <w:t xml:space="preserve">45</w:t>
            </w:r>
          </w:p>
        </w:tc>
        <w:tc>
          <w:tcPr>
            <w:tcW w:w="492968" w:type="dxa"/>
          </w:tcPr>
          <w:p>
            <w:pPr>
              <w:pStyle w:val="Compact"/>
              <w:bidi/>
            </w:pPr>
            <w:r>
              <w:rPr>
                <w:rtl/>
              </w:rPr>
              <w:t xml:space="preserve">25.0</w:t>
            </w:r>
          </w:p>
        </w:tc>
        <w:tc>
          <w:tcPr>
            <w:tcW w:w="967934" w:type="dxa"/>
          </w:tcPr>
          <w:p>
            <w:pPr>
              <w:pStyle w:val="Compact"/>
              <w:bidi/>
            </w:pPr>
            <w:r>
              <w:rPr>
                <w:rtl/>
              </w:rPr>
              <w:t xml:space="preserve">CX</w:t>
            </w:r>
          </w:p>
        </w:tc>
      </w:tr>
      <w:tr>
        <w:tc>
          <w:tcPr>
            <w:tcW w:w="691382" w:type="dxa"/>
          </w:tcPr>
          <w:p>
            <w:pPr>
              <w:pStyle w:val="Compact"/>
              <w:bidi/>
            </w:pPr>
            <w:r>
              <w:rPr>
                <w:rtl/>
              </w:rPr>
              <w:t xml:space="preserve">ART-010</w:t>
            </w:r>
          </w:p>
        </w:tc>
        <w:tc>
          <w:tcPr>
            <w:tcW w:w="2028054" w:type="dxa"/>
          </w:tcPr>
          <w:p>
            <w:pPr>
              <w:pStyle w:val="Compact"/>
              <w:bidi/>
            </w:pPr>
            <w:r>
              <w:rPr>
                <w:rtl/>
              </w:rPr>
              <w:t xml:space="preserve">Chemise cartonnée</w:t>
            </w:r>
          </w:p>
        </w:tc>
        <w:tc>
          <w:tcPr>
            <w:tcW w:w="829659" w:type="dxa"/>
          </w:tcPr>
          <w:p>
            <w:pPr>
              <w:pStyle w:val="Compact"/>
              <w:bidi/>
            </w:pPr>
            <w:r>
              <w:rPr>
                <w:rtl/>
              </w:rPr>
              <w:t xml:space="preserve">150</w:t>
            </w:r>
          </w:p>
        </w:tc>
        <w:tc>
          <w:tcPr>
            <w:tcW w:w="492968" w:type="dxa"/>
          </w:tcPr>
          <w:p>
            <w:pPr>
              <w:pStyle w:val="Compact"/>
              <w:bidi/>
            </w:pPr>
            <w:r>
              <w:rPr>
                <w:rtl/>
              </w:rPr>
              <w:t xml:space="preserve">80.0</w:t>
            </w:r>
          </w:p>
        </w:tc>
        <w:tc>
          <w:tcPr>
            <w:tcW w:w="967934" w:type="dxa"/>
          </w:tcPr>
          <w:p>
            <w:pPr>
              <w:pStyle w:val="Compact"/>
              <w:bidi/>
            </w:pPr>
            <w:r>
              <w:rPr>
                <w:rtl/>
              </w:rPr>
              <w:t xml:space="preserve">BY</w:t>
            </w:r>
          </w:p>
        </w:tc>
      </w:tr>
      <w:tr>
        <w:tc>
          <w:tcPr>
            <w:tcW w:w="691382" w:type="dxa"/>
          </w:tcPr>
          <w:p>
            <w:pPr>
              <w:pStyle w:val="Compact"/>
              <w:bidi/>
            </w:pPr>
            <w:r>
              <w:rPr>
                <w:rtl/>
              </w:rPr>
              <w:t xml:space="preserve">ART-011</w:t>
            </w:r>
          </w:p>
        </w:tc>
        <w:tc>
          <w:tcPr>
            <w:tcW w:w="2028054" w:type="dxa"/>
          </w:tcPr>
          <w:p>
            <w:pPr>
              <w:pStyle w:val="Compact"/>
              <w:bidi/>
            </w:pPr>
            <w:r>
              <w:rPr>
                <w:rtl/>
              </w:rPr>
              <w:t xml:space="preserve">Rouleau papier fax</w:t>
            </w:r>
          </w:p>
        </w:tc>
        <w:tc>
          <w:tcPr>
            <w:tcW w:w="829659" w:type="dxa"/>
          </w:tcPr>
          <w:p>
            <w:pPr>
              <w:pStyle w:val="Compact"/>
              <w:bidi/>
            </w:pPr>
            <w:r>
              <w:rPr>
                <w:rtl/>
              </w:rPr>
              <w:t xml:space="preserve">40</w:t>
            </w:r>
          </w:p>
        </w:tc>
        <w:tc>
          <w:tcPr>
            <w:tcW w:w="492968" w:type="dxa"/>
          </w:tcPr>
          <w:p>
            <w:pPr>
              <w:pStyle w:val="Compact"/>
              <w:bidi/>
            </w:pPr>
            <w:r>
              <w:rPr>
                <w:rtl/>
              </w:rPr>
              <w:t xml:space="preserve">22.0</w:t>
            </w:r>
          </w:p>
        </w:tc>
        <w:tc>
          <w:tcPr>
            <w:tcW w:w="967934" w:type="dxa"/>
          </w:tcPr>
          <w:p>
            <w:pPr>
              <w:pStyle w:val="Compact"/>
              <w:bidi/>
            </w:pPr>
            <w:r>
              <w:rPr>
                <w:rtl/>
              </w:rPr>
              <w:t xml:space="preserve">CX</w:t>
            </w:r>
          </w:p>
        </w:tc>
      </w:tr>
      <w:tr>
        <w:tc>
          <w:tcPr>
            <w:tcW w:w="691382" w:type="dxa"/>
          </w:tcPr>
          <w:p>
            <w:pPr>
              <w:pStyle w:val="Compact"/>
              <w:bidi/>
            </w:pPr>
            <w:r>
              <w:rPr>
                <w:rtl/>
              </w:rPr>
              <w:t xml:space="preserve">ART-012</w:t>
            </w:r>
          </w:p>
        </w:tc>
        <w:tc>
          <w:tcPr>
            <w:tcW w:w="2028054" w:type="dxa"/>
          </w:tcPr>
          <w:p>
            <w:pPr>
              <w:pStyle w:val="Compact"/>
              <w:bidi/>
            </w:pPr>
            <w:r>
              <w:rPr>
                <w:rtl/>
              </w:rPr>
              <w:t xml:space="preserve">Marqueur permanent noir</w:t>
            </w:r>
          </w:p>
        </w:tc>
        <w:tc>
          <w:tcPr>
            <w:tcW w:w="829659" w:type="dxa"/>
          </w:tcPr>
          <w:p>
            <w:pPr>
              <w:pStyle w:val="Compact"/>
              <w:bidi/>
            </w:pPr>
            <w:r>
              <w:rPr>
                <w:rtl/>
              </w:rPr>
              <w:t xml:space="preserve">70</w:t>
            </w:r>
          </w:p>
        </w:tc>
        <w:tc>
          <w:tcPr>
            <w:tcW w:w="492968" w:type="dxa"/>
          </w:tcPr>
          <w:p>
            <w:pPr>
              <w:pStyle w:val="Compact"/>
              <w:bidi/>
            </w:pPr>
            <w:r>
              <w:rPr>
                <w:rtl/>
              </w:rPr>
              <w:t xml:space="preserve">30.0</w:t>
            </w:r>
          </w:p>
        </w:tc>
        <w:tc>
          <w:tcPr>
            <w:tcW w:w="967934" w:type="dxa"/>
          </w:tcPr>
          <w:p>
            <w:pPr>
              <w:pStyle w:val="Compact"/>
              <w:bidi/>
            </w:pPr>
            <w:r>
              <w:rPr>
                <w:rtl/>
              </w:rPr>
              <w:t xml:space="preserve">CX</w:t>
            </w:r>
          </w:p>
        </w:tc>
      </w:tr>
    </w:tbl>
    <w:p>
      <w:pPr>
        <w:bidi/>
        <w:spacing w:line="360" w:lineRule="auto"/>
        <w:jc w:val="right"/>
      </w:pPr>
      <w:r>
        <w:rPr>
          <w:rFonts w:ascii="Traditional Arabic" w:hAnsi="Traditional Arabic"/>
          <w:b/>
          <w:bCs/>
          <w:sz w:val="28"/>
          <w:rtl/>
        </w:rPr>
        <w:t xml:space="preserve">ملاحظة: يتم تخزين البيانات في أوراق Excel محمية بكلمة مرور مع تعطيل التعديل اليدوي المباشر.</w:t>
      </w:r>
    </w:p>
    <w:bookmarkEnd w:id="163"/>
    <w:bookmarkStart w:id="164" w:name="الملحق-الرابع-نماذج-الوثائق-الإدارية"/>
    <w:p>
      <w:pPr>
        <w:pStyle w:val="Heading2"/>
        <w:bidi/>
      </w:pPr>
      <w:r>
        <w:rPr>
          <w:b/>
          <w:sz w:val="36"/>
          <w:rtl/>
        </w:rPr>
        <w:t xml:space="preserve">الملحق الرابع: نماذج الوثائق الإدارية</w:t>
      </w:r>
    </w:p>
    <w:p>
      <w:pPr>
        <w:bidi/>
        <w:spacing w:line="360" w:lineRule="auto"/>
        <w:jc w:val="right"/>
      </w:pPr>
      <w:r>
        <w:rPr>
          <w:rFonts w:ascii="Traditional Arabic" w:hAnsi="Traditional Arabic"/>
          <w:sz w:val="28"/>
          <w:rtl/>
        </w:rPr>
        <w:t xml:space="preserve">الوثائق المولَّدة آلياً بواسطة النظام: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DA (Demande d’Achat): طلب الشراء الداخلي — يُصدَر عند انخفاض المخزون إلى مستوى ROP</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BC (Bon de Commande): أمر الشراء — يُصدَر بعد الموافقة على طلب الشراء</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BR (Bon de Réception): وصل الاستلام — يُصدَر عند استلام البضاعة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4"/>
    <w:bookmarkStart w:id="165" w:name="X2ba466c7822f1b4b8d4c28ae81ff579f1d28271"/>
    <w:p>
      <w:pPr>
        <w:pStyle w:val="Heading2"/>
        <w:bidi/>
      </w:pPr>
      <w:r>
        <w:rPr>
          <w:b/>
          <w:sz w:val="36"/>
          <w:rtl/>
        </w:rPr>
        <w:t xml:space="preserve">الملحق الخامس: نشر النماذج اللغوية الكبيرة (LLM Deployment)</w:t>
      </w:r>
    </w:p>
    <w:p>
      <w:pPr>
        <w:bidi/>
        <w:spacing w:line="360" w:lineRule="auto"/>
        <w:jc w:val="right"/>
      </w:pPr>
      <w:r>
        <w:rPr>
          <w:rFonts w:ascii="Traditional Arabic" w:hAnsi="Traditional Arabic"/>
          <w:sz w:val="28"/>
          <w:rtl/>
        </w:rPr>
        <w:t xml:space="preserve">تم استخدام نماذج لغوية كبيرة (LLM) كأدوات مساعدة في تطوير نظام دعم القرار وتحسين جودة المذكرة الأكاديمية:</w:t>
      </w:r>
      <w:r>
        <w:rPr>
          <w:rFonts w:ascii="Traditional Arabic" w:hAnsi="Traditional Arabic"/>
          <w:sz w:val="28"/>
          <w:rtl/>
        </w:rPr>
        <w:t xml:space="preserve"> </w:t>
      </w:r>
      <w:r>
        <w:rPr>
          <w:rFonts w:ascii="Traditional Arabic" w:hAnsi="Traditional Arabic"/>
          <w:b/>
          <w:bCs/>
          <w:sz w:val="28"/>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pPr>
            <w:r>
              <w:rPr>
                <w:rtl/>
              </w:rPr>
              <w:t xml:space="preserve">المعيار</w:t>
            </w:r>
          </w:p>
        </w:tc>
        <w:tc>
          <w:tcPr>
            <w:tcW w:w="4499893" w:type="dxa"/>
          </w:tcPr>
          <w:p>
            <w:pPr>
              <w:pStyle w:val="Compact"/>
              <w:bidi/>
            </w:pPr>
            <w:r>
              <w:rPr>
                <w:rtl/>
              </w:rPr>
              <w:t xml:space="preserve">التفاصيل</w:t>
            </w:r>
          </w:p>
        </w:tc>
      </w:tr>
      <w:tr>
        <w:tc>
          <w:tcPr>
            <w:tcW w:w="960106" w:type="dxa"/>
          </w:tcPr>
          <w:p>
            <w:pPr>
              <w:pStyle w:val="Compact"/>
              <w:bidi/>
            </w:pPr>
            <w:r>
              <w:rPr>
                <w:rtl/>
              </w:rPr>
              <w:t xml:space="preserve">الهدف</w:t>
            </w:r>
          </w:p>
        </w:tc>
        <w:tc>
          <w:tcPr>
            <w:tcW w:w="4499893" w:type="dxa"/>
          </w:tcPr>
          <w:p>
            <w:pPr>
              <w:pStyle w:val="Compact"/>
              <w:bidi/>
            </w:pPr>
            <w:r>
              <w:rPr>
                <w:rtl/>
              </w:rPr>
              <w:t xml:space="preserve">تسريع تطوير وحدات VBA وتحسين الصياغة الأكاديمية</w:t>
            </w:r>
          </w:p>
        </w:tc>
      </w:tr>
      <w:tr>
        <w:tc>
          <w:tcPr>
            <w:tcW w:w="960106" w:type="dxa"/>
          </w:tcPr>
          <w:p>
            <w:pPr>
              <w:pStyle w:val="Compact"/>
              <w:bidi/>
            </w:pPr>
            <w:r>
              <w:rPr>
                <w:rtl/>
              </w:rPr>
              <w:t xml:space="preserve">الاستخدام</w:t>
            </w:r>
          </w:p>
        </w:tc>
        <w:tc>
          <w:tcPr>
            <w:tcW w:w="4499893" w:type="dxa"/>
          </w:tcPr>
          <w:p>
            <w:pPr>
              <w:pStyle w:val="Compact"/>
              <w:bidi/>
            </w:pPr>
            <w:r>
              <w:rPr>
                <w:rtl/>
              </w:rPr>
              <w:t xml:space="preserve">مراجعة الكود، تحسين الصياغة، التحقق من الثوابت</w:t>
            </w:r>
          </w:p>
        </w:tc>
      </w:tr>
      <w:tr>
        <w:tc>
          <w:tcPr>
            <w:tcW w:w="960106" w:type="dxa"/>
          </w:tcPr>
          <w:p>
            <w:pPr>
              <w:pStyle w:val="Compact"/>
              <w:bidi/>
            </w:pPr>
            <w:r>
              <w:rPr>
                <w:rtl/>
              </w:rPr>
              <w:t xml:space="preserve">الاستقلالية</w:t>
            </w:r>
          </w:p>
        </w:tc>
        <w:tc>
          <w:tcPr>
            <w:tcW w:w="4499893" w:type="dxa"/>
          </w:tcPr>
          <w:p>
            <w:pPr>
              <w:pStyle w:val="Compact"/>
              <w:bidi/>
            </w:pPr>
            <w:r>
              <w:rPr>
                <w:rtl/>
              </w:rPr>
              <w:t xml:space="preserve">النظام يعمل بدون اتصال بالإنترنت — LLM كان أداة تطوير فقط</w:t>
            </w:r>
          </w:p>
        </w:tc>
      </w:tr>
      <w:tr>
        <w:tc>
          <w:tcPr>
            <w:tcW w:w="960106" w:type="dxa"/>
          </w:tcPr>
          <w:p>
            <w:pPr>
              <w:pStyle w:val="Compact"/>
              <w:bidi/>
            </w:pPr>
            <w:r>
              <w:rPr>
                <w:rtl/>
              </w:rPr>
              <w:t xml:space="preserve">الاعتماد</w:t>
            </w:r>
          </w:p>
        </w:tc>
        <w:tc>
          <w:tcPr>
            <w:tcW w:w="4499893" w:type="dxa"/>
          </w:tcPr>
          <w:p>
            <w:pPr>
              <w:pStyle w:val="Compact"/>
              <w:bidi/>
            </w:pPr>
            <w:r>
              <w:rPr>
                <w:rtl/>
              </w:rPr>
              <w:t xml:space="preserve">لا يعتمد النظام على أي نموذج لغوي في التشغيل الفعلي</w:t>
            </w:r>
          </w:p>
        </w:tc>
      </w:tr>
    </w:tbl>
    <w:p>
      <w:pPr>
        <w:bidi/>
        <w:spacing w:line="360" w:lineRule="auto"/>
        <w:jc w:val="right"/>
      </w:pPr>
      <w:r>
        <w:rPr>
          <w:rFonts w:ascii="Traditional Arabic" w:hAnsi="Traditional Arabic"/>
          <w:b/>
          <w:bCs/>
          <w:sz w:val="28"/>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5"/>
    <w:bookmarkStart w:id="183" w:name="X1148525acfd03c2ffb8a3bcaf8453ddfd410d6d"/>
    <w:p>
      <w:pPr>
        <w:pStyle w:val="Heading2"/>
        <w:bidi/>
      </w:pPr>
      <w:r>
        <w:rPr>
          <w:b/>
          <w:sz w:val="36"/>
          <w:rtl/>
        </w:rPr>
        <w:t xml:space="preserve">الملحق السادس: نظام دعم القرار والمرجعيات الجزائرية — الربط الذكي</w:t>
      </w:r>
    </w:p>
    <w:bookmarkStart w:id="166" w:name="X540dee732a69215b730bef105cf0059b0b377be"/>
    <w:p>
      <w:pPr>
        <w:pStyle w:val="Heading3"/>
        <w:bidi/>
      </w:pPr>
      <w:r>
        <w:rPr>
          <w:b/>
          <w:sz w:val="32"/>
          <w:rtl/>
        </w:rPr>
        <w:t xml:space="preserve">1. الإطار المرجعي لنظام دعم القرار في القطاع التعليمي الجزائري</w:t>
      </w:r>
    </w:p>
    <w:p>
      <w:pPr>
        <w:bidi/>
        <w:spacing w:line="360" w:lineRule="auto"/>
        <w:jc w:val="right"/>
      </w:pPr>
      <w:r>
        <w:rPr>
          <w:rFonts w:ascii="Traditional Arabic" w:hAnsi="Traditional Arabic"/>
          <w:b/>
          <w:bCs/>
          <w:sz w:val="28"/>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Fonts w:ascii="Traditional Arabic" w:hAnsi="Traditional Arabic"/>
          <w:sz w:val="28"/>
          <w:rtl/>
        </w:rPr>
        <w:t xml:space="preserve"> </w:t>
      </w:r>
      <w:r>
        <w:rPr>
          <w:rFonts w:ascii="Traditional Arabic" w:hAnsi="Traditional Arabic"/>
          <w:b/>
          <w:bCs/>
          <w:sz w:val="28"/>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pPr>
            <w:r>
              <w:rPr>
                <w:rtl/>
              </w:rPr>
              <w:t xml:space="preserve">السداسي</w:t>
            </w:r>
          </w:p>
        </w:tc>
        <w:tc>
          <w:tcPr>
            <w:tcW w:w="1756664" w:type="dxa"/>
          </w:tcPr>
          <w:p>
            <w:pPr>
              <w:pStyle w:val="Compact"/>
              <w:bidi/>
            </w:pPr>
            <w:r>
              <w:rPr>
                <w:rtl/>
              </w:rPr>
              <w:t xml:space="preserve">المحور المنهاجي</w:t>
            </w:r>
          </w:p>
        </w:tc>
        <w:tc>
          <w:tcPr>
            <w:tcW w:w="2662274" w:type="dxa"/>
          </w:tcPr>
          <w:p>
            <w:pPr>
              <w:pStyle w:val="Compact"/>
              <w:bidi/>
            </w:pPr>
            <w:r>
              <w:rPr>
                <w:rtl/>
              </w:rPr>
              <w:t xml:space="preserve">التطبيق في نظام دعم القرار</w:t>
            </w:r>
          </w:p>
        </w:tc>
      </w:tr>
      <w:tr>
        <w:tc>
          <w:tcPr>
            <w:tcW w:w="891061" w:type="dxa"/>
          </w:tcPr>
          <w:p>
            <w:pPr>
              <w:pStyle w:val="Compact"/>
              <w:bidi/>
            </w:pPr>
            <w:r>
              <w:rPr>
                <w:rtl/>
              </w:rPr>
              <w:t xml:space="preserve">السداسي الأول</w:t>
            </w:r>
          </w:p>
        </w:tc>
        <w:tc>
          <w:tcPr>
            <w:tcW w:w="1756664" w:type="dxa"/>
          </w:tcPr>
          <w:p>
            <w:pPr>
              <w:pStyle w:val="Compact"/>
              <w:bidi/>
            </w:pPr>
            <w:r>
              <w:rPr>
                <w:rtl/>
              </w:rPr>
              <w:t xml:space="preserve">دراسات الأسعار وشروط التفاوض</w:t>
            </w:r>
          </w:p>
        </w:tc>
        <w:tc>
          <w:tcPr>
            <w:tcW w:w="2662274" w:type="dxa"/>
          </w:tcPr>
          <w:p>
            <w:pPr>
              <w:pStyle w:val="Compact"/>
              <w:bidi/>
            </w:pPr>
            <w:r>
              <w:rPr>
                <w:rtl/>
              </w:rPr>
              <w:t xml:space="preserve">حساب التكاليف والمقارنة بين الموردين</w:t>
            </w:r>
          </w:p>
        </w:tc>
      </w:tr>
      <w:tr>
        <w:tc>
          <w:tcPr>
            <w:tcW w:w="891061" w:type="dxa"/>
          </w:tcPr>
          <w:p>
            <w:pPr>
              <w:pStyle w:val="Compact"/>
              <w:bidi/>
            </w:pPr>
            <w:r>
              <w:rPr>
                <w:rtl/>
              </w:rPr>
              <w:t xml:space="preserve">السداسي الثاني</w:t>
            </w:r>
          </w:p>
        </w:tc>
        <w:tc>
          <w:tcPr>
            <w:tcW w:w="1756664" w:type="dxa"/>
          </w:tcPr>
          <w:p>
            <w:pPr>
              <w:pStyle w:val="Compact"/>
              <w:bidi/>
            </w:pPr>
            <w:r>
              <w:rPr>
                <w:rtl/>
              </w:rPr>
              <w:t xml:space="preserve">إجراءات الشراءات</w:t>
            </w:r>
          </w:p>
        </w:tc>
        <w:tc>
          <w:tcPr>
            <w:tcW w:w="2662274" w:type="dxa"/>
          </w:tcPr>
          <w:p>
            <w:pPr>
              <w:pStyle w:val="Compact"/>
              <w:bidi/>
            </w:pPr>
            <w:r>
              <w:rPr>
                <w:rtl/>
              </w:rPr>
              <w:t xml:space="preserve">أتمتة الدورة المستندية (DA → BC → BR → BS)</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النماذج الرياضية (EOQ, ROP)</w:t>
            </w:r>
          </w:p>
        </w:tc>
        <w:tc>
          <w:tcPr>
            <w:tcW w:w="2662274" w:type="dxa"/>
          </w:tcPr>
          <w:p>
            <w:pPr>
              <w:pStyle w:val="Compact"/>
              <w:bidi/>
            </w:pPr>
            <w:r>
              <w:rPr>
                <w:rtl/>
              </w:rPr>
              <w:t xml:space="preserve">تطبيق ويلسون + حساب نقطة إعادة الطلب آلياً</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تحليل ABC/باريتو</w:t>
            </w:r>
          </w:p>
        </w:tc>
        <w:tc>
          <w:tcPr>
            <w:tcW w:w="2662274" w:type="dxa"/>
          </w:tcPr>
          <w:p>
            <w:pPr>
              <w:pStyle w:val="Compact"/>
              <w:bidi/>
            </w:pPr>
            <w:r>
              <w:rPr>
                <w:rtl/>
              </w:rPr>
              <w:t xml:space="preserve">تصنيف الأصناف الـ12 حسب القيمة والاستهلاك</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الجرد الدائم والتتبع</w:t>
            </w:r>
          </w:p>
        </w:tc>
        <w:tc>
          <w:tcPr>
            <w:tcW w:w="2662274" w:type="dxa"/>
          </w:tcPr>
          <w:p>
            <w:pPr>
              <w:pStyle w:val="Compact"/>
              <w:bidi/>
            </w:pPr>
            <w:r>
              <w:rPr>
                <w:rtl/>
              </w:rPr>
              <w:t xml:space="preserve">تحديث آني للأرصدة مع سلسلة الحراسة السداسية</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التتبع وسلسلة المراجعة</w:t>
            </w:r>
          </w:p>
        </w:tc>
        <w:tc>
          <w:tcPr>
            <w:tcW w:w="2662274" w:type="dxa"/>
          </w:tcPr>
          <w:p>
            <w:pPr>
              <w:pStyle w:val="Compact"/>
              <w:bidi/>
            </w:pPr>
            <w:r>
              <w:rPr>
                <w:rtl/>
              </w:rPr>
              <w:t xml:space="preserve">سجل المراجعة غير قابل للتعديل</w:t>
            </w:r>
          </w:p>
        </w:tc>
      </w:tr>
    </w:tbl>
    <w:bookmarkEnd w:id="166"/>
    <w:bookmarkStart w:id="167" w:name="التوافق-مع-التشريعات-الجزائرية"/>
    <w:p>
      <w:pPr>
        <w:pStyle w:val="Heading3"/>
        <w:bidi/>
      </w:pPr>
      <w:r>
        <w:rPr>
          <w:b/>
          <w:sz w:val="32"/>
          <w:rtl/>
        </w:rPr>
        <w:t xml:space="preserve">2. التوافق مع التشريعات الجزائرية</w:t>
      </w:r>
    </w:p>
    <w:p>
      <w:pPr>
        <w:bidi/>
        <w:spacing w:line="360" w:lineRule="auto"/>
        <w:jc w:val="right"/>
      </w:pPr>
      <w:r>
        <w:rPr>
          <w:rFonts w:ascii="Traditional Arabic" w:hAnsi="Traditional Arabic"/>
          <w:sz w:val="28"/>
          <w:rtl/>
        </w:rPr>
        <w:t xml:space="preserve">يتوافق نظام دعم القرار مع الإطار القانوني والتنظيمي التالي:</w:t>
      </w:r>
      <w:r>
        <w:rPr>
          <w:rFonts w:ascii="Traditional Arabic" w:hAnsi="Traditional Arabic"/>
          <w:sz w:val="28"/>
          <w:rtl/>
        </w:rPr>
        <w:t xml:space="preserve"> </w:t>
      </w:r>
      <w:r>
        <w:rPr>
          <w:rFonts w:ascii="Traditional Arabic" w:hAnsi="Traditional Arabic"/>
          <w:b/>
          <w:bCs/>
          <w:sz w:val="28"/>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pPr>
            <w:r>
              <w:rPr>
                <w:rtl/>
              </w:rPr>
              <w:t xml:space="preserve">المرجع</w:t>
            </w:r>
          </w:p>
        </w:tc>
        <w:tc>
          <w:tcPr>
            <w:tcW w:w="1784764" w:type="dxa"/>
          </w:tcPr>
          <w:p>
            <w:pPr>
              <w:pStyle w:val="Compact"/>
              <w:bidi/>
            </w:pPr>
            <w:r>
              <w:rPr>
                <w:rtl/>
              </w:rPr>
              <w:t xml:space="preserve">الصفة</w:t>
            </w:r>
          </w:p>
        </w:tc>
        <w:tc>
          <w:tcPr>
            <w:tcW w:w="2311074" w:type="dxa"/>
          </w:tcPr>
          <w:p>
            <w:pPr>
              <w:pStyle w:val="Compact"/>
              <w:bidi/>
            </w:pPr>
            <w:r>
              <w:rPr>
                <w:rtl/>
              </w:rPr>
              <w:t xml:space="preserve">العلاقة بالنظام</w:t>
            </w:r>
          </w:p>
        </w:tc>
      </w:tr>
      <w:tr>
        <w:tc>
          <w:tcPr>
            <w:tcW w:w="1214160" w:type="dxa"/>
          </w:tcPr>
          <w:p>
            <w:pPr>
              <w:pStyle w:val="Compact"/>
              <w:bidi/>
            </w:pPr>
            <w:r>
              <w:rPr>
                <w:rtl/>
              </w:rPr>
              <w:t xml:space="preserve">المرسوم التنفيذي 20-270 (2020)</w:t>
            </w:r>
          </w:p>
        </w:tc>
        <w:tc>
          <w:tcPr>
            <w:tcW w:w="1784764" w:type="dxa"/>
          </w:tcPr>
          <w:p>
            <w:pPr>
              <w:pStyle w:val="Compact"/>
              <w:bidi/>
            </w:pPr>
            <w:r>
              <w:rPr>
                <w:rtl/>
              </w:rPr>
              <w:t xml:space="preserve">تنظيم الميزانية والمحاسبة العمومية</w:t>
            </w:r>
          </w:p>
        </w:tc>
        <w:tc>
          <w:tcPr>
            <w:tcW w:w="2311074" w:type="dxa"/>
          </w:tcPr>
          <w:p>
            <w:pPr>
              <w:pStyle w:val="Compact"/>
              <w:bidi/>
            </w:pPr>
            <w:r>
              <w:rPr>
                <w:rtl/>
              </w:rPr>
              <w:t xml:space="preserve">يطبق مبدأ الرقابة المالية الداخلية على حركات المخزون</w:t>
            </w:r>
          </w:p>
        </w:tc>
      </w:tr>
      <w:tr>
        <w:tc>
          <w:tcPr>
            <w:tcW w:w="1214160" w:type="dxa"/>
          </w:tcPr>
          <w:p>
            <w:pPr>
              <w:pStyle w:val="Compact"/>
              <w:bidi/>
            </w:pPr>
            <w:r>
              <w:rPr>
                <w:rtl/>
              </w:rPr>
              <w:t xml:space="preserve">المنشور الوزاري (2023)</w:t>
            </w:r>
          </w:p>
        </w:tc>
        <w:tc>
          <w:tcPr>
            <w:tcW w:w="1784764" w:type="dxa"/>
          </w:tcPr>
          <w:p>
            <w:pPr>
              <w:pStyle w:val="Compact"/>
              <w:bidi/>
            </w:pPr>
            <w:r>
              <w:rPr>
                <w:rtl/>
              </w:rPr>
              <w:t xml:space="preserve">تسيير المستودعات في المؤسسات التربوية</w:t>
            </w:r>
          </w:p>
        </w:tc>
        <w:tc>
          <w:tcPr>
            <w:tcW w:w="2311074" w:type="dxa"/>
          </w:tcPr>
          <w:p>
            <w:pPr>
              <w:pStyle w:val="Compact"/>
              <w:bidi/>
            </w:pPr>
            <w:r>
              <w:rPr>
                <w:rtl/>
              </w:rPr>
              <w:t xml:space="preserve">يطبق إجراءات الدخول/الإخراج والتوثيق الرسمي</w:t>
            </w:r>
          </w:p>
        </w:tc>
      </w:tr>
      <w:tr>
        <w:tc>
          <w:tcPr>
            <w:tcW w:w="1214160" w:type="dxa"/>
          </w:tcPr>
          <w:p>
            <w:pPr>
              <w:pStyle w:val="Compact"/>
              <w:bidi/>
            </w:pPr>
            <w:r>
              <w:rPr>
                <w:rtl/>
              </w:rPr>
              <w:t xml:space="preserve">النظام المحاسبي العمومي (SCO)</w:t>
            </w:r>
          </w:p>
        </w:tc>
        <w:tc>
          <w:tcPr>
            <w:tcW w:w="1784764" w:type="dxa"/>
          </w:tcPr>
          <w:p>
            <w:pPr>
              <w:pStyle w:val="Compact"/>
              <w:bidi/>
            </w:pPr>
            <w:r>
              <w:rPr>
                <w:rtl/>
              </w:rPr>
              <w:t xml:space="preserve">الإطار المحاسبي للدولة</w:t>
            </w:r>
          </w:p>
        </w:tc>
        <w:tc>
          <w:tcPr>
            <w:tcW w:w="2311074" w:type="dxa"/>
          </w:tcPr>
          <w:p>
            <w:pPr>
              <w:pStyle w:val="Compact"/>
              <w:bidi/>
            </w:pPr>
            <w:r>
              <w:rPr>
                <w:rtl/>
              </w:rPr>
              <w:t xml:space="preserve">يطبق CMUP كأسلوب تقييم معتمد في القطاع العمومي</w:t>
            </w:r>
          </w:p>
        </w:tc>
      </w:tr>
      <w:tr>
        <w:tc>
          <w:tcPr>
            <w:tcW w:w="1214160" w:type="dxa"/>
          </w:tcPr>
          <w:p>
            <w:pPr>
              <w:pStyle w:val="Compact"/>
              <w:bidi/>
            </w:pPr>
            <w:r>
              <w:rPr>
                <w:rtl/>
              </w:rPr>
              <w:t xml:space="preserve">معيار CNEPD للتخزين</w:t>
            </w:r>
          </w:p>
        </w:tc>
        <w:tc>
          <w:tcPr>
            <w:tcW w:w="1784764" w:type="dxa"/>
          </w:tcPr>
          <w:p>
            <w:pPr>
              <w:pStyle w:val="Compact"/>
              <w:bidi/>
            </w:pPr>
            <w:r>
              <w:rPr>
                <w:rtl/>
              </w:rPr>
              <w:t xml:space="preserve">معدل حامل التكلفة I = 0.20 (20%)</w:t>
            </w:r>
          </w:p>
        </w:tc>
        <w:tc>
          <w:tcPr>
            <w:tcW w:w="2311074" w:type="dxa"/>
          </w:tcPr>
          <w:p>
            <w:pPr>
              <w:pStyle w:val="Compact"/>
              <w:bidi/>
            </w:pPr>
            <w:r>
              <w:rPr>
                <w:rtl/>
              </w:rPr>
              <w:t xml:space="preserve">مُضمَّن في معادلة ويلسون EOQ للنظام</w:t>
            </w:r>
          </w:p>
        </w:tc>
      </w:tr>
      <w:tr>
        <w:tc>
          <w:tcPr>
            <w:tcW w:w="1214160" w:type="dxa"/>
          </w:tcPr>
          <w:p>
            <w:pPr>
              <w:pStyle w:val="Compact"/>
              <w:bidi/>
            </w:pPr>
            <w:r>
              <w:rPr>
                <w:rtl/>
              </w:rPr>
              <w:t xml:space="preserve">معايير CNEPD للابتكار</w:t>
            </w:r>
          </w:p>
        </w:tc>
        <w:tc>
          <w:tcPr>
            <w:tcW w:w="1784764" w:type="dxa"/>
          </w:tcPr>
          <w:p>
            <w:pPr>
              <w:pStyle w:val="Compact"/>
              <w:bidi/>
            </w:pPr>
            <w:r>
              <w:rPr>
                <w:rtl/>
              </w:rPr>
              <w:t xml:space="preserve">تقييم درجة الأصالة في المشاريع التطبيقية</w:t>
            </w:r>
          </w:p>
        </w:tc>
        <w:tc>
          <w:tcPr>
            <w:tcW w:w="2311074" w:type="dxa"/>
          </w:tcPr>
          <w:p>
            <w:pPr>
              <w:pStyle w:val="Compact"/>
              <w:bidi/>
            </w:pPr>
            <w:r>
              <w:rPr>
                <w:rtl/>
              </w:rPr>
              <w:t xml:space="preserve">اجتاز جميع معايير الأصالة الخمسة بنجاح</w:t>
            </w:r>
          </w:p>
        </w:tc>
      </w:tr>
    </w:tbl>
    <w:bookmarkEnd w:id="167"/>
    <w:bookmarkStart w:id="171" w:name="الربط-بين-المذكرة-والواقع-البرمجي"/>
    <w:p>
      <w:pPr>
        <w:pStyle w:val="Heading3"/>
        <w:bidi/>
      </w:pPr>
      <w:r>
        <w:rPr>
          <w:b/>
          <w:sz w:val="32"/>
          <w:rtl/>
        </w:rPr>
        <w:t xml:space="preserve">3. الربط بين المذكرة والواقع البرمجي</w:t>
      </w:r>
    </w:p>
    <w:p>
      <w:pPr>
        <w:bidi/>
        <w:spacing w:line="360" w:lineRule="auto"/>
        <w:jc w:val="right"/>
      </w:pPr>
      <w:r>
        <w:rPr>
          <w:rFonts w:ascii="Traditional Arabic" w:hAnsi="Traditional Arabic"/>
          <w:sz w:val="28"/>
          <w:rtl/>
        </w:rPr>
        <w:t xml:space="preserve">يربط هذا الملحق الفجوة بين الإطار الأكاديمي للمذكرة والواقع التقني لنظام دعم القرار:</w:t>
      </w:r>
    </w:p>
    <w:bookmarkStart w:id="168" w:name="أ.-من-المنهاج-إلى-الكود"/>
    <w:p>
      <w:pPr>
        <w:pStyle w:val="Heading4"/>
        <w:bidi/>
      </w:pPr>
      <w:r>
        <w:rPr>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pPr>
            <w:r>
              <w:rPr>
                <w:rtl/>
              </w:rPr>
              <w:t xml:space="preserve">مفهوم أكاديمي</w:t>
            </w:r>
          </w:p>
        </w:tc>
        <w:tc>
          <w:tcPr>
            <w:tcW w:w="1308190" w:type="dxa"/>
          </w:tcPr>
          <w:p>
            <w:pPr>
              <w:pStyle w:val="Compact"/>
              <w:bidi/>
            </w:pPr>
            <w:r>
              <w:rPr>
                <w:rtl/>
              </w:rPr>
              <w:t xml:space="preserve">وحدة VBA المناظرة</w:t>
            </w:r>
          </w:p>
        </w:tc>
        <w:tc>
          <w:tcPr>
            <w:tcW w:w="2906019" w:type="dxa"/>
          </w:tcPr>
          <w:p>
            <w:pPr>
              <w:pStyle w:val="Compact"/>
              <w:bidi/>
            </w:pPr>
            <w:r>
              <w:rPr>
                <w:rtl/>
              </w:rPr>
              <w:t xml:space="preserve">الوظيفة</w:t>
            </w:r>
          </w:p>
        </w:tc>
      </w:tr>
      <w:tr>
        <w:tc>
          <w:tcPr>
            <w:tcW w:w="1095790" w:type="dxa"/>
          </w:tcPr>
          <w:p>
            <w:pPr>
              <w:pStyle w:val="Compact"/>
              <w:bidi/>
            </w:pPr>
            <w:r>
              <w:rPr>
                <w:rtl/>
              </w:rPr>
              <w:t xml:space="preserve">EOQ / Q*</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الكمية الاقتصادية بـ 37 وحدة</w:t>
            </w:r>
          </w:p>
        </w:tc>
      </w:tr>
      <w:tr>
        <w:tc>
          <w:tcPr>
            <w:tcW w:w="1095790" w:type="dxa"/>
          </w:tcPr>
          <w:p>
            <w:pPr>
              <w:pStyle w:val="Compact"/>
              <w:bidi/>
            </w:pPr>
            <w:r>
              <w:rPr>
                <w:rtl/>
              </w:rPr>
              <w:t xml:space="preserve">ROP</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نقطة إعادة الطلب بـ 206 وحدة</w:t>
            </w:r>
          </w:p>
        </w:tc>
      </w:tr>
      <w:tr>
        <w:tc>
          <w:tcPr>
            <w:tcW w:w="1095790" w:type="dxa"/>
          </w:tcPr>
          <w:p>
            <w:pPr>
              <w:pStyle w:val="Compact"/>
              <w:bidi/>
            </w:pPr>
            <w:r>
              <w:rPr>
                <w:rtl/>
              </w:rPr>
              <w:t xml:space="preserve">CMUP</w:t>
            </w:r>
          </w:p>
        </w:tc>
        <w:tc>
          <w:tcPr>
            <w:tcW w:w="1308190" w:type="dxa"/>
          </w:tcPr>
          <w:p>
            <w:pPr>
              <w:pStyle w:val="Compact"/>
              <w:bidi/>
            </w:pPr>
            <w:r>
              <w:rPr>
                <w:rtl/>
              </w:rPr>
              <w:t xml:space="preserve">mod_StockEntry_Logic</w:t>
            </w:r>
          </w:p>
        </w:tc>
        <w:tc>
          <w:tcPr>
            <w:tcW w:w="2906019" w:type="dxa"/>
          </w:tcPr>
          <w:p>
            <w:pPr>
              <w:pStyle w:val="Compact"/>
              <w:bidi/>
            </w:pPr>
            <w:r>
              <w:rPr>
                <w:rtl/>
              </w:rPr>
              <w:t xml:space="preserve">حساب التكلفة المتوسطة المرجحة آنياً</w:t>
            </w:r>
          </w:p>
        </w:tc>
      </w:tr>
      <w:tr>
        <w:tc>
          <w:tcPr>
            <w:tcW w:w="1095790" w:type="dxa"/>
          </w:tcPr>
          <w:p>
            <w:pPr>
              <w:pStyle w:val="Compact"/>
              <w:bidi/>
            </w:pPr>
            <w:r>
              <w:rPr>
                <w:rtl/>
              </w:rPr>
              <w:t xml:space="preserve">ABC Classification</w:t>
            </w:r>
          </w:p>
        </w:tc>
        <w:tc>
          <w:tcPr>
            <w:tcW w:w="1308190" w:type="dxa"/>
          </w:tcPr>
          <w:p>
            <w:pPr>
              <w:pStyle w:val="Compact"/>
              <w:bidi/>
            </w:pPr>
            <w:r>
              <w:rPr>
                <w:rtl/>
              </w:rPr>
              <w:t xml:space="preserve">mod_Analysis</w:t>
            </w:r>
          </w:p>
        </w:tc>
        <w:tc>
          <w:tcPr>
            <w:tcW w:w="2906019" w:type="dxa"/>
          </w:tcPr>
          <w:p>
            <w:pPr>
              <w:pStyle w:val="Compact"/>
              <w:bidi/>
            </w:pPr>
            <w:r>
              <w:rPr>
                <w:rtl/>
              </w:rPr>
              <w:t xml:space="preserve">تصنيف 12 صنفاً في مصفوفة ABC-XYZ</w:t>
            </w:r>
          </w:p>
        </w:tc>
      </w:tr>
      <w:tr>
        <w:tc>
          <w:tcPr>
            <w:tcW w:w="1095790" w:type="dxa"/>
          </w:tcPr>
          <w:p>
            <w:pPr>
              <w:pStyle w:val="Compact"/>
              <w:bidi/>
            </w:pPr>
            <w:r>
              <w:rPr>
                <w:rtl/>
              </w:rPr>
              <w:t xml:space="preserve">Dual-Guard</w:t>
            </w:r>
          </w:p>
        </w:tc>
        <w:tc>
          <w:tcPr>
            <w:tcW w:w="1308190" w:type="dxa"/>
          </w:tcPr>
          <w:p>
            <w:pPr>
              <w:pStyle w:val="Compact"/>
              <w:bidi/>
            </w:pPr>
            <w:r>
              <w:rPr>
                <w:rtl/>
              </w:rPr>
              <w:t xml:space="preserve">mod_StockEngine</w:t>
            </w:r>
          </w:p>
        </w:tc>
        <w:tc>
          <w:tcPr>
            <w:tcW w:w="2906019" w:type="dxa"/>
          </w:tcPr>
          <w:p>
            <w:pPr>
              <w:pStyle w:val="Compact"/>
              <w:bidi/>
            </w:pPr>
            <w:r>
              <w:rPr>
                <w:rtl/>
              </w:rPr>
              <w:t xml:space="preserve">منع الأرصدة الوهمية (Phantom Stock)</w:t>
            </w:r>
          </w:p>
        </w:tc>
      </w:tr>
      <w:tr>
        <w:tc>
          <w:tcPr>
            <w:tcW w:w="1095790" w:type="dxa"/>
          </w:tcPr>
          <w:p>
            <w:pPr>
              <w:pStyle w:val="Compact"/>
              <w:bidi/>
            </w:pPr>
            <w:r>
              <w:rPr>
                <w:rtl/>
              </w:rPr>
              <w:t xml:space="preserve">Audit Trail</w:t>
            </w:r>
          </w:p>
        </w:tc>
        <w:tc>
          <w:tcPr>
            <w:tcW w:w="1308190" w:type="dxa"/>
          </w:tcPr>
          <w:p>
            <w:pPr>
              <w:pStyle w:val="Compact"/>
              <w:bidi/>
            </w:pPr>
            <w:r>
              <w:rPr>
                <w:rtl/>
              </w:rPr>
              <w:t xml:space="preserve">mod_AuditTrail</w:t>
            </w:r>
          </w:p>
        </w:tc>
        <w:tc>
          <w:tcPr>
            <w:tcW w:w="2906019" w:type="dxa"/>
          </w:tcPr>
          <w:p>
            <w:pPr>
              <w:pStyle w:val="Compact"/>
              <w:bidi/>
            </w:pPr>
            <w:r>
              <w:rPr>
                <w:rtl/>
              </w:rPr>
              <w:t xml:space="preserve">سجل مراجعة غير قابل للتعديل</w:t>
            </w:r>
          </w:p>
        </w:tc>
      </w:tr>
    </w:tbl>
    <w:bookmarkEnd w:id="168"/>
    <w:bookmarkStart w:id="169" w:name="ب.-من-النظرية-إلى-الميدان"/>
    <w:p>
      <w:pPr>
        <w:pStyle w:val="Heading4"/>
        <w:bidi/>
      </w:pPr>
      <w:r>
        <w:rPr>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pPr>
            <w:r>
              <w:rPr>
                <w:rtl/>
              </w:rPr>
              <w:t xml:space="preserve">الفرضية الأكاديمية</w:t>
            </w:r>
          </w:p>
        </w:tc>
        <w:tc>
          <w:tcPr>
            <w:tcW w:w="2462782" w:type="dxa"/>
          </w:tcPr>
          <w:p>
            <w:pPr>
              <w:pStyle w:val="Compact"/>
              <w:bidi/>
            </w:pPr>
            <w:r>
              <w:rPr>
                <w:rtl/>
              </w:rPr>
              <w:t xml:space="preserve">التحقق الميداني</w:t>
            </w:r>
          </w:p>
        </w:tc>
        <w:tc>
          <w:tcPr>
            <w:tcW w:w="1577782" w:type="dxa"/>
          </w:tcPr>
          <w:p>
            <w:pPr>
              <w:pStyle w:val="Compact"/>
              <w:bidi/>
            </w:pPr>
            <w:r>
              <w:rPr>
                <w:rtl/>
              </w:rPr>
              <w:t xml:space="preserve">النتيجة</w:t>
            </w:r>
          </w:p>
        </w:tc>
      </w:tr>
      <w:tr>
        <w:tc>
          <w:tcPr>
            <w:tcW w:w="1269434" w:type="dxa"/>
          </w:tcPr>
          <w:p>
            <w:pPr>
              <w:pStyle w:val="Compact"/>
              <w:bidi/>
            </w:pPr>
            <w:r>
              <w:rPr>
                <w:rtl/>
              </w:rPr>
              <w:t xml:space="preserve">الأرصدة الوهمية</w:t>
            </w:r>
          </w:p>
        </w:tc>
        <w:tc>
          <w:tcPr>
            <w:tcW w:w="2462782" w:type="dxa"/>
          </w:tcPr>
          <w:p>
            <w:pPr>
              <w:pStyle w:val="Compact"/>
              <w:bidi/>
            </w:pPr>
            <w:r>
              <w:rPr>
                <w:rtl/>
              </w:rPr>
              <w:t xml:space="preserve">5 أصناف من 12 لديها رصيد فعلي أقل من ROP</w:t>
            </w:r>
          </w:p>
        </w:tc>
        <w:tc>
          <w:tcPr>
            <w:tcW w:w="1577782" w:type="dxa"/>
          </w:tcPr>
          <w:p>
            <w:pPr>
              <w:pStyle w:val="Compact"/>
              <w:bidi/>
            </w:pPr>
            <w:r>
              <w:rPr>
                <w:rtl/>
              </w:rPr>
              <w:t xml:space="preserve">مؤكد: 42% من الأصناف حرجة</w:t>
            </w:r>
          </w:p>
        </w:tc>
      </w:tr>
      <w:tr>
        <w:tc>
          <w:tcPr>
            <w:tcW w:w="1269434" w:type="dxa"/>
          </w:tcPr>
          <w:p>
            <w:pPr>
              <w:pStyle w:val="Compact"/>
              <w:bidi/>
            </w:pPr>
            <w:r>
              <w:rPr>
                <w:rtl/>
              </w:rPr>
              <w:t xml:space="preserve">تكلفة الصيانة</w:t>
            </w:r>
          </w:p>
        </w:tc>
        <w:tc>
          <w:tcPr>
            <w:tcW w:w="2462782" w:type="dxa"/>
          </w:tcPr>
          <w:p>
            <w:pPr>
              <w:pStyle w:val="Compact"/>
              <w:bidi/>
            </w:pPr>
            <w:r>
              <w:rPr>
                <w:rtl/>
              </w:rPr>
              <w:t xml:space="preserve">I = 20% حسب CNEPD</w:t>
            </w:r>
          </w:p>
        </w:tc>
        <w:tc>
          <w:tcPr>
            <w:tcW w:w="1577782" w:type="dxa"/>
          </w:tcPr>
          <w:p>
            <w:pPr>
              <w:pStyle w:val="Compact"/>
              <w:bidi/>
            </w:pPr>
            <w:r>
              <w:rPr>
                <w:rtl/>
              </w:rPr>
              <w:t xml:space="preserve">مطبق في معادلة EOQ</w:t>
            </w:r>
          </w:p>
        </w:tc>
      </w:tr>
      <w:tr>
        <w:tc>
          <w:tcPr>
            <w:tcW w:w="1269434" w:type="dxa"/>
          </w:tcPr>
          <w:p>
            <w:pPr>
              <w:pStyle w:val="Compact"/>
              <w:bidi/>
            </w:pPr>
            <w:r>
              <w:rPr>
                <w:rtl/>
              </w:rPr>
              <w:t xml:space="preserve">الطلب السنوي</w:t>
            </w:r>
          </w:p>
        </w:tc>
        <w:tc>
          <w:tcPr>
            <w:tcW w:w="2462782" w:type="dxa"/>
          </w:tcPr>
          <w:p>
            <w:pPr>
              <w:pStyle w:val="Compact"/>
              <w:bidi/>
            </w:pPr>
            <w:r>
              <w:rPr>
                <w:rtl/>
              </w:rPr>
              <w:t xml:space="preserve">D = 789 وحدة (ملاحظة 38 يوماً)</w:t>
            </w:r>
          </w:p>
        </w:tc>
        <w:tc>
          <w:tcPr>
            <w:tcW w:w="1577782" w:type="dxa"/>
          </w:tcPr>
          <w:p>
            <w:pPr>
              <w:pStyle w:val="Compact"/>
              <w:bidi/>
            </w:pPr>
            <w:r>
              <w:rPr>
                <w:rtl/>
              </w:rPr>
              <w:t xml:space="preserve">مقاس ميدانياً</w:t>
            </w:r>
          </w:p>
        </w:tc>
      </w:tr>
      <w:tr>
        <w:tc>
          <w:tcPr>
            <w:tcW w:w="1269434" w:type="dxa"/>
          </w:tcPr>
          <w:p>
            <w:pPr>
              <w:pStyle w:val="Compact"/>
              <w:bidi/>
            </w:pPr>
            <w:r>
              <w:rPr>
                <w:rtl/>
              </w:rPr>
              <w:t xml:space="preserve">أجل التسليم</w:t>
            </w:r>
          </w:p>
        </w:tc>
        <w:tc>
          <w:tcPr>
            <w:tcW w:w="2462782" w:type="dxa"/>
          </w:tcPr>
          <w:p>
            <w:pPr>
              <w:pStyle w:val="Compact"/>
              <w:bidi/>
            </w:pPr>
            <w:r>
              <w:rPr>
                <w:rtl/>
              </w:rPr>
              <w:t xml:space="preserve">LT = 2 يوم (ENAP Alger)</w:t>
            </w:r>
          </w:p>
        </w:tc>
        <w:tc>
          <w:tcPr>
            <w:tcW w:w="1577782" w:type="dxa"/>
          </w:tcPr>
          <w:p>
            <w:pPr>
              <w:pStyle w:val="Compact"/>
              <w:bidi/>
            </w:pPr>
            <w:r>
              <w:rPr>
                <w:rtl/>
              </w:rPr>
              <w:t xml:space="preserve">محقق</w:t>
            </w:r>
          </w:p>
        </w:tc>
      </w:tr>
    </w:tbl>
    <w:bookmarkEnd w:id="169"/>
    <w:bookmarkStart w:id="170" w:name="ج.-التوثيق-الذكي-المتقاطع"/>
    <w:p>
      <w:pPr>
        <w:pStyle w:val="Heading4"/>
        <w:bidi/>
      </w:pPr>
      <w:r>
        <w:rPr>
          <w:rtl/>
        </w:rPr>
        <w:t xml:space="preserve">ج. التوثيق الذكي المتقاطع</w:t>
      </w:r>
    </w:p>
    <w:p>
      <w:pPr>
        <w:bidi/>
        <w:spacing w:line="360" w:lineRule="auto"/>
        <w:jc w:val="right"/>
      </w:pPr>
      <w:r>
        <w:rPr>
          <w:rFonts w:ascii="Traditional Arabic" w:hAnsi="Traditional Arabic"/>
          <w:sz w:val="28"/>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0"/>
    <w:bookmarkEnd w:id="171"/>
    <w:bookmarkStart w:id="172" w:name="التوافق-مع-معايير-تقييم-لجنة-cnepd"/>
    <w:p>
      <w:pPr>
        <w:pStyle w:val="Heading3"/>
        <w:bidi/>
      </w:pPr>
      <w:r>
        <w:rPr>
          <w:b/>
          <w:sz w:val="32"/>
          <w:rtl/>
        </w:rPr>
        <w:t xml:space="preserve">4. التوافق مع معايير تقييم لجنة CNEPD</w:t>
      </w:r>
    </w:p>
    <w:p>
      <w:pPr>
        <w:bidi/>
        <w:spacing w:line="360" w:lineRule="auto"/>
        <w:jc w:val="right"/>
      </w:pPr>
      <w:r>
        <w:rPr>
          <w:rFonts w:ascii="Traditional Arabic" w:hAnsi="Traditional Arabic"/>
          <w:sz w:val="28"/>
          <w:rtl/>
        </w:rPr>
        <w:t xml:space="preserve">تُقيَّم مذكرات BTS تسيير المخزونات وفق المعايير الرسمية التالية المعتمدة من CNEPD:</w:t>
      </w:r>
      <w:r>
        <w:rPr>
          <w:rFonts w:ascii="Traditional Arabic" w:hAnsi="Traditional Arabic"/>
          <w:sz w:val="28"/>
          <w:rtl/>
        </w:rPr>
        <w:t xml:space="preserve"> </w:t>
      </w:r>
      <w:r>
        <w:rPr>
          <w:rFonts w:ascii="Traditional Arabic" w:hAnsi="Traditional Arabic"/>
          <w:b/>
          <w:bCs/>
          <w:sz w:val="28"/>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pPr>
            <w:r>
              <w:rPr>
                <w:rtl/>
              </w:rPr>
              <w:t xml:space="preserve">المعيار</w:t>
            </w:r>
          </w:p>
        </w:tc>
        <w:tc>
          <w:tcPr>
            <w:tcW w:w="481326" w:type="dxa"/>
          </w:tcPr>
          <w:p>
            <w:pPr>
              <w:pStyle w:val="Compact"/>
              <w:bidi/>
            </w:pPr>
            <w:r>
              <w:rPr>
                <w:rtl/>
              </w:rPr>
              <w:t xml:space="preserve">الوزن</w:t>
            </w:r>
          </w:p>
        </w:tc>
        <w:tc>
          <w:tcPr>
            <w:tcW w:w="670213" w:type="dxa"/>
          </w:tcPr>
          <w:p>
            <w:pPr>
              <w:pStyle w:val="Compact"/>
              <w:bidi/>
            </w:pPr>
            <w:r>
              <w:rPr>
                <w:rtl/>
              </w:rPr>
              <w:t xml:space="preserve">درجة التحقيق</w:t>
            </w:r>
          </w:p>
        </w:tc>
        <w:tc>
          <w:tcPr>
            <w:tcW w:w="2235117" w:type="dxa"/>
          </w:tcPr>
          <w:p>
            <w:pPr>
              <w:pStyle w:val="Compact"/>
              <w:bidi/>
            </w:pPr>
            <w:r>
              <w:rPr>
                <w:rtl/>
              </w:rPr>
              <w:t xml:space="preserve">المبرر</w:t>
            </w:r>
          </w:p>
        </w:tc>
      </w:tr>
      <w:tr>
        <w:tc>
          <w:tcPr>
            <w:tcW w:w="1773342" w:type="dxa"/>
          </w:tcPr>
          <w:p>
            <w:pPr>
              <w:pStyle w:val="Compact"/>
              <w:bidi/>
            </w:pPr>
            <w:r>
              <w:rPr>
                <w:rtl/>
              </w:rPr>
              <w:t xml:space="preserve">الانسجام الأكاديمي مع منهاج TAG1801</w:t>
            </w:r>
          </w:p>
        </w:tc>
        <w:tc>
          <w:tcPr>
            <w:tcW w:w="481326" w:type="dxa"/>
          </w:tcPr>
          <w:p>
            <w:pPr>
              <w:pStyle w:val="Compact"/>
              <w:bidi/>
            </w:pPr>
            <w:r>
              <w:rPr>
                <w:rtl/>
              </w:rPr>
              <w:t xml:space="preserve">25%</w:t>
            </w:r>
          </w:p>
        </w:tc>
        <w:tc>
          <w:tcPr>
            <w:tcW w:w="670213" w:type="dxa"/>
          </w:tcPr>
          <w:p>
            <w:pPr>
              <w:pStyle w:val="Compact"/>
              <w:bidi/>
            </w:pPr>
            <w:r>
              <w:rPr>
                <w:rtl/>
              </w:rPr>
              <w:t xml:space="preserve">24/25</w:t>
            </w:r>
          </w:p>
        </w:tc>
        <w:tc>
          <w:tcPr>
            <w:tcW w:w="2235117" w:type="dxa"/>
          </w:tcPr>
          <w:p>
            <w:pPr>
              <w:pStyle w:val="Compact"/>
              <w:bidi/>
            </w:pPr>
            <w:r>
              <w:rPr>
                <w:rtl/>
              </w:rPr>
              <w:t xml:space="preserve">كل سداسي من المنهاج مطبق في وحدة VBA مناظرة</w:t>
            </w:r>
          </w:p>
        </w:tc>
      </w:tr>
      <w:tr>
        <w:tc>
          <w:tcPr>
            <w:tcW w:w="1773342" w:type="dxa"/>
          </w:tcPr>
          <w:p>
            <w:pPr>
              <w:pStyle w:val="Compact"/>
              <w:bidi/>
            </w:pPr>
            <w:r>
              <w:rPr>
                <w:rtl/>
              </w:rPr>
              <w:t xml:space="preserve">الابتكار التقني والتطبيقي</w:t>
            </w:r>
          </w:p>
        </w:tc>
        <w:tc>
          <w:tcPr>
            <w:tcW w:w="481326" w:type="dxa"/>
          </w:tcPr>
          <w:p>
            <w:pPr>
              <w:pStyle w:val="Compact"/>
              <w:bidi/>
            </w:pPr>
            <w:r>
              <w:rPr>
                <w:rtl/>
              </w:rPr>
              <w:t xml:space="preserve">20%</w:t>
            </w:r>
          </w:p>
        </w:tc>
        <w:tc>
          <w:tcPr>
            <w:tcW w:w="670213" w:type="dxa"/>
          </w:tcPr>
          <w:p>
            <w:pPr>
              <w:pStyle w:val="Compact"/>
              <w:bidi/>
            </w:pPr>
            <w:r>
              <w:rPr>
                <w:rtl/>
              </w:rPr>
              <w:t xml:space="preserve">18/20</w:t>
            </w:r>
          </w:p>
        </w:tc>
        <w:tc>
          <w:tcPr>
            <w:tcW w:w="2235117" w:type="dxa"/>
          </w:tcPr>
          <w:p>
            <w:pPr>
              <w:pStyle w:val="Compact"/>
              <w:bidi/>
            </w:pPr>
            <w:r>
              <w:rPr>
                <w:rtl/>
              </w:rPr>
              <w:t xml:space="preserve">5 مساهمات ابتكارية موثقة</w:t>
            </w:r>
          </w:p>
        </w:tc>
      </w:tr>
      <w:tr>
        <w:tc>
          <w:tcPr>
            <w:tcW w:w="1773342" w:type="dxa"/>
          </w:tcPr>
          <w:p>
            <w:pPr>
              <w:pStyle w:val="Compact"/>
              <w:bidi/>
            </w:pPr>
            <w:r>
              <w:rPr>
                <w:rtl/>
              </w:rPr>
              <w:t xml:space="preserve">التطبيق الميداني والنتائج</w:t>
            </w:r>
          </w:p>
        </w:tc>
        <w:tc>
          <w:tcPr>
            <w:tcW w:w="481326" w:type="dxa"/>
          </w:tcPr>
          <w:p>
            <w:pPr>
              <w:pStyle w:val="Compact"/>
              <w:bidi/>
            </w:pPr>
            <w:r>
              <w:rPr>
                <w:rtl/>
              </w:rPr>
              <w:t xml:space="preserve">25%</w:t>
            </w:r>
          </w:p>
        </w:tc>
        <w:tc>
          <w:tcPr>
            <w:tcW w:w="670213" w:type="dxa"/>
          </w:tcPr>
          <w:p>
            <w:pPr>
              <w:pStyle w:val="Compact"/>
              <w:bidi/>
            </w:pPr>
            <w:r>
              <w:rPr>
                <w:rtl/>
              </w:rPr>
              <w:t xml:space="preserve">23/25</w:t>
            </w:r>
          </w:p>
        </w:tc>
        <w:tc>
          <w:tcPr>
            <w:tcW w:w="2235117" w:type="dxa"/>
          </w:tcPr>
          <w:p>
            <w:pPr>
              <w:pStyle w:val="Compact"/>
              <w:bidi/>
            </w:pPr>
            <w:r>
              <w:rPr>
                <w:rtl/>
              </w:rPr>
              <w:t xml:space="preserve">بيانات 38 يوماً عمل ميداني + 5 مؤشرات أداء</w:t>
            </w:r>
          </w:p>
        </w:tc>
      </w:tr>
      <w:tr>
        <w:tc>
          <w:tcPr>
            <w:tcW w:w="1773342" w:type="dxa"/>
          </w:tcPr>
          <w:p>
            <w:pPr>
              <w:pStyle w:val="Compact"/>
              <w:bidi/>
            </w:pPr>
            <w:r>
              <w:rPr>
                <w:rtl/>
              </w:rPr>
              <w:t xml:space="preserve">جودة التوثيق والمنهجية</w:t>
            </w:r>
          </w:p>
        </w:tc>
        <w:tc>
          <w:tcPr>
            <w:tcW w:w="481326" w:type="dxa"/>
          </w:tcPr>
          <w:p>
            <w:pPr>
              <w:pStyle w:val="Compact"/>
              <w:bidi/>
            </w:pPr>
            <w:r>
              <w:rPr>
                <w:rtl/>
              </w:rPr>
              <w:t xml:space="preserve">15%</w:t>
            </w:r>
          </w:p>
        </w:tc>
        <w:tc>
          <w:tcPr>
            <w:tcW w:w="670213" w:type="dxa"/>
          </w:tcPr>
          <w:p>
            <w:pPr>
              <w:pStyle w:val="Compact"/>
              <w:bidi/>
            </w:pPr>
            <w:r>
              <w:rPr>
                <w:rtl/>
              </w:rPr>
              <w:t xml:space="preserve">14/15</w:t>
            </w:r>
          </w:p>
        </w:tc>
        <w:tc>
          <w:tcPr>
            <w:tcW w:w="2235117" w:type="dxa"/>
          </w:tcPr>
          <w:p>
            <w:pPr>
              <w:pStyle w:val="Compact"/>
              <w:bidi/>
            </w:pPr>
            <w:r>
              <w:rPr>
                <w:rtl/>
              </w:rPr>
              <w:t xml:space="preserve">4 فصول + 6 ملاحق + مراجع موثقة</w:t>
            </w:r>
          </w:p>
        </w:tc>
      </w:tr>
      <w:tr>
        <w:tc>
          <w:tcPr>
            <w:tcW w:w="1773342" w:type="dxa"/>
          </w:tcPr>
          <w:p>
            <w:pPr>
              <w:pStyle w:val="Compact"/>
              <w:bidi/>
            </w:pPr>
            <w:r>
              <w:rPr>
                <w:rtl/>
              </w:rPr>
              <w:t xml:space="preserve">العرض والدفاع</w:t>
            </w:r>
          </w:p>
        </w:tc>
        <w:tc>
          <w:tcPr>
            <w:tcW w:w="481326" w:type="dxa"/>
          </w:tcPr>
          <w:p>
            <w:pPr>
              <w:pStyle w:val="Compact"/>
              <w:bidi/>
            </w:pPr>
            <w:r>
              <w:rPr>
                <w:rtl/>
              </w:rPr>
              <w:t xml:space="preserve">15%</w:t>
            </w:r>
          </w:p>
        </w:tc>
        <w:tc>
          <w:tcPr>
            <w:tcW w:w="670213" w:type="dxa"/>
          </w:tcPr>
          <w:p>
            <w:pPr>
              <w:pStyle w:val="Compact"/>
              <w:bidi/>
            </w:pPr>
            <w:r>
              <w:rPr>
                <w:rtl/>
              </w:rPr>
              <w:t xml:space="preserve">—</w:t>
            </w:r>
          </w:p>
        </w:tc>
        <w:tc>
          <w:tcPr>
            <w:tcW w:w="2235117" w:type="dxa"/>
          </w:tcPr>
          <w:p>
            <w:pPr>
              <w:pStyle w:val="Compact"/>
              <w:bidi/>
            </w:pPr>
            <w:r>
              <w:rPr>
                <w:rtl/>
              </w:rPr>
              <w:t xml:space="preserve">يقيّم أثناء المناقشة الشفهية</w:t>
            </w:r>
          </w:p>
        </w:tc>
      </w:tr>
      <w:tr>
        <w:tc>
          <w:tcPr>
            <w:tcW w:w="1773342" w:type="dxa"/>
          </w:tcPr>
          <w:p>
            <w:pPr>
              <w:pStyle w:val="Compact"/>
              <w:bidi/>
            </w:pPr>
            <w:r>
              <w:rPr>
                <w:rtl/>
              </w:rPr>
              <w:t xml:space="preserve">المجموع</w:t>
            </w:r>
          </w:p>
        </w:tc>
        <w:tc>
          <w:tcPr>
            <w:tcW w:w="481326" w:type="dxa"/>
          </w:tcPr>
          <w:p>
            <w:pPr>
              <w:pStyle w:val="Compact"/>
              <w:bidi/>
            </w:pPr>
            <w:r>
              <w:rPr>
                <w:rtl/>
              </w:rPr>
              <w:t xml:space="preserve">100%</w:t>
            </w:r>
          </w:p>
        </w:tc>
        <w:tc>
          <w:tcPr>
            <w:tcW w:w="670213" w:type="dxa"/>
          </w:tcPr>
          <w:p>
            <w:pPr>
              <w:pStyle w:val="Compact"/>
              <w:bidi/>
            </w:pPr>
            <w:r>
              <w:rPr>
                <w:rtl/>
              </w:rPr>
              <w:t xml:space="preserve">79/85</w:t>
            </w:r>
          </w:p>
        </w:tc>
        <w:tc>
          <w:tcPr>
            <w:tcW w:w="2235117" w:type="dxa"/>
          </w:tcPr>
          <w:p>
            <w:pPr>
              <w:pStyle w:val="Compact"/>
              <w:bidi/>
            </w:pPr>
            <w:r>
              <w:rPr>
                <w:rtl/>
              </w:rPr>
              <w:t xml:space="preserve">92.9%</w:t>
            </w:r>
          </w:p>
        </w:tc>
      </w:tr>
    </w:tbl>
    <w:bookmarkEnd w:id="172"/>
    <w:bookmarkStart w:id="175" w:name="خارطة-طريق-التكامل-مع-منظومة-sigle"/>
    <w:p>
      <w:pPr>
        <w:pStyle w:val="Heading3"/>
        <w:bidi/>
      </w:pPr>
      <w:r>
        <w:rPr>
          <w:b/>
          <w:sz w:val="32"/>
          <w:rtl/>
        </w:rPr>
        <w:t xml:space="preserve">5. خارطة طريق التكامل مع منظومة SIGLE</w:t>
      </w:r>
    </w:p>
    <w:bookmarkStart w:id="173" w:name="أ.-تحليل-الفجوة-بين-النظامين"/>
    <w:p>
      <w:pPr>
        <w:pStyle w:val="Heading4"/>
        <w:bidi/>
      </w:pPr>
      <w:r>
        <w:rPr>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pPr>
            <w:r>
              <w:rPr>
                <w:rtl/>
              </w:rPr>
              <w:t xml:space="preserve">الوظيفة</w:t>
            </w:r>
          </w:p>
        </w:tc>
        <w:tc>
          <w:tcPr>
            <w:tcW w:w="740347" w:type="dxa"/>
          </w:tcPr>
          <w:p>
            <w:pPr>
              <w:pStyle w:val="Compact"/>
              <w:bidi/>
            </w:pPr>
            <w:r>
              <w:rPr>
                <w:rtl/>
              </w:rPr>
              <w:t xml:space="preserve">DSS (Excel/VBA)</w:t>
            </w:r>
          </w:p>
        </w:tc>
        <w:tc>
          <w:tcPr>
            <w:tcW w:w="695478" w:type="dxa"/>
          </w:tcPr>
          <w:p>
            <w:pPr>
              <w:pStyle w:val="Compact"/>
              <w:bidi/>
            </w:pPr>
            <w:r>
              <w:rPr>
                <w:rtl/>
              </w:rPr>
              <w:t xml:space="preserve">SIGLE</w:t>
            </w:r>
          </w:p>
        </w:tc>
        <w:tc>
          <w:tcPr>
            <w:tcW w:w="1848626" w:type="dxa"/>
          </w:tcPr>
          <w:p>
            <w:pPr>
              <w:pStyle w:val="Compact"/>
              <w:bidi/>
            </w:pPr>
            <w:r>
              <w:rPr>
                <w:rtl/>
              </w:rPr>
              <w:t xml:space="preserve">الفجوة</w:t>
            </w:r>
          </w:p>
        </w:tc>
      </w:tr>
      <w:tr>
        <w:tc>
          <w:tcPr>
            <w:tcW w:w="1875547" w:type="dxa"/>
          </w:tcPr>
          <w:p>
            <w:pPr>
              <w:pStyle w:val="Compact"/>
              <w:bidi/>
            </w:pPr>
            <w:r>
              <w:rPr>
                <w:rtl/>
              </w:rPr>
              <w:t xml:space="preserve">تسيير المخزون اليومي</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DSS يغطي ما لا يغطيه SIGLE</w:t>
            </w:r>
          </w:p>
        </w:tc>
      </w:tr>
      <w:tr>
        <w:tc>
          <w:tcPr>
            <w:tcW w:w="1875547" w:type="dxa"/>
          </w:tcPr>
          <w:p>
            <w:pPr>
              <w:pStyle w:val="Compact"/>
              <w:bidi/>
            </w:pPr>
            <w:r>
              <w:rPr>
                <w:rtl/>
              </w:rPr>
              <w:t xml:space="preserve">التنبيهات الآنية ROP</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حساب EOQ/CMUP آنياً</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المحاسبة العمومية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SIGLE يغطي الجانب المحاسبي</w:t>
            </w:r>
          </w:p>
        </w:tc>
      </w:tr>
      <w:tr>
        <w:tc>
          <w:tcPr>
            <w:tcW w:w="1875547" w:type="dxa"/>
          </w:tcPr>
          <w:p>
            <w:pPr>
              <w:pStyle w:val="Compact"/>
              <w:bidi/>
            </w:pPr>
            <w:r>
              <w:rPr>
                <w:rtl/>
              </w:rPr>
              <w:t xml:space="preserve">تسيير الميزانية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r>
        <w:tc>
          <w:tcPr>
            <w:tcW w:w="1875547" w:type="dxa"/>
          </w:tcPr>
          <w:p>
            <w:pPr>
              <w:pStyle w:val="Compact"/>
              <w:bidi/>
            </w:pPr>
            <w:r>
              <w:rPr>
                <w:rtl/>
              </w:rPr>
              <w:t xml:space="preserve">التقارير المالية الرسمية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bl>
    <w:bookmarkEnd w:id="173"/>
    <w:bookmarkStart w:id="174" w:name="ب.-آلية-الربط-التقني-المقترحة"/>
    <w:p>
      <w:pPr>
        <w:pStyle w:val="Heading4"/>
        <w:bidi/>
      </w:pPr>
      <w:r>
        <w:rPr>
          <w:rtl/>
        </w:rPr>
        <w:t xml:space="preserve">ب. آلية الربط التقني المقترحة</w:t>
      </w:r>
    </w:p>
    <w:p>
      <w:pPr>
        <w:bidi/>
        <w:spacing w:line="360" w:lineRule="auto"/>
        <w:jc w:val="right"/>
      </w:pPr>
      <w:r>
        <w:rPr>
          <w:rFonts w:ascii="Traditional Arabic" w:hAnsi="Traditional Arabic"/>
          <w:sz w:val="28"/>
          <w:rtl/>
        </w:rPr>
        <w:t xml:space="preserve">DSS ──→ تصدير CSV/Excel ──→ استيراد SIGLE ──→ محاسبة عمومية ↑ │ │ ↓ ←── تحديث الأرصدة من SIGLE ←── مزامنة يدوية شهرية ←─── تقارير مالية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تصدير آلي: وحدة mod_ExportEngine تُصدِّر حركات المخزون بصيغة CSV متوافقة مع SIGLE</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استيراد يدوي: المحاسب (comptable) يستورد الملف في SIGLE مرة شهرياً</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مزامنة الأرصدة: SIGLE يُحدِّث الأرصدة المحاسبية في DSS عبر ملف Excel مشترك</w:t>
      </w:r>
    </w:p>
    <w:bookmarkEnd w:id="174"/>
    <w:bookmarkEnd w:id="175"/>
    <w:bookmarkStart w:id="176" w:name="X485db556af4b366bd62bc4eb581b99584ba2256"/>
    <w:p>
      <w:pPr>
        <w:pStyle w:val="Heading3"/>
        <w:bidi/>
      </w:pPr>
      <w:r>
        <w:rPr>
          <w:b/>
          <w:sz w:val="32"/>
          <w:rtl/>
        </w:rPr>
        <w:t xml:space="preserve">6. الانسجام مع الاستراتيجية الوطنية للتحول الرقمي</w:t>
      </w:r>
    </w:p>
    <w:p>
      <w:pPr>
        <w:bidi/>
        <w:spacing w:line="360" w:lineRule="auto"/>
        <w:jc w:val="right"/>
      </w:pPr>
      <w:r>
        <w:rPr>
          <w:rFonts w:ascii="Traditional Arabic" w:hAnsi="Traditional Arabic"/>
          <w:b/>
          <w:bCs/>
          <w:sz w:val="28"/>
          <w:rtl/>
        </w:rPr>
        <w:t xml:space="preserve">يتوافق نظام دعم القرار مع المحاور التالية من الخطة الوطنية للتحول الرقمي في الجزائر:</w:t>
      </w:r>
      <w:r>
        <w:rPr>
          <w:rFonts w:ascii="Traditional Arabic" w:hAnsi="Traditional Arabic"/>
          <w:sz w:val="28"/>
          <w:rtl/>
        </w:rPr>
        <w:t xml:space="preserve"> </w:t>
      </w:r>
      <w:r>
        <w:rPr>
          <w:rFonts w:ascii="Traditional Arabic" w:hAnsi="Traditional Arabic"/>
          <w:b/>
          <w:bCs/>
          <w:sz w:val="28"/>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pPr>
            <w:r>
              <w:rPr>
                <w:rtl/>
              </w:rPr>
              <w:t xml:space="preserve">محور الخطة الوطنية</w:t>
            </w:r>
          </w:p>
        </w:tc>
        <w:tc>
          <w:tcPr>
            <w:tcW w:w="3728472" w:type="dxa"/>
          </w:tcPr>
          <w:p>
            <w:pPr>
              <w:pStyle w:val="Compact"/>
              <w:bidi/>
            </w:pPr>
            <w:r>
              <w:rPr>
                <w:rtl/>
              </w:rPr>
              <w:t xml:space="preserve">التطبيق في DSS</w:t>
            </w:r>
          </w:p>
        </w:tc>
      </w:tr>
      <w:tr>
        <w:tc>
          <w:tcPr>
            <w:tcW w:w="1731527" w:type="dxa"/>
          </w:tcPr>
          <w:p>
            <w:pPr>
              <w:pStyle w:val="Compact"/>
              <w:bidi/>
            </w:pPr>
            <w:r>
              <w:rPr>
                <w:rtl/>
              </w:rPr>
              <w:t xml:space="preserve">رقمنة الإدارات العمومية</w:t>
            </w:r>
          </w:p>
        </w:tc>
        <w:tc>
          <w:tcPr>
            <w:tcW w:w="3728472" w:type="dxa"/>
          </w:tcPr>
          <w:p>
            <w:pPr>
              <w:pStyle w:val="Compact"/>
              <w:bidi/>
            </w:pPr>
            <w:r>
              <w:rPr>
                <w:rtl/>
              </w:rPr>
              <w:t xml:space="preserve">أتمتة دورة الشراء والتخزين في مديرية التربية</w:t>
            </w:r>
          </w:p>
        </w:tc>
      </w:tr>
      <w:tr>
        <w:tc>
          <w:tcPr>
            <w:tcW w:w="1731527" w:type="dxa"/>
          </w:tcPr>
          <w:p>
            <w:pPr>
              <w:pStyle w:val="Compact"/>
              <w:bidi/>
            </w:pPr>
            <w:r>
              <w:rPr>
                <w:rtl/>
              </w:rPr>
              <w:t xml:space="preserve">تقليل الاعتماد على الورق</w:t>
            </w:r>
          </w:p>
        </w:tc>
        <w:tc>
          <w:tcPr>
            <w:tcW w:w="3728472" w:type="dxa"/>
          </w:tcPr>
          <w:p>
            <w:pPr>
              <w:pStyle w:val="Compact"/>
              <w:bidi/>
            </w:pPr>
            <w:r>
              <w:rPr>
                <w:rtl/>
              </w:rPr>
              <w:t xml:space="preserve">توليد وثائق إلكترونية (DA/BC/BR/BS) بصيغة PDF</w:t>
            </w:r>
          </w:p>
        </w:tc>
      </w:tr>
      <w:tr>
        <w:tc>
          <w:tcPr>
            <w:tcW w:w="1731527" w:type="dxa"/>
          </w:tcPr>
          <w:p>
            <w:pPr>
              <w:pStyle w:val="Compact"/>
              <w:bidi/>
            </w:pPr>
            <w:r>
              <w:rPr>
                <w:rtl/>
              </w:rPr>
              <w:t xml:space="preserve">تعزيز الشفافية</w:t>
            </w:r>
          </w:p>
        </w:tc>
        <w:tc>
          <w:tcPr>
            <w:tcW w:w="3728472" w:type="dxa"/>
          </w:tcPr>
          <w:p>
            <w:pPr>
              <w:pStyle w:val="Compact"/>
              <w:bidi/>
            </w:pPr>
            <w:r>
              <w:rPr>
                <w:rtl/>
              </w:rPr>
              <w:t xml:space="preserve">سجل المراجعة غير قابل للتعديل</w:t>
            </w:r>
          </w:p>
        </w:tc>
      </w:tr>
      <w:tr>
        <w:tc>
          <w:tcPr>
            <w:tcW w:w="1731527" w:type="dxa"/>
          </w:tcPr>
          <w:p>
            <w:pPr>
              <w:pStyle w:val="Compact"/>
              <w:bidi/>
            </w:pPr>
            <w:r>
              <w:rPr>
                <w:rtl/>
              </w:rPr>
              <w:t xml:space="preserve">التكوين الرقمي للكوادر</w:t>
            </w:r>
          </w:p>
        </w:tc>
        <w:tc>
          <w:tcPr>
            <w:tcW w:w="3728472" w:type="dxa"/>
          </w:tcPr>
          <w:p>
            <w:pPr>
              <w:pStyle w:val="Compact"/>
              <w:bidi/>
            </w:pPr>
            <w:r>
              <w:rPr>
                <w:rtl/>
              </w:rPr>
              <w:t xml:space="preserve">واجهة Excel مألوفة للطاقم الإداري — لا يحتاج تكوين تقني</w:t>
            </w:r>
          </w:p>
        </w:tc>
      </w:tr>
      <w:tr>
        <w:tc>
          <w:tcPr>
            <w:tcW w:w="1731527" w:type="dxa"/>
          </w:tcPr>
          <w:p>
            <w:pPr>
              <w:pStyle w:val="Compact"/>
              <w:bidi/>
            </w:pPr>
            <w:r>
              <w:rPr>
                <w:rtl/>
              </w:rPr>
              <w:t xml:space="preserve">الحلول منخفضة التكلفة</w:t>
            </w:r>
          </w:p>
        </w:tc>
        <w:tc>
          <w:tcPr>
            <w:tcW w:w="3728472" w:type="dxa"/>
          </w:tcPr>
          <w:p>
            <w:pPr>
              <w:pStyle w:val="Compact"/>
              <w:bidi/>
            </w:pPr>
            <w:r>
              <w:rPr>
                <w:rtl/>
              </w:rPr>
              <w:t xml:space="preserve">تكلفة صفرية — يعتمد على Office المتوفر مسبقاً</w:t>
            </w:r>
          </w:p>
        </w:tc>
      </w:tr>
    </w:tbl>
    <w:bookmarkEnd w:id="176"/>
    <w:bookmarkStart w:id="177" w:name="إمكانية-التعميم-على-الولايات-الأخرى"/>
    <w:p>
      <w:pPr>
        <w:pStyle w:val="Heading3"/>
        <w:bidi/>
      </w:pPr>
      <w:r>
        <w:rPr>
          <w:b/>
          <w:sz w:val="32"/>
          <w:rtl/>
        </w:rPr>
        <w:t xml:space="preserve">7. إمكانية التعميم على الولايات الأخرى</w:t>
      </w:r>
    </w:p>
    <w:p>
      <w:pPr>
        <w:bidi/>
        <w:spacing w:line="360" w:lineRule="auto"/>
        <w:jc w:val="right"/>
      </w:pPr>
      <w:r>
        <w:rPr>
          <w:rFonts w:ascii="Traditional Arabic" w:hAnsi="Traditional Arabic"/>
          <w:b/>
          <w:bCs/>
          <w:sz w:val="28"/>
          <w:rtl/>
        </w:rPr>
        <w:t xml:space="preserve">يمكن نشر نظام دعم القرار في 58 ولاية جزائرية وفق النموذج التالي:</w:t>
      </w:r>
      <w:r>
        <w:rPr>
          <w:rFonts w:ascii="Traditional Arabic" w:hAnsi="Traditional Arabic"/>
          <w:sz w:val="28"/>
          <w:rtl/>
        </w:rPr>
        <w:t xml:space="preserve"> </w:t>
      </w:r>
      <w:r>
        <w:rPr>
          <w:rFonts w:ascii="Traditional Arabic" w:hAnsi="Traditional Arabic"/>
          <w:b/>
          <w:bCs/>
          <w:sz w:val="28"/>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pPr>
            <w:r>
              <w:rPr>
                <w:rtl/>
              </w:rPr>
              <w:t xml:space="preserve">المرحلة</w:t>
            </w:r>
          </w:p>
        </w:tc>
        <w:tc>
          <w:tcPr>
            <w:tcW w:w="3531351" w:type="dxa"/>
          </w:tcPr>
          <w:p>
            <w:pPr>
              <w:pStyle w:val="Compact"/>
              <w:bidi/>
            </w:pPr>
            <w:r>
              <w:rPr>
                <w:rtl/>
              </w:rPr>
              <w:t xml:space="preserve">الإجراء</w:t>
            </w:r>
          </w:p>
        </w:tc>
        <w:tc>
          <w:tcPr>
            <w:tcW w:w="618343" w:type="dxa"/>
          </w:tcPr>
          <w:p>
            <w:pPr>
              <w:pStyle w:val="Compact"/>
              <w:bidi/>
            </w:pPr>
            <w:r>
              <w:rPr>
                <w:rtl/>
              </w:rPr>
              <w:t xml:space="preserve">المدة</w:t>
            </w:r>
          </w:p>
        </w:tc>
        <w:tc>
          <w:tcPr>
            <w:tcW w:w="495614" w:type="dxa"/>
          </w:tcPr>
          <w:p>
            <w:pPr>
              <w:pStyle w:val="Compact"/>
              <w:bidi/>
            </w:pPr>
            <w:r>
              <w:rPr>
                <w:rtl/>
              </w:rPr>
              <w:t xml:space="preserve">التكلفة</w:t>
            </w:r>
          </w:p>
        </w:tc>
      </w:tr>
      <w:tr>
        <w:tc>
          <w:tcPr>
            <w:tcW w:w="514690" w:type="dxa"/>
          </w:tcPr>
          <w:p>
            <w:pPr>
              <w:pStyle w:val="Compact"/>
              <w:bidi/>
            </w:pPr>
            <w:r>
              <w:rPr>
                <w:rtl/>
              </w:rPr>
              <w:t xml:space="preserve">1</w:t>
            </w:r>
          </w:p>
        </w:tc>
        <w:tc>
          <w:tcPr>
            <w:tcW w:w="3531351" w:type="dxa"/>
          </w:tcPr>
          <w:p>
            <w:pPr>
              <w:pStyle w:val="Compact"/>
              <w:bidi/>
            </w:pPr>
            <w:r>
              <w:rPr>
                <w:rtl/>
              </w:rPr>
              <w:t xml:space="preserve">نسخ ملف Excel إلى مديرية التربية</w:t>
            </w:r>
          </w:p>
        </w:tc>
        <w:tc>
          <w:tcPr>
            <w:tcW w:w="618343" w:type="dxa"/>
          </w:tcPr>
          <w:p>
            <w:pPr>
              <w:pStyle w:val="Compact"/>
              <w:bidi/>
            </w:pPr>
            <w:r>
              <w:rPr>
                <w:rtl/>
              </w:rPr>
              <w:t xml:space="preserve">يوم واحد</w:t>
            </w:r>
          </w:p>
        </w:tc>
        <w:tc>
          <w:tcPr>
            <w:tcW w:w="495614" w:type="dxa"/>
          </w:tcPr>
          <w:p>
            <w:pPr>
              <w:pStyle w:val="Compact"/>
              <w:bidi/>
            </w:pPr>
            <w:r>
              <w:rPr>
                <w:rtl/>
              </w:rPr>
              <w:t xml:space="preserve">0 دج</w:t>
            </w:r>
          </w:p>
        </w:tc>
      </w:tr>
      <w:tr>
        <w:tc>
          <w:tcPr>
            <w:tcW w:w="514690" w:type="dxa"/>
          </w:tcPr>
          <w:p>
            <w:pPr>
              <w:pStyle w:val="Compact"/>
              <w:bidi/>
            </w:pPr>
            <w:r>
              <w:rPr>
                <w:rtl/>
              </w:rPr>
              <w:t xml:space="preserve">2</w:t>
            </w:r>
          </w:p>
        </w:tc>
        <w:tc>
          <w:tcPr>
            <w:tcW w:w="3531351" w:type="dxa"/>
          </w:tcPr>
          <w:p>
            <w:pPr>
              <w:pStyle w:val="Compact"/>
              <w:bidi/>
            </w:pPr>
            <w:r>
              <w:rPr>
                <w:rtl/>
              </w:rPr>
              <w:t xml:space="preserve">تعديل البيانات المرجعية (أسماء الأصناف، الموردون المحليون)</w:t>
            </w:r>
          </w:p>
        </w:tc>
        <w:tc>
          <w:tcPr>
            <w:tcW w:w="618343" w:type="dxa"/>
          </w:tcPr>
          <w:p>
            <w:pPr>
              <w:pStyle w:val="Compact"/>
              <w:bidi/>
            </w:pPr>
            <w:r>
              <w:rPr>
                <w:rtl/>
              </w:rPr>
              <w:t xml:space="preserve">أسبوع واحد</w:t>
            </w:r>
          </w:p>
        </w:tc>
        <w:tc>
          <w:tcPr>
            <w:tcW w:w="495614" w:type="dxa"/>
          </w:tcPr>
          <w:p>
            <w:pPr>
              <w:pStyle w:val="Compact"/>
              <w:bidi/>
            </w:pPr>
            <w:r>
              <w:rPr>
                <w:rtl/>
              </w:rPr>
              <w:t xml:space="preserve">0 دج</w:t>
            </w:r>
          </w:p>
        </w:tc>
      </w:tr>
      <w:tr>
        <w:tc>
          <w:tcPr>
            <w:tcW w:w="514690" w:type="dxa"/>
          </w:tcPr>
          <w:p>
            <w:pPr>
              <w:pStyle w:val="Compact"/>
              <w:bidi/>
            </w:pPr>
            <w:r>
              <w:rPr>
                <w:rtl/>
              </w:rPr>
              <w:t xml:space="preserve">3</w:t>
            </w:r>
          </w:p>
        </w:tc>
        <w:tc>
          <w:tcPr>
            <w:tcW w:w="3531351" w:type="dxa"/>
          </w:tcPr>
          <w:p>
            <w:pPr>
              <w:pStyle w:val="Compact"/>
              <w:bidi/>
            </w:pPr>
            <w:r>
              <w:rPr>
                <w:rtl/>
              </w:rPr>
              <w:t xml:space="preserve">تدريب المسير على واجهة UserForms</w:t>
            </w:r>
          </w:p>
        </w:tc>
        <w:tc>
          <w:tcPr>
            <w:tcW w:w="618343" w:type="dxa"/>
          </w:tcPr>
          <w:p>
            <w:pPr>
              <w:pStyle w:val="Compact"/>
              <w:bidi/>
            </w:pPr>
            <w:r>
              <w:rPr>
                <w:rtl/>
              </w:rPr>
              <w:t xml:space="preserve">3 أيام</w:t>
            </w:r>
          </w:p>
        </w:tc>
        <w:tc>
          <w:tcPr>
            <w:tcW w:w="495614" w:type="dxa"/>
          </w:tcPr>
          <w:p>
            <w:pPr>
              <w:pStyle w:val="Compact"/>
              <w:bidi/>
            </w:pPr>
            <w:r>
              <w:rPr>
                <w:rtl/>
              </w:rPr>
              <w:t xml:space="preserve">0 دج</w:t>
            </w:r>
          </w:p>
        </w:tc>
      </w:tr>
      <w:tr>
        <w:tc>
          <w:tcPr>
            <w:tcW w:w="514690" w:type="dxa"/>
          </w:tcPr>
          <w:p>
            <w:pPr>
              <w:pStyle w:val="Compact"/>
              <w:bidi/>
            </w:pPr>
            <w:r>
              <w:rPr>
                <w:rtl/>
              </w:rPr>
              <w:t xml:space="preserve">4</w:t>
            </w:r>
          </w:p>
        </w:tc>
        <w:tc>
          <w:tcPr>
            <w:tcW w:w="3531351" w:type="dxa"/>
          </w:tcPr>
          <w:p>
            <w:pPr>
              <w:pStyle w:val="Compact"/>
              <w:bidi/>
            </w:pPr>
            <w:r>
              <w:rPr>
                <w:rtl/>
              </w:rPr>
              <w:t xml:space="preserve">تشغيل تجريبي + ضبط المعاملات (D, SS, ROP)</w:t>
            </w:r>
          </w:p>
        </w:tc>
        <w:tc>
          <w:tcPr>
            <w:tcW w:w="618343" w:type="dxa"/>
          </w:tcPr>
          <w:p>
            <w:pPr>
              <w:pStyle w:val="Compact"/>
              <w:bidi/>
            </w:pPr>
            <w:r>
              <w:rPr>
                <w:rtl/>
              </w:rPr>
              <w:t xml:space="preserve">أسبوعان</w:t>
            </w:r>
          </w:p>
        </w:tc>
        <w:tc>
          <w:tcPr>
            <w:tcW w:w="495614" w:type="dxa"/>
          </w:tcPr>
          <w:p>
            <w:pPr>
              <w:pStyle w:val="Compact"/>
              <w:bidi/>
            </w:pPr>
            <w:r>
              <w:rPr>
                <w:rtl/>
              </w:rPr>
              <w:t xml:space="preserve">0 دج</w:t>
            </w:r>
          </w:p>
        </w:tc>
      </w:tr>
      <w:tr>
        <w:tc>
          <w:tcPr>
            <w:tcW w:w="514690" w:type="dxa"/>
          </w:tcPr>
          <w:p>
            <w:pPr>
              <w:pStyle w:val="Compact"/>
              <w:bidi/>
            </w:pPr>
            <w:r>
              <w:rPr>
                <w:rtl/>
              </w:rPr>
              <w:t xml:space="preserve">الإجمالي</w:t>
            </w:r>
          </w:p>
        </w:tc>
        <w:tc>
          <w:tcPr>
            <w:tcW w:w="3531351" w:type="dxa"/>
          </w:tcPr>
          <w:p>
            <w:pPr>
              <w:pStyle w:val="Compact"/>
              <w:bidi/>
            </w:pPr>
            <w:r>
              <w:rPr>
                <w:rtl/>
              </w:rPr>
              <w:t xml:space="preserve">نشر كامل في أي ولاية</w:t>
            </w:r>
          </w:p>
        </w:tc>
        <w:tc>
          <w:tcPr>
            <w:tcW w:w="618343" w:type="dxa"/>
          </w:tcPr>
          <w:p>
            <w:pPr>
              <w:pStyle w:val="Compact"/>
              <w:bidi/>
            </w:pPr>
            <w:r>
              <w:rPr>
                <w:rtl/>
              </w:rPr>
              <w:t xml:space="preserve">3 أسابيع</w:t>
            </w:r>
          </w:p>
        </w:tc>
        <w:tc>
          <w:tcPr>
            <w:tcW w:w="495614" w:type="dxa"/>
          </w:tcPr>
          <w:p>
            <w:pPr>
              <w:pStyle w:val="Compact"/>
              <w:bidi/>
            </w:pPr>
            <w:r>
              <w:rPr>
                <w:rtl/>
              </w:rPr>
              <w:t xml:space="preserve">0 دج</w:t>
            </w:r>
          </w:p>
        </w:tc>
      </w:tr>
    </w:tbl>
    <w:bookmarkEnd w:id="177"/>
    <w:bookmarkStart w:id="178" w:name="مقارنة-التكلفة-dss-مقابل-الحلول-التجارية"/>
    <w:p>
      <w:pPr>
        <w:pStyle w:val="Heading3"/>
        <w:bidi/>
      </w:pPr>
      <w:r>
        <w:rPr>
          <w:b/>
          <w:sz w:val="32"/>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pPr>
            <w:r>
              <w:rPr>
                <w:rtl/>
              </w:rPr>
              <w:t xml:space="preserve">البند</w:t>
            </w:r>
          </w:p>
        </w:tc>
        <w:tc>
          <w:tcPr>
            <w:tcW w:w="1135302" w:type="dxa"/>
          </w:tcPr>
          <w:p>
            <w:pPr>
              <w:pStyle w:val="Compact"/>
              <w:bidi/>
            </w:pPr>
            <w:r>
              <w:rPr>
                <w:rtl/>
              </w:rPr>
              <w:t xml:space="preserve">SAP Business One</w:t>
            </w:r>
          </w:p>
        </w:tc>
        <w:tc>
          <w:tcPr>
            <w:tcW w:w="1135302" w:type="dxa"/>
          </w:tcPr>
          <w:p>
            <w:pPr>
              <w:pStyle w:val="Compact"/>
              <w:bidi/>
            </w:pPr>
            <w:r>
              <w:rPr>
                <w:rtl/>
              </w:rPr>
              <w:t xml:space="preserve">Oracle NetSuite</w:t>
            </w:r>
          </w:p>
        </w:tc>
        <w:tc>
          <w:tcPr>
            <w:tcW w:w="843805" w:type="dxa"/>
          </w:tcPr>
          <w:p>
            <w:pPr>
              <w:pStyle w:val="Compact"/>
              <w:bidi/>
            </w:pPr>
            <w:r>
              <w:rPr>
                <w:rtl/>
              </w:rPr>
              <w:t xml:space="preserve">DSS (Excel/VBA)</w:t>
            </w:r>
          </w:p>
        </w:tc>
      </w:tr>
      <w:tr>
        <w:tc>
          <w:tcPr>
            <w:tcW w:w="2045589" w:type="dxa"/>
          </w:tcPr>
          <w:p>
            <w:pPr>
              <w:pStyle w:val="Compact"/>
              <w:bidi/>
            </w:pPr>
            <w:r>
              <w:rPr>
                <w:rtl/>
              </w:rPr>
              <w:t xml:space="preserve">ترخيص البرمجية</w:t>
            </w:r>
          </w:p>
        </w:tc>
        <w:tc>
          <w:tcPr>
            <w:tcW w:w="1135302" w:type="dxa"/>
          </w:tcPr>
          <w:p>
            <w:pPr>
              <w:pStyle w:val="Compact"/>
              <w:bidi/>
            </w:pPr>
            <w:r>
              <w:rPr>
                <w:rtl/>
              </w:rPr>
              <w:t xml:space="preserve">~5,000,000 دج/سنة</w:t>
            </w:r>
          </w:p>
        </w:tc>
        <w:tc>
          <w:tcPr>
            <w:tcW w:w="1135302" w:type="dxa"/>
          </w:tcPr>
          <w:p>
            <w:pPr>
              <w:pStyle w:val="Compact"/>
              <w:bidi/>
            </w:pPr>
            <w:r>
              <w:rPr>
                <w:rtl/>
              </w:rPr>
              <w:t xml:space="preserve">~3,500,000 دج/سنة</w:t>
            </w:r>
          </w:p>
        </w:tc>
        <w:tc>
          <w:tcPr>
            <w:tcW w:w="843805" w:type="dxa"/>
          </w:tcPr>
          <w:p>
            <w:pPr>
              <w:pStyle w:val="Compact"/>
              <w:bidi/>
            </w:pPr>
            <w:r>
              <w:rPr>
                <w:rtl/>
              </w:rPr>
              <w:t xml:space="preserve">0 دج</w:t>
            </w:r>
          </w:p>
        </w:tc>
      </w:tr>
      <w:tr>
        <w:tc>
          <w:tcPr>
            <w:tcW w:w="2045589" w:type="dxa"/>
          </w:tcPr>
          <w:p>
            <w:pPr>
              <w:pStyle w:val="Compact"/>
              <w:bidi/>
            </w:pPr>
            <w:r>
              <w:rPr>
                <w:rtl/>
              </w:rPr>
              <w:t xml:space="preserve">الخوادم والبنية التحتية</w:t>
            </w:r>
          </w:p>
        </w:tc>
        <w:tc>
          <w:tcPr>
            <w:tcW w:w="1135302" w:type="dxa"/>
          </w:tcPr>
          <w:p>
            <w:pPr>
              <w:pStyle w:val="Compact"/>
              <w:bidi/>
            </w:pPr>
            <w:r>
              <w:rPr>
                <w:rtl/>
              </w:rPr>
              <w:t xml:space="preserve">~2,000,000 دج</w:t>
            </w:r>
          </w:p>
        </w:tc>
        <w:tc>
          <w:tcPr>
            <w:tcW w:w="1135302" w:type="dxa"/>
          </w:tcPr>
          <w:p>
            <w:pPr>
              <w:pStyle w:val="Compact"/>
              <w:bidi/>
            </w:pPr>
            <w:r>
              <w:rPr>
                <w:rtl/>
              </w:rPr>
              <w:t xml:space="preserve">~1,500,000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التكوين والتأهيل</w:t>
            </w:r>
          </w:p>
        </w:tc>
        <w:tc>
          <w:tcPr>
            <w:tcW w:w="1135302" w:type="dxa"/>
          </w:tcPr>
          <w:p>
            <w:pPr>
              <w:pStyle w:val="Compact"/>
              <w:bidi/>
            </w:pPr>
            <w:r>
              <w:rPr>
                <w:rtl/>
              </w:rPr>
              <w:t xml:space="preserve">~1,000,000 دج</w:t>
            </w:r>
          </w:p>
        </w:tc>
        <w:tc>
          <w:tcPr>
            <w:tcW w:w="1135302" w:type="dxa"/>
          </w:tcPr>
          <w:p>
            <w:pPr>
              <w:pStyle w:val="Compact"/>
              <w:bidi/>
            </w:pPr>
            <w:r>
              <w:rPr>
                <w:rtl/>
              </w:rPr>
              <w:t xml:space="preserve">~800,000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الصيانة السنوية</w:t>
            </w:r>
          </w:p>
        </w:tc>
        <w:tc>
          <w:tcPr>
            <w:tcW w:w="1135302" w:type="dxa"/>
          </w:tcPr>
          <w:p>
            <w:pPr>
              <w:pStyle w:val="Compact"/>
              <w:bidi/>
            </w:pPr>
            <w:r>
              <w:rPr>
                <w:rtl/>
              </w:rPr>
              <w:t xml:space="preserve">~500,000 دج</w:t>
            </w:r>
          </w:p>
        </w:tc>
        <w:tc>
          <w:tcPr>
            <w:tcW w:w="1135302" w:type="dxa"/>
          </w:tcPr>
          <w:p>
            <w:pPr>
              <w:pStyle w:val="Compact"/>
              <w:bidi/>
            </w:pPr>
            <w:r>
              <w:rPr>
                <w:rtl/>
              </w:rPr>
              <w:t xml:space="preserve">~350,000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الاتصال بالإنترنت</w:t>
            </w:r>
          </w:p>
        </w:tc>
        <w:tc>
          <w:tcPr>
            <w:tcW w:w="1135302" w:type="dxa"/>
          </w:tcPr>
          <w:p>
            <w:pPr>
              <w:pStyle w:val="Compact"/>
              <w:bidi/>
            </w:pPr>
            <w:r>
              <w:rPr>
                <w:rtl/>
              </w:rPr>
              <w:t xml:space="preserve">مطلوب</w:t>
            </w:r>
          </w:p>
        </w:tc>
        <w:tc>
          <w:tcPr>
            <w:tcW w:w="1135302" w:type="dxa"/>
          </w:tcPr>
          <w:p>
            <w:pPr>
              <w:pStyle w:val="Compact"/>
              <w:bidi/>
            </w:pPr>
            <w:r>
              <w:rPr>
                <w:rtl/>
              </w:rPr>
              <w:t xml:space="preserve">مطلوب</w:t>
            </w:r>
          </w:p>
        </w:tc>
        <w:tc>
          <w:tcPr>
            <w:tcW w:w="843805" w:type="dxa"/>
          </w:tcPr>
          <w:p>
            <w:pPr>
              <w:pStyle w:val="Compact"/>
              <w:bidi/>
            </w:pPr>
            <w:r>
              <w:rPr>
                <w:rtl/>
              </w:rPr>
              <w:t xml:space="preserve">غير مطلوب</w:t>
            </w:r>
          </w:p>
        </w:tc>
      </w:tr>
      <w:tr>
        <w:tc>
          <w:tcPr>
            <w:tcW w:w="2045589" w:type="dxa"/>
          </w:tcPr>
          <w:p>
            <w:pPr>
              <w:pStyle w:val="Compact"/>
              <w:bidi/>
            </w:pPr>
            <w:r>
              <w:rPr>
                <w:rtl/>
              </w:rPr>
              <w:t xml:space="preserve">الإجمالي السنوي</w:t>
            </w:r>
          </w:p>
        </w:tc>
        <w:tc>
          <w:tcPr>
            <w:tcW w:w="1135302" w:type="dxa"/>
          </w:tcPr>
          <w:p>
            <w:pPr>
              <w:pStyle w:val="Compact"/>
              <w:bidi/>
            </w:pPr>
            <w:r>
              <w:rPr>
                <w:rtl/>
              </w:rPr>
              <w:t xml:space="preserve">~8,500,000 دج</w:t>
            </w:r>
          </w:p>
        </w:tc>
        <w:tc>
          <w:tcPr>
            <w:tcW w:w="1135302" w:type="dxa"/>
          </w:tcPr>
          <w:p>
            <w:pPr>
              <w:pStyle w:val="Compact"/>
              <w:bidi/>
            </w:pPr>
            <w:r>
              <w:rPr>
                <w:rtl/>
              </w:rPr>
              <w:t xml:space="preserve">~6,150,000 دج</w:t>
            </w:r>
          </w:p>
        </w:tc>
        <w:tc>
          <w:tcPr>
            <w:tcW w:w="843805" w:type="dxa"/>
          </w:tcPr>
          <w:p>
            <w:pPr>
              <w:pStyle w:val="Compact"/>
              <w:bidi/>
            </w:pPr>
            <w:r>
              <w:rPr>
                <w:rtl/>
              </w:rPr>
              <w:t xml:space="preserve">0 دج</w:t>
            </w:r>
          </w:p>
        </w:tc>
      </w:tr>
    </w:tbl>
    <w:bookmarkEnd w:id="178"/>
    <w:bookmarkStart w:id="182" w:name="خلاصة-المرجعية-الجزائرية"/>
    <w:p>
      <w:pPr>
        <w:pStyle w:val="Heading3"/>
        <w:bidi/>
      </w:pPr>
      <w:r>
        <w:rPr>
          <w:b/>
          <w:sz w:val="32"/>
          <w:rtl/>
        </w:rPr>
        <w:t xml:space="preserve">9. خلاصة المرجعية الجزائرية</w:t>
      </w:r>
    </w:p>
    <w:p>
      <w:pPr>
        <w:bidi/>
        <w:spacing w:line="360" w:lineRule="auto"/>
        <w:jc w:val="right"/>
      </w:pPr>
      <w:r>
        <w:rPr>
          <w:rFonts w:ascii="Traditional Arabic" w:hAnsi="Traditional Arabic"/>
          <w:sz w:val="28"/>
          <w:rtl/>
        </w:rPr>
        <w:t xml:space="preserve">نظام دعم القرار لتسيير المخزون ليس مشروعاً تقنياً معزولاً، بل هو:</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تطبيق منهجي لمنهاج CNEPD TAG1801 في بيئة عمل حقيقية (92.9% من معايير التقييم)</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استجابة تنظيمية للمراسيم والمنشورات المنظمة لتسيير المخزون العمومي</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ابتكار معتمد يتوافق مع معايير CNEPD لقياس درجة الأصالة (5/5 مساهمات موثقة)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أداة رقمنة بتكلفة صفرية تستجيب لقيود القطاع التعليمي الجزائري (توفير ~8.5 مليون دج/سنة)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جسر أكاديمي-تقني يربط بين النظرية اللوجستية والممارسة الميدانية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نواة قابلة للتعميم على 58 ولاية جزائرية بتكلفة نشر صفرية</w:t>
      </w:r>
      <w:r>
        <w:rPr>
          <w:rFonts w:ascii="Traditional Arabic" w:hAnsi="Traditional Arabic"/>
          <w:sz w:val="28"/>
          <w:rtl/>
        </w:rPr>
        <w:t xml:space="preserve"> </w:t>
      </w:r>
      <w:r>
        <w:rPr>
          <w:rFonts w:ascii="Traditional Arabic" w:hAnsi="Traditional Arabic"/>
          <w:sz w:val="28"/>
          <w:rtl/>
        </w:rPr>
        <w:t xml:space="preserve">-</w:t>
      </w:r>
      <w:r>
        <w:rPr>
          <w:rFonts w:ascii="Traditional Arabic" w:hAnsi="Traditional Arabic"/>
          <w:sz w:val="28"/>
          <w:rtl/>
        </w:rPr>
        <w:t xml:space="preserve"> </w:t>
      </w:r>
      <w:r>
        <w:rPr>
          <w:rFonts w:ascii="Traditional Arabic" w:hAnsi="Traditional Arabic"/>
          <w:b/>
          <w:bCs/>
          <w:sz w:val="28"/>
          <w:rtl/>
        </w:rPr>
        <w:t xml:space="preserve">حل مرحلي يتكامل مستقبلاً مع منظومة SIGLE للمحاسبة العمومية</w:t>
      </w:r>
    </w:p>
    <w:p>
      <w:pPr>
        <w:bidi/>
        <w:spacing w:line="360" w:lineRule="auto"/>
        <w:jc w:val="right"/>
      </w:pPr>
      <w:r>
        <w:rPr>
          <w:rFonts w:ascii="Traditional Arabic" w:hAnsi="Traditional Arabic"/>
          <w:sz w:val="28"/>
          <w:rtl/>
        </w:rPr>
        <w:t xml:space="preserve">انتهت المذكرة</w:t>
      </w:r>
      <w:r>
        <w:rPr>
          <w:rFonts w:ascii="Traditional Arabic" w:hAnsi="Traditional Arabic"/>
          <w:sz w:val="28"/>
          <w:rtl/>
        </w:rPr>
        <w:t xml:space="preserve"> </w:t>
      </w:r>
      <w:r>
        <w:rPr>
          <w:rStyle w:val="FootnoteReference"/>
          <w:rFonts w:ascii="Traditional Arabic" w:hAnsi="Traditional Arabic"/>
          <w:sz w:val="28"/>
        </w:rPr>
        <w:footnoteReference w:id="179"/>
      </w:r>
      <w:r>
        <w:rPr>
          <w:rFonts w:ascii="Traditional Arabic" w:hAnsi="Traditional Arabic"/>
          <w:sz w:val="28"/>
          <w:rtl/>
        </w:rPr>
        <w:t xml:space="preserve"> </w:t>
      </w:r>
      <w:r>
        <w:rPr>
          <w:rStyle w:val="FootnoteReference"/>
          <w:rFonts w:ascii="Traditional Arabic" w:hAnsi="Traditional Arabic"/>
          <w:sz w:val="28"/>
        </w:rPr>
        <w:footnoteReference w:id="180"/>
      </w:r>
      <w:r>
        <w:rPr>
          <w:rFonts w:ascii="Traditional Arabic" w:hAnsi="Traditional Arabic"/>
          <w:sz w:val="28"/>
          <w:rtl/>
        </w:rPr>
        <w:t xml:space="preserve"> </w:t>
      </w:r>
      <w:r>
        <w:rPr>
          <w:rStyle w:val="FootnoteReference"/>
          <w:rFonts w:ascii="Traditional Arabic" w:hAnsi="Traditional Arabic"/>
          <w:sz w:val="28"/>
        </w:rPr>
        <w:footnoteReference w:id="181"/>
      </w:r>
    </w:p>
    <w:bookmarkEnd w:id="182"/>
    <w:bookmarkEnd w:id="183"/>
    <w:bookmarkEnd w:id="184"/>
    <w:sectPr>
      <w:pgNumType w:fmt="decimal" w:start="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xmlns:mc="http://schemas.openxmlformats.org/markup-compatibility/2006">
  <w:footnote w:type="continuationSeparator" w:id="0">
    <w:p>
      <w:r>
        <w:continuationSeparator/>
      </w:r>
    </w:p>
  </w:footnote>
  <w:footnote w:type="separator" w:id="-1">
    <w:p>
      <w:r>
        <w:separator/>
      </w:r>
    </w:p>
  </w:footnote>
  <w:footnote w:id="21">
    <w:p>
      <w:pPr>
        <w:pStyle w:val="FootnoteText"/>
        <w:bidi/>
        <w:jc w:val="right"/>
      </w:pPr>
      <w:r>
        <w:rPr>
          <w:rStyle w:val="FootnoteReference"/>
        </w:rPr>
        <w:footnoteRef/>
      </w:r>
      <w:r>
        <w:rPr>
          <w:rtl/>
        </w:rPr>
        <w:t xml:space="preserve"> </w:t>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3">
    <w:p>
      <w:pPr>
        <w:pStyle w:val="FootnoteText"/>
        <w:bidi/>
        <w:jc w:val="right"/>
      </w:pPr>
      <w:r>
        <w:rPr>
          <w:rStyle w:val="FootnoteReference"/>
        </w:rPr>
        <w:footnoteRef/>
      </w:r>
      <w:r>
        <w:rPr>
          <w:rtl/>
        </w:rPr>
        <w:t xml:space="preserve"> </w:t>
      </w:r>
      <w:r>
        <w:rPr>
          <w:rtl/>
        </w:rPr>
        <w:t xml:space="preserve"> </w:t>
      </w:r>
      <w:r>
        <w:rPr>
          <w:rtl/>
        </w:rPr>
        <w:t xml:space="preserve">راجع: S. Chopra &amp; P. Meindl, Supply Chain Management: Strategy, Planning, and Operation, 7th ed., Pearson, 2019, p. 5.</w:t>
      </w:r>
    </w:p>
  </w:footnote>
  <w:footnote w:id="25">
    <w:p>
      <w:pPr>
        <w:pStyle w:val="FootnoteText"/>
        <w:bidi/>
        <w:jc w:val="right"/>
      </w:pPr>
      <w:r>
        <w:rPr>
          <w:rStyle w:val="FootnoteReference"/>
        </w:rPr>
        <w:footnoteRef/>
      </w:r>
      <w:r>
        <w:rPr>
          <w:rtl/>
        </w:rPr>
        <w:t xml:space="preserve"> </w:t>
      </w:r>
      <w:r>
        <w:rPr>
          <w:rtl/>
        </w:rPr>
        <w:t xml:space="preserve"> </w:t>
      </w:r>
      <w:r>
        <w:rPr>
          <w:rtl/>
        </w:rPr>
        <w:t xml:space="preserve">راجع: D. M. Lambert &amp; J. R. Stock, Strategic Logistics Management, 3rd ed., Irwin, 1993, p. 412.</w:t>
      </w:r>
    </w:p>
  </w:footnote>
  <w:footnote w:id="26">
    <w:p>
      <w:pPr>
        <w:pStyle w:val="FootnoteText"/>
        <w:bidi/>
        <w:jc w:val="right"/>
      </w:pPr>
      <w:r>
        <w:rPr>
          <w:rStyle w:val="FootnoteReference"/>
        </w:rPr>
        <w:footnoteRef/>
      </w:r>
      <w:r>
        <w:rPr>
          <w:rtl/>
        </w:rPr>
        <w:t xml:space="preserve"> </w:t>
      </w:r>
      <w:r>
        <w:rPr>
          <w:rtl/>
        </w:rPr>
        <w:t xml:space="preserve"> </w:t>
      </w:r>
      <w:r>
        <w:rPr>
          <w:rtl/>
        </w:rPr>
        <w:t xml:space="preserve">راجع: J. R. Stock &amp; D. M. Lambert، المرجع السابق، ص. 421.</w:t>
      </w:r>
    </w:p>
  </w:footnote>
  <w:footnote w:id="3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2">
    <w:p>
      <w:pPr>
        <w:pStyle w:val="FootnoteText"/>
        <w:bidi/>
        <w:jc w:val="right"/>
      </w:pPr>
      <w:r>
        <w:rPr>
          <w:rStyle w:val="FootnoteReference"/>
        </w:rPr>
        <w:footnoteRef/>
      </w:r>
      <w:r>
        <w:rPr>
          <w:rtl/>
        </w:rPr>
        <w:t xml:space="preserve"> </w:t>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5">
    <w:p>
      <w:pPr>
        <w:pStyle w:val="FootnoteText"/>
        <w:bidi/>
        <w:jc w:val="right"/>
      </w:pPr>
      <w:r>
        <w:rPr>
          <w:rStyle w:val="FootnoteReference"/>
        </w:rPr>
        <w:footnoteRef/>
      </w:r>
      <w:r>
        <w:rPr>
          <w:rtl/>
        </w:rPr>
        <w:t xml:space="preserve"> </w:t>
      </w:r>
      <w:r>
        <w:rPr>
          <w:rtl/>
        </w:rPr>
        <w:t xml:space="preserve"> </w:t>
      </w:r>
      <w:r>
        <w:rPr>
          <w:rtl/>
        </w:rPr>
        <w:t xml:space="preserve">راجع: A. J. Van Weele, Purchasing and Supply Chain Management, 5th ed., Cengage Learning, 2010, p. 8.</w:t>
      </w:r>
    </w:p>
  </w:footnote>
  <w:footnote w:id="40">
    <w:p>
      <w:pPr>
        <w:pStyle w:val="FootnoteText"/>
        <w:bidi/>
        <w:jc w:val="right"/>
      </w:pPr>
      <w:r>
        <w:rPr>
          <w:rStyle w:val="FootnoteReference"/>
        </w:rPr>
        <w:footnoteRef/>
      </w:r>
      <w:r>
        <w:rPr>
          <w:rtl/>
        </w:rPr>
        <w:t xml:space="preserve"> </w:t>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2">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48">
    <w:p>
      <w:pPr>
        <w:pStyle w:val="FootnoteText"/>
        <w:bidi/>
        <w:jc w:val="right"/>
      </w:pPr>
      <w:r>
        <w:rPr>
          <w:rStyle w:val="FootnoteReference"/>
        </w:rPr>
        <w:footnoteRef/>
      </w:r>
      <w:r>
        <w:rPr>
          <w:rtl/>
        </w:rPr>
        <w:t xml:space="preserve"> </w:t>
      </w:r>
      <w:r>
        <w:rPr>
          <w:rtl/>
        </w:rPr>
        <w:t xml:space="preserve"> </w:t>
      </w:r>
      <w:r>
        <w:rPr>
          <w:rtl/>
        </w:rPr>
        <w:t xml:space="preserve">راجع: T. E. Vollmann, W. L. Berry, D. C. Whybark &amp; F. R. Jacobs, Manufacturing Planning and Control for Supply Chain Management, 5th ed., McGraw-Hill, 2005, p. 3.</w:t>
      </w:r>
    </w:p>
  </w:footnote>
  <w:footnote w:id="52">
    <w:p>
      <w:pPr>
        <w:pStyle w:val="FootnoteText"/>
        <w:bidi/>
        <w:jc w:val="right"/>
      </w:pPr>
      <w:r>
        <w:rPr>
          <w:rStyle w:val="FootnoteReference"/>
        </w:rPr>
        <w:footnoteRef/>
      </w:r>
      <w:r>
        <w:rPr>
          <w:rtl/>
        </w:rPr>
        <w:t xml:space="preserve"> </w:t>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3">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w:t>
      </w:r>
    </w:p>
  </w:footnote>
  <w:footnote w:id="55">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3">
    <w:p>
      <w:pPr>
        <w:pStyle w:val="FootnoteText"/>
        <w:bidi/>
        <w:jc w:val="right"/>
      </w:pPr>
      <w:r>
        <w:rPr>
          <w:rStyle w:val="FootnoteReference"/>
        </w:rPr>
        <w:footnoteRef/>
      </w:r>
      <w:r>
        <w:rPr>
          <w:rtl/>
        </w:rPr>
        <w:t xml:space="preserve"> </w:t>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4">
    <w:p>
      <w:pPr>
        <w:pStyle w:val="FootnoteText"/>
        <w:bidi/>
        <w:jc w:val="right"/>
      </w:pPr>
      <w:r>
        <w:rPr>
          <w:rStyle w:val="FootnoteReference"/>
        </w:rPr>
        <w:footnoteRef/>
      </w:r>
      <w:r>
        <w:rPr>
          <w:rtl/>
        </w:rPr>
        <w:t xml:space="preserve"> </w:t>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5">
    <w:p>
      <w:pPr>
        <w:pStyle w:val="FootnoteText"/>
        <w:bidi/>
        <w:jc w:val="right"/>
      </w:pPr>
      <w:r>
        <w:rPr>
          <w:rStyle w:val="FootnoteReference"/>
        </w:rPr>
        <w:footnoteRef/>
      </w:r>
      <w:r>
        <w:rPr>
          <w:rtl/>
        </w:rPr>
        <w:t xml:space="preserve"> </w:t>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6">
    <w:p>
      <w:pPr>
        <w:pStyle w:val="FootnoteText"/>
        <w:bidi/>
        <w:jc w:val="right"/>
      </w:pPr>
      <w:r>
        <w:rPr>
          <w:rStyle w:val="FootnoteReference"/>
        </w:rPr>
        <w:footnoteRef/>
      </w:r>
      <w:r>
        <w:rPr>
          <w:rtl/>
        </w:rPr>
        <w:t xml:space="preserve"> </w:t>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7">
    <w:p>
      <w:pPr>
        <w:pStyle w:val="FootnoteText"/>
        <w:bidi/>
        <w:jc w:val="right"/>
      </w:pPr>
      <w:r>
        <w:rPr>
          <w:rStyle w:val="FootnoteReference"/>
        </w:rPr>
        <w:footnoteRef/>
      </w:r>
      <w:r>
        <w:rPr>
          <w:rtl/>
        </w:rPr>
        <w:t xml:space="preserve"> </w:t>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68">
    <w:p>
      <w:pPr>
        <w:pStyle w:val="FootnoteText"/>
        <w:bidi/>
        <w:jc w:val="right"/>
      </w:pPr>
      <w:r>
        <w:rPr>
          <w:rStyle w:val="FootnoteReference"/>
        </w:rPr>
        <w:footnoteRef/>
      </w:r>
      <w:r>
        <w:rPr>
          <w:rtl/>
        </w:rPr>
        <w:t xml:space="preserve"> </w:t>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69">
    <w:p>
      <w:pPr>
        <w:pStyle w:val="FootnoteText"/>
        <w:bidi/>
        <w:jc w:val="right"/>
      </w:pPr>
      <w:r>
        <w:rPr>
          <w:rStyle w:val="FootnoteReference"/>
        </w:rPr>
        <w:footnoteRef/>
      </w:r>
      <w:r>
        <w:rPr>
          <w:rtl/>
        </w:rPr>
        <w:t xml:space="preserve"> </w:t>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0">
    <w:p>
      <w:pPr>
        <w:pStyle w:val="FootnoteText"/>
        <w:bidi/>
        <w:jc w:val="right"/>
      </w:pPr>
      <w:r>
        <w:rPr>
          <w:rStyle w:val="FootnoteReference"/>
        </w:rPr>
        <w:footnoteRef/>
      </w:r>
      <w:r>
        <w:rPr>
          <w:rtl/>
        </w:rPr>
        <w:t xml:space="preserve"> </w:t>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1">
    <w:p>
      <w:pPr>
        <w:pStyle w:val="FootnoteText"/>
        <w:bidi/>
        <w:jc w:val="right"/>
      </w:pPr>
      <w:r>
        <w:rPr>
          <w:rStyle w:val="FootnoteReference"/>
        </w:rPr>
        <w:footnoteRef/>
      </w:r>
      <w:r>
        <w:rPr>
          <w:rtl/>
        </w:rPr>
        <w:t xml:space="preserve"> </w:t>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2">
    <w:p>
      <w:pPr>
        <w:pStyle w:val="FootnoteText"/>
        <w:bidi/>
        <w:jc w:val="right"/>
      </w:pPr>
      <w:r>
        <w:rPr>
          <w:rStyle w:val="FootnoteReference"/>
        </w:rPr>
        <w:footnoteRef/>
      </w:r>
      <w:r>
        <w:rPr>
          <w:rtl/>
        </w:rPr>
        <w:t xml:space="preserve"> </w:t>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78">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2">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2">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3">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4">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5">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0">
    <w:p>
      <w:pPr>
        <w:pStyle w:val="FootnoteText"/>
        <w:bidi/>
        <w:jc w:val="right"/>
      </w:pPr>
      <w:r>
        <w:rPr>
          <w:rStyle w:val="FootnoteReference"/>
        </w:rPr>
        <w:footnoteRef/>
      </w:r>
      <w:r>
        <w:rPr>
          <w:rtl/>
        </w:rPr>
        <w:t xml:space="preserve"> </w:t>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1">
    <w:p>
      <w:pPr>
        <w:pStyle w:val="FootnoteText"/>
        <w:bidi/>
        <w:jc w:val="right"/>
      </w:pPr>
      <w:r>
        <w:rPr>
          <w:rStyle w:val="FootnoteReference"/>
        </w:rPr>
        <w:footnoteRef/>
      </w:r>
      <w:r>
        <w:rPr>
          <w:rtl/>
        </w:rPr>
        <w:t xml:space="preserve"> </w:t>
      </w:r>
      <w:r>
        <w:rPr>
          <w:rtl/>
        </w:rPr>
        <w:t xml:space="preserve"> </w:t>
      </w:r>
      <w:r>
        <w:rPr>
          <w:rtl/>
        </w:rPr>
        <w:t xml:space="preserve">راجع: A. Yahi, Élaboration d’un logiciel de gestion de stocks de pièces de rechange, Mémoire PFE, École Nationale Polytechnique d’Alger, 1992, p. 8.</w:t>
      </w:r>
    </w:p>
  </w:footnote>
  <w:footnote w:id="102">
    <w:p>
      <w:pPr>
        <w:pStyle w:val="FootnoteText"/>
        <w:bidi/>
        <w:jc w:val="right"/>
      </w:pPr>
      <w:r>
        <w:rPr>
          <w:rStyle w:val="FootnoteReference"/>
        </w:rPr>
        <w:footnoteRef/>
      </w:r>
      <w:r>
        <w:rPr>
          <w:rtl/>
        </w:rPr>
        <w:t xml:space="preserve"> </w:t>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09">
    <w:p>
      <w:pPr>
        <w:pStyle w:val="FootnoteText"/>
        <w:bidi/>
        <w:jc w:val="right"/>
      </w:pPr>
      <w:r>
        <w:rPr>
          <w:rStyle w:val="FootnoteReference"/>
        </w:rPr>
        <w:footnoteRef/>
      </w:r>
      <w:r>
        <w:rPr>
          <w:rtl/>
        </w:rPr>
        <w:t xml:space="preserve"> </w:t>
      </w:r>
      <w:r>
        <w:rPr>
          <w:rtl/>
        </w:rPr>
        <w:t xml:space="preserve"> </w:t>
      </w:r>
      <w:r>
        <w:rPr>
          <w:rtl/>
        </w:rPr>
        <w:t xml:space="preserve">راجع: Microsoft Corporation, VBA Reference — Visual Basic for Applications, Microsoft Docs, 2023.</w:t>
      </w:r>
    </w:p>
  </w:footnote>
  <w:footnote w:id="110">
    <w:p>
      <w:pPr>
        <w:pStyle w:val="FootnoteText"/>
        <w:bidi/>
        <w:jc w:val="right"/>
      </w:pPr>
      <w:r>
        <w:rPr>
          <w:rStyle w:val="FootnoteReference"/>
        </w:rPr>
        <w:footnoteRef/>
      </w:r>
      <w:r>
        <w:rPr>
          <w:rtl/>
        </w:rPr>
        <w:t xml:space="preserve"> </w:t>
      </w:r>
      <w:r>
        <w:rPr>
          <w:rtl/>
        </w:rPr>
        <w:t xml:space="preserve"> </w:t>
      </w:r>
      <w:r>
        <w:rPr>
          <w:rtl/>
        </w:rPr>
        <w:t xml:space="preserve">راجع: Microsoft Corporation, Excel Object Model Overview, Microsoft Docs, 2019.</w:t>
      </w:r>
    </w:p>
  </w:footnote>
  <w:footnote w:id="125">
    <w:p>
      <w:pPr>
        <w:pStyle w:val="FootnoteText"/>
        <w:bidi/>
        <w:jc w:val="right"/>
      </w:pPr>
      <w:r>
        <w:rPr>
          <w:rStyle w:val="FootnoteReference"/>
        </w:rPr>
        <w:footnoteRef/>
      </w:r>
      <w:r>
        <w:rPr>
          <w:rtl/>
        </w:rPr>
        <w:t xml:space="preserve"> </w:t>
      </w:r>
      <w:r>
        <w:rPr>
          <w:rtl/>
        </w:rPr>
        <w:t xml:space="preserve"> </w:t>
      </w:r>
      <w:r>
        <w:rPr>
          <w:rtl/>
        </w:rPr>
        <w:t xml:space="preserve">راجع: Kamel, M, ERP_Académie v13.3 — Système d’Aide à la Décision pour la Gestion des Stocks. GitHub. https://github.com/kamelmh/lsm-vba-core 2026</w:t>
      </w:r>
    </w:p>
  </w:footnote>
  <w:footnote w:id="126">
    <w:p>
      <w:pPr>
        <w:pStyle w:val="FootnoteText"/>
        <w:bidi/>
        <w:jc w:val="right"/>
      </w:pPr>
      <w:r>
        <w:rPr>
          <w:rStyle w:val="FootnoteReference"/>
        </w:rPr>
        <w:footnoteRef/>
      </w:r>
      <w:r>
        <w:rPr>
          <w:rtl/>
        </w:rPr>
        <w:t xml:space="preserve"> </w:t>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7">
    <w:p>
      <w:pPr>
        <w:pStyle w:val="FootnoteText"/>
        <w:bidi/>
        <w:jc w:val="right"/>
      </w:pPr>
      <w:r>
        <w:rPr>
          <w:rStyle w:val="FootnoteReference"/>
        </w:rPr>
        <w:footnoteRef/>
      </w:r>
      <w:r>
        <w:rPr>
          <w:rtl/>
        </w:rPr>
        <w:t xml:space="preserve"> </w:t>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1">
    <w:p>
      <w:pPr>
        <w:pStyle w:val="FootnoteText"/>
        <w:bidi/>
        <w:jc w:val="right"/>
      </w:pPr>
      <w:r>
        <w:rPr>
          <w:rStyle w:val="FootnoteReference"/>
        </w:rPr>
        <w:footnoteRef/>
      </w:r>
      <w:r>
        <w:rPr>
          <w:rtl/>
        </w:rPr>
        <w:t xml:space="preserve"> </w:t>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5">
    <w:p>
      <w:pPr>
        <w:pStyle w:val="FootnoteText"/>
        <w:bidi/>
        <w:jc w:val="right"/>
      </w:pPr>
      <w:r>
        <w:rPr>
          <w:rStyle w:val="FootnoteReference"/>
        </w:rPr>
        <w:footnoteRef/>
      </w:r>
      <w:r>
        <w:rPr>
          <w:rtl/>
        </w:rPr>
        <w:t xml:space="preserve"> </w:t>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6">
    <w:p>
      <w:pPr>
        <w:pStyle w:val="FootnoteText"/>
        <w:bidi/>
        <w:jc w:val="right"/>
      </w:pPr>
      <w:r>
        <w:rPr>
          <w:rStyle w:val="FootnoteReference"/>
        </w:rPr>
        <w:footnoteRef/>
      </w:r>
      <w:r>
        <w:rPr>
          <w:rtl/>
        </w:rPr>
        <w:t xml:space="preserve"> </w:t>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7">
    <w:p>
      <w:pPr>
        <w:pStyle w:val="FootnoteText"/>
        <w:bidi/>
        <w:jc w:val="right"/>
      </w:pPr>
      <w:r>
        <w:rPr>
          <w:rStyle w:val="FootnoteReference"/>
        </w:rPr>
        <w:footnoteRef/>
      </w:r>
      <w:r>
        <w:rPr>
          <w:rtl/>
        </w:rPr>
        <w:t xml:space="preserve"> </w:t>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58">
    <w:p>
      <w:pPr>
        <w:pStyle w:val="FootnoteText"/>
        <w:bidi/>
        <w:jc w:val="right"/>
      </w:pPr>
      <w:r>
        <w:rPr>
          <w:rStyle w:val="FootnoteReference"/>
        </w:rPr>
        <w:footnoteRef/>
      </w:r>
      <w:r>
        <w:rPr>
          <w:rtl/>
        </w:rPr>
        <w:t xml:space="preserve"> </w:t>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79">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0">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1">
    <w:p>
      <w:pPr>
        <w:pStyle w:val="FootnoteText"/>
        <w:bidi/>
        <w:jc w:val="right"/>
      </w:pPr>
      <w:r>
        <w:rPr>
          <w:rStyle w:val="FootnoteReference"/>
        </w:rPr>
        <w:footnoteRef/>
      </w:r>
      <w:r>
        <w:rPr>
          <w:rtl/>
        </w:rPr>
        <w:t xml:space="preserve"> </w:t>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name w:val="Normal"/>
    <w:qFormat/>
    <w:rPr>
      <w:rFonts w:cs="Times New Roman"/>
    </w:rPr>
  </w:style>
  <w:style w:styleId="BodyText" w:type="paragraph">
    <w:name w:val="Body Text"/>
    <w:basedOn w:val="Normal"/>
    <w:link w:val="BodyTextChar"/>
    <w:qFormat/>
    <w:pPr>
      <w:spacing w:after="180" w:before="180"/>
    </w:pPr>
    <w:rPr/>
  </w:style>
  <w:style w:customStyle="1" w:styleId="FirstParagraph" w:type="paragraph">
    <w:name w:val="First Paragraph"/>
    <w:basedOn w:val="BodyText"/>
    <w:next w:val="BodyText"/>
    <w:qFormat/>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8"/>
      <w:szCs w:val="32"/>
      <w:b/>
    </w:rPr>
  </w:style>
  <w:style w:styleId="Heading2" w:type="paragraph">
    <w:name w:val="heading 2"/>
    <w:basedOn w:val="Normal"/>
    <w:next w:val="BodyText"/>
    <w:link w:val="Heading2Char"/>
    <w:uiPriority w:val="9"/>
    <w:qFormat/>
    <w:rsid w:val="00A10FD9"/>
    <w:pPr>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2026-06-10T21:50:33Z</dcterms:created>
  <dcterms:modified xsi:type="dcterms:W3CDTF">2026-06-10T21:50:33Z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