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360" w:lineRule="auto"/>
        <w:jc w:val="right"/>
      </w:pPr>
      <w:r>
        <w:rPr>
          <w:rFonts w:ascii="Traditional Arabic" w:hAnsi="Traditional Arabic"/>
          <w:sz w:val="28"/>
          <w:rtl/>
        </w:rPr>
        <w:t xml:space="preserve">"نظام دعم القرار لتسيير المخزونات"</w:t>
      </w:r>
    </w:p>
    <w:p>
      <w:pPr>
        <w:pStyle w:val="Author"/>
        <w:spacing w:line="360" w:lineRule="auto"/>
        <w:jc w:val="right"/>
      </w:pPr>
      <w:r>
        <w:rPr>
          <w:rFonts w:ascii="Traditional Arabic" w:hAnsi="Traditional Arabic"/>
          <w:sz w:val="28"/>
          <w:rtl/>
        </w:rPr>
        <w:t xml:space="preserve">"ماحي كمال عبد الغني"</w:t>
      </w:r>
    </w:p>
    <w:p>
      <w:pPr>
        <w:pStyle w:val="Date"/>
        <w:spacing w:line="360" w:lineRule="auto"/>
        <w:jc w:val="right"/>
      </w:pPr>
      <w:r>
        <w:rPr>
          <w:rFonts w:ascii="Traditional Arabic" w:hAnsi="Traditional Arabic"/>
          <w:sz w:val="28"/>
          <w:rtl/>
        </w:rPr>
        <w:t xml:space="preserve">2026-05-18</w:t>
      </w:r>
    </w:p>
    <w:tbl>
      <w:tblPr>
        <w:tblStyle w:val="Table"/>
        <w:tblW w:type="auto" w:w="0"/>
        <w:tblLook w:firstRow="0" w:lastRow="0" w:firstColumn="0" w:lastColumn="0" w:noHBand="0" w:noVBand="0" w:val="0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7920"/>
      </w:tblGrid>
      <w:tr>
        <w:tc>
          <w:tcPr>
            <w:tcW w:w="5610000" w:type="dxa"/>
          </w:tcPr>
          <w:p>
            <w:pPr>
              <w:pStyle w:val="Compact"/>
              <w:bidi/>
            </w:pPr>
            <w:r>
              <w:rPr>
                <w:rtl/>
              </w:rPr>
              <w:t xml:space="preserve">title:</w:t>
            </w:r>
            <w:r>
              <w:rPr>
                <w:rtl/>
              </w:rPr>
              <w:t xml:space="preserve"> </w:t>
            </w:r>
            <w:r>
              <w:rPr>
                <w:rtl/>
              </w:rPr>
              <w:t xml:space="preserve">“نظام دعم القرار لتسيير المخزونات”</w:t>
            </w:r>
          </w:p>
        </w:tc>
      </w:tr>
      <w:tr>
        <w:tc>
          <w:tcPr>
            <w:tcW w:w="5610000" w:type="dxa"/>
          </w:tcPr>
          <w:p>
            <w:pPr>
              <w:pStyle w:val="Compact"/>
              <w:bidi/>
            </w:pPr>
            <w:r>
              <w:rPr>
                <w:rtl/>
              </w:rPr>
              <w:t xml:space="preserve">subtitle:</w:t>
            </w:r>
            <w:r>
              <w:rPr>
                <w:rtl/>
              </w:rPr>
              <w:t xml:space="preserve"> </w:t>
            </w:r>
            <w:r>
              <w:rPr>
                <w:rtl/>
              </w:rPr>
              <w:t xml:space="preserve">“مذكرة تخرج لنيل شهادة التقني السامي”</w:t>
            </w:r>
          </w:p>
        </w:tc>
      </w:tr>
      <w:tr>
        <w:tc>
          <w:tcPr>
            <w:tcW w:w="5610000" w:type="dxa"/>
          </w:tcPr>
          <w:p>
            <w:pPr>
              <w:pStyle w:val="Compact"/>
              <w:bidi/>
            </w:pPr>
            <w:r>
              <w:rPr>
                <w:rtl/>
              </w:rPr>
              <w:t xml:space="preserve">author:</w:t>
            </w:r>
            <w:r>
              <w:rPr>
                <w:rtl/>
              </w:rPr>
              <w:t xml:space="preserve"> </w:t>
            </w:r>
            <w:r>
              <w:rPr>
                <w:rtl/>
              </w:rPr>
              <w:t xml:space="preserve">“ماحي كمال عبد الغني”</w:t>
            </w:r>
          </w:p>
        </w:tc>
      </w:tr>
      <w:tr>
        <w:tc>
          <w:tcPr>
            <w:tcW w:w="5610000" w:type="dxa"/>
          </w:tcPr>
          <w:p>
            <w:pPr>
              <w:pStyle w:val="Compact"/>
              <w:bidi/>
            </w:pPr>
            <w:r>
              <w:rPr>
                <w:rtl/>
              </w:rPr>
              <w:t xml:space="preserve">institution:</w:t>
            </w:r>
            <w:r>
              <w:rPr>
                <w:rtl/>
              </w:rPr>
              <w:t xml:space="preserve"> </w:t>
            </w:r>
            <w:r>
              <w:rPr>
                <w:rtl/>
              </w:rPr>
              <w:t xml:space="preserve">“المعهد الوطني المتخصص في التكوين المهني بن سعيدي عبد العاطي بالبيض”</w:t>
            </w:r>
          </w:p>
        </w:tc>
      </w:tr>
      <w:tr>
        <w:tc>
          <w:tcPr>
            <w:tcW w:w="5610000" w:type="dxa"/>
          </w:tcPr>
          <w:p>
            <w:pPr>
              <w:pStyle w:val="Compact"/>
              <w:bidi/>
            </w:pPr>
            <w:r>
              <w:rPr>
                <w:rtl/>
              </w:rPr>
              <w:t xml:space="preserve">department:</w:t>
            </w:r>
            <w:r>
              <w:rPr>
                <w:rtl/>
              </w:rPr>
              <w:t xml:space="preserve"> </w:t>
            </w:r>
            <w:r>
              <w:rPr>
                <w:rtl/>
              </w:rPr>
              <w:t xml:space="preserve">“تسيير المخزونات واللوجستيك”</w:t>
            </w:r>
          </w:p>
        </w:tc>
      </w:tr>
      <w:tr>
        <w:tc>
          <w:tcPr>
            <w:tcW w:w="5610000" w:type="dxa"/>
          </w:tcPr>
          <w:p>
            <w:pPr>
              <w:pStyle w:val="Compact"/>
              <w:bidi/>
            </w:pPr>
            <w:r>
              <w:rPr>
                <w:rtl/>
              </w:rPr>
              <w:t xml:space="preserve">supervisor:</w:t>
            </w:r>
            <w:r>
              <w:rPr>
                <w:rtl/>
              </w:rPr>
              <w:t xml:space="preserve"> </w:t>
            </w:r>
            <w:r>
              <w:rPr>
                <w:rtl/>
              </w:rPr>
              <w:t xml:space="preserve">“الأستاذة المشرفة: دهيني ميمونة”</w:t>
            </w:r>
          </w:p>
        </w:tc>
      </w:tr>
      <w:tr>
        <w:tc>
          <w:tcPr>
            <w:tcW w:w="5610000" w:type="dxa"/>
          </w:tcPr>
          <w:p>
            <w:pPr>
              <w:pStyle w:val="Compact"/>
              <w:bidi/>
            </w:pPr>
            <w:r>
              <w:rPr>
                <w:rtl/>
              </w:rPr>
              <w:t xml:space="preserve">academic_year:</w:t>
            </w:r>
            <w:r>
              <w:rPr>
                <w:rtl/>
              </w:rPr>
              <w:t xml:space="preserve"> </w:t>
            </w:r>
            <w:r>
              <w:rPr>
                <w:rtl/>
              </w:rPr>
              <w:t xml:space="preserve">“السنة الجامعية: 2025/2026”</w:t>
            </w:r>
          </w:p>
        </w:tc>
      </w:tr>
      <w:tr>
        <w:tc>
          <w:tcPr>
            <w:tcW w:w="5610000" w:type="dxa"/>
          </w:tcPr>
          <w:p>
            <w:pPr>
              <w:pStyle w:val="Compact"/>
              <w:bidi/>
            </w:pPr>
            <w:r>
              <w:rPr>
                <w:rtl/>
              </w:rPr>
              <w:t xml:space="preserve">date:</w:t>
            </w:r>
            <w:r>
              <w:rPr>
                <w:rtl/>
              </w:rPr>
              <w:t xml:space="preserve"> </w:t>
            </w:r>
            <w:r>
              <w:rPr>
                <w:rtl/>
              </w:rPr>
              <w:t xml:space="preserve">“2026-05-18”</w:t>
            </w:r>
          </w:p>
        </w:tc>
      </w:tr>
      <w:tr>
        <w:tc>
          <w:tcPr>
            <w:tcW w:w="5610000" w:type="dxa"/>
          </w:tcPr>
          <w:p>
            <w:pPr>
              <w:pStyle w:val="Compact"/>
              <w:bidi/>
            </w:pPr>
            <w:r>
              <w:rPr>
                <w:rtl/>
              </w:rPr>
              <w:t xml:space="preserve">lang: ar</w:t>
            </w:r>
          </w:p>
        </w:tc>
      </w:tr>
      <w:tr>
        <w:tc>
          <w:tcPr>
            <w:tcW w:w="5610000" w:type="dxa"/>
          </w:tcPr>
          <w:p>
            <w:pPr>
              <w:pStyle w:val="Compact"/>
              <w:bidi/>
            </w:pPr>
            <w:r>
              <w:rPr>
                <w:rtl/>
              </w:rPr>
              <w:t xml:space="preserve">dir: rtl</w:t>
            </w:r>
          </w:p>
        </w:tc>
      </w:tr>
    </w:tbl>
    <w:bookmarkStart w:id="9" w:name="إهداء"/>
    <w:p>
      <w:pPr>
        <w:pStyle w:val="Heading2"/>
        <w:bidi/>
      </w:pPr>
      <w:r>
        <w:rPr>
          <w:b/>
          <w:sz w:val="36"/>
          <w:rtl/>
        </w:rPr>
        <w:t xml:space="preserve">إهداء</w:t>
      </w:r>
    </w:p>
    <w:p>
      <w:pPr>
        <w:bidi/>
        <w:spacing w:line="360" w:lineRule="auto"/>
        <w:jc w:val="right"/>
      </w:pPr>
      <w:r>
        <w:rPr>
          <w:rFonts w:ascii="Traditional Arabic" w:hAnsi="Traditional Arabic"/>
          <w:b/>
          <w:bCs/>
          <w:sz w:val="28"/>
          <w:rtl/>
        </w:rPr>
        <w:t xml:space="preserve">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r>
        <w:rPr>
          <w:rFonts w:ascii="Traditional Arabic" w:hAnsi="Traditional Arabic"/>
          <w:sz w:val="28"/>
          <w:rtl/>
        </w:rPr>
        <w:t xml:space="preserve"> </w:t>
      </w:r>
      <w:r>
        <w:rPr>
          <w:rFonts w:ascii="Traditional Arabic" w:hAnsi="Traditional Arabic"/>
          <w:b/>
          <w:bCs/>
          <w:sz w:val="28"/>
          <w:rtl/>
        </w:rPr>
        <w:t xml:space="preserve">وإلى كل من آمن بأن التكنولوجيا أداة لخدمة الإدارة الجزائرية وتطويرها، وإلى كل من يؤمن بأن الرقمنة ليست ترفاً بل ضرورة تشغيلية.</w:t>
      </w:r>
    </w:p>
    <w:bookmarkEnd w:id="9"/>
    <w:bookmarkStart w:id="10" w:name="شكر-وتقدير"/>
    <w:p>
      <w:pPr>
        <w:pStyle w:val="Heading2"/>
        <w:bidi/>
      </w:pPr>
      <w:r>
        <w:rPr>
          <w:b/>
          <w:sz w:val="36"/>
          <w:rtl/>
        </w:rPr>
        <w:t xml:space="preserve">شكر وتقدير</w:t>
      </w:r>
    </w:p>
    <w:p>
      <w:pPr>
        <w:bidi/>
        <w:spacing w:line="360" w:lineRule="auto"/>
        <w:jc w:val="right"/>
      </w:pPr>
      <w:r>
        <w:rPr>
          <w:rFonts w:ascii="Traditional Arabic" w:hAnsi="Traditional Arabic"/>
          <w:b/>
          <w:bCs/>
          <w:sz w:val="28"/>
          <w:rtl/>
        </w:rPr>
        <w:t xml:space="preserve">أتقدم بجزيل الشكر والعرفان إلى الأستاذة المشرفة دهيني ميمونة التي لم تبخل بتوجيهاتها ونصائحها القيمة في جميع مراحل إعداد هذا العمل.</w:t>
      </w:r>
      <w:r>
        <w:rPr>
          <w:rFonts w:ascii="Traditional Arabic" w:hAnsi="Traditional Arabic"/>
          <w:sz w:val="28"/>
          <w:rtl/>
        </w:rPr>
        <w:t xml:space="preserve"> </w:t>
      </w:r>
      <w:r>
        <w:rPr>
          <w:rFonts w:ascii="Traditional Arabic" w:hAnsi="Traditional Arabic"/>
          <w:b/>
          <w:bCs/>
          <w:sz w:val="28"/>
          <w:rtl/>
        </w:rPr>
        <w:t xml:space="preserve">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r>
        <w:rPr>
          <w:rFonts w:ascii="Traditional Arabic" w:hAnsi="Traditional Arabic"/>
          <w:sz w:val="28"/>
          <w:rtl/>
        </w:rPr>
        <w:t xml:space="preserve"> </w:t>
      </w:r>
      <w:r>
        <w:rPr>
          <w:rFonts w:ascii="Traditional Arabic" w:hAnsi="Traditional Arabic"/>
          <w:b/>
          <w:bCs/>
          <w:sz w:val="28"/>
          <w:rtl/>
        </w:rPr>
        <w:t xml:space="preserve">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r>
        <w:rPr>
          <w:rFonts w:ascii="Traditional Arabic" w:hAnsi="Traditional Arabic"/>
          <w:sz w:val="28"/>
          <w:rtl/>
        </w:rPr>
        <w:t xml:space="preserve"> </w:t>
      </w:r>
      <w:r>
        <w:rPr>
          <w:rFonts w:ascii="Traditional Arabic" w:hAnsi="Traditional Arabic"/>
          <w:b/>
          <w:bCs/>
          <w:sz w:val="28"/>
          <w:rtl/>
        </w:rPr>
        <w:t xml:space="preserve">وإلى لجنة المناقشة الموقرة على تفضلها بقراءة هذا العمل وتقييمه.</w:t>
      </w:r>
    </w:p>
    <w:bookmarkEnd w:id="10"/>
    <w:bookmarkStart w:id="11" w:name="الملخص"/>
    <w:p>
      <w:pPr>
        <w:pStyle w:val="Heading2"/>
        <w:bidi/>
      </w:pPr>
      <w:r>
        <w:rPr>
          <w:b/>
          <w:sz w:val="36"/>
          <w:rtl/>
        </w:rPr>
        <w:t xml:space="preserve">الملخص</w:t>
      </w:r>
    </w:p>
    <w:p>
      <w:pPr>
        <w:bidi/>
        <w:spacing w:line="360" w:lineRule="auto"/>
        <w:jc w:val="right"/>
      </w:pPr>
      <w:r>
        <w:rPr>
          <w:rFonts w:ascii="Traditional Arabic" w:hAnsi="Traditional Arabic"/>
          <w:b/>
          <w:bCs/>
          <w:sz w:val="28"/>
          <w:rtl/>
        </w:rPr>
        <w:t xml:space="preserve">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38 يوم عمل ميداني (شملت 62 معاملة مخزنية). طُبِّقت ثلاثة نماذج كمية على الصنف المرجعي ART-001 (حبر الطابعة Toner G030): نموذج ويلسون الذي أنتج كمية طلب اقتصادية Q* = 37 وحدة، ونقطة إعادة طلب ROP = 206 وحدة، ومخزون أمان SS = 200 وحدة. كشفت نتائج التطبيق أن النظام خفَّض وقت معالجة الطلبية الواحدة من 20–30 دقيقة إلى أقل من 5 ثوانٍ، أي بنسبة تخفيض 99.7%،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r>
        <w:rPr>
          <w:rFonts w:ascii="Traditional Arabic" w:hAnsi="Traditional Arabic"/>
          <w:sz w:val="28"/>
          <w:rtl/>
        </w:rPr>
        <w:t xml:space="preserve"> </w:t>
      </w:r>
      <w:r>
        <w:rPr>
          <w:rFonts w:ascii="Traditional Arabic" w:hAnsi="Traditional Arabic"/>
          <w:b/>
          <w:bCs/>
          <w:sz w:val="28"/>
          <w:rtl/>
        </w:rPr>
        <w:t xml:space="preserve">الكلمات المفتاحية: نظام دعم القرار، تسيير المخزونات، نموذج ويلسون، تحليل ABC، Excel/VBA، القطاع التربوي.</w:t>
      </w:r>
    </w:p>
    <w:bookmarkEnd w:id="11"/>
    <w:bookmarkStart w:id="12" w:name="résumé"/>
    <w:p>
      <w:pPr>
        <w:pStyle w:val="Heading2"/>
        <w:bidi/>
      </w:pPr>
      <w:r>
        <w:rPr>
          <w:b/>
          <w:sz w:val="36"/>
          <w:rtl/>
        </w:rPr>
        <w:t xml:space="preserve">Résumé</w:t>
      </w:r>
    </w:p>
    <w:p>
      <w:pPr>
        <w:bidi/>
        <w:spacing w:line="360" w:lineRule="auto"/>
        <w:jc w:val="right"/>
        <w:sectPr>
          <w:pgNumType w:fmt="none"/>
          <w:footnotePr>
            <w:numRestart w:val="eachSect"/>
          </w:footnotePr>
          <w:pgSz w:h="16838" w:w="11906"/>
          <w:pgMar w:bottom="1417" w:left="1417" w:right="1417" w:top="1417"/>
        </w:sectPr>
      </w:pPr>
      <w:r>
        <w:rPr>
          <w:rFonts w:ascii="Traditional Arabic" w:hAnsi="Traditional Arabic"/>
          <w:b/>
          <w:bCs/>
          <w:sz w:val="28"/>
          <w:rtl/>
        </w:rPr>
        <w:t xml:space="preserve">Cette étude porte sur la problématique de la gestion manuelle des stocks dans l’entrepôt de la Direction de l’Éducation de la wilaya d’El Bayadh. L’objectif est de concevoir et de réaliser un système d’aide à la décision intégré, basé sur Excel/VBA, capable d’automatiser le cycle d’achat et de stockage à coût zéro. L’approche adoptée combine une méthode descriptive-analytique pour le diagnostic terrain et une méthode expérimentale pour la mesure d’impact, à partir de données réelles collectées sur 38 jours ouvrables. Trois modèles quantitatifs ont été appliqués sur l’article de référence ART-001 (Toner d’imprimante G030) : le modèle de Wilson, qui a généré une quantité économique Q* = 37 unités, un point de réapprovisionnement ROP = 206 unités, et un stock de sécurité SS = 200 unités. Les résultats montrent une réduction du temps de traitement par transaction de 20–30 minutes à moins de 5 secondes, soit une amélioration de 99,7%, avec élimination totale des ruptures de stock des articles stratégiques. Ces résultats valident les deux hypothèses formulées et confirment la faisabilité de la transition numérique dans les institutions éducatives publiques algériennes.</w:t>
      </w:r>
      <w:r>
        <w:rPr>
          <w:rFonts w:ascii="Traditional Arabic" w:hAnsi="Traditional Arabic"/>
          <w:sz w:val="28"/>
          <w:rtl/>
        </w:rPr>
        <w:t xml:space="preserve"> </w:t>
      </w:r>
      <w:r>
        <w:rPr>
          <w:rFonts w:ascii="Traditional Arabic" w:hAnsi="Traditional Arabic"/>
          <w:b/>
          <w:bCs/>
          <w:sz w:val="28"/>
          <w:rtl/>
        </w:rPr>
        <w:t xml:space="preserve">Mots-clés : Système d’aide à la décision, gestion des stocks, modèle de Wilson, .analyse ABC, Excel/VBA, secteur éducatif</w:t>
      </w:r>
    </w:p>
    <w:bookmarkEnd w:id="12"/>
    <w:bookmarkStart w:id="20" w:name="المقدمة-العامة"/>
    <w:p>
      <w:pPr>
        <w:pStyle w:val="Heading1"/>
        <w:bidi/>
      </w:pPr>
      <w:r>
        <w:rPr>
          <w:b/>
          <w:sz w:val="44"/>
          <w:rtl/>
        </w:rPr>
        <w:t xml:space="preserve">المقدمة العامة</w:t>
      </w:r>
    </w:p>
    <w:bookmarkStart w:id="13" w:name="تمهيد"/>
    <w:p>
      <w:pPr>
        <w:pStyle w:val="Heading2"/>
        <w:bidi/>
      </w:pPr>
      <w:r>
        <w:rPr>
          <w:b/>
          <w:sz w:val="36"/>
          <w:rtl/>
        </w:rPr>
        <w:t xml:space="preserve">تمهيد</w:t>
      </w:r>
    </w:p>
    <w:p>
      <w:pPr>
        <w:bidi/>
        <w:spacing w:line="360" w:lineRule="auto"/>
        <w:jc w:val="right"/>
      </w:pPr>
      <w:r>
        <w:rPr>
          <w:rFonts w:ascii="Traditional Arabic" w:hAnsi="Traditional Arabic"/>
          <w:sz w:val="28"/>
          <w:rtl/>
        </w:rPr>
        <w:t xml:space="preserve">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قادرة على تجاوز القيود البنيوية للنظم اليدوية التقليدية، مع مراعاة خصوصية القطاع العام الجزائري والإطار التنظيمي الذي يحكمه.</w:t>
      </w:r>
    </w:p>
    <w:bookmarkEnd w:id="13"/>
    <w:bookmarkStart w:id="14" w:name="الإشكالية"/>
    <w:p>
      <w:pPr>
        <w:pStyle w:val="Heading2"/>
        <w:bidi/>
      </w:pPr>
      <w:r>
        <w:rPr>
          <w:b/>
          <w:sz w:val="36"/>
          <w:rtl/>
        </w:rPr>
        <w:t xml:space="preserve">الإشكالية</w:t>
      </w:r>
    </w:p>
    <w:p>
      <w:pPr>
        <w:bidi/>
        <w:spacing w:line="360" w:lineRule="auto"/>
        <w:jc w:val="right"/>
      </w:pPr>
      <w:r>
        <w:rPr>
          <w:rFonts w:ascii="Traditional Arabic" w:hAnsi="Traditional Arabic"/>
          <w:sz w:val="28"/>
          <w:rtl/>
        </w:rPr>
        <w:t xml:space="preserve">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الإشكالية المحورية لهذه الدراسة في السؤال التالي:</w:t>
      </w:r>
      <w:r>
        <w:rPr>
          <w:rFonts w:ascii="Traditional Arabic" w:hAnsi="Traditional Arabic"/>
          <w:sz w:val="28"/>
          <w:rtl/>
        </w:rPr>
        <w:t xml:space="preserve"> </w:t>
      </w:r>
      <w:r>
        <w:rPr>
          <w:rFonts w:ascii="Traditional Arabic" w:hAnsi="Traditional Arabic"/>
          <w:b/>
          <w:bCs/>
          <w:sz w:val="28"/>
          <w:rtl/>
        </w:rPr>
        <w:t xml:space="preserve">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bookmarkEnd w:id="14"/>
    <w:bookmarkStart w:id="15" w:name="الفرضيات"/>
    <w:p>
      <w:pPr>
        <w:pStyle w:val="Heading2"/>
        <w:bidi/>
      </w:pPr>
      <w:r>
        <w:rPr>
          <w:b/>
          <w:sz w:val="36"/>
          <w:rtl/>
        </w:rPr>
        <w:t xml:space="preserve">الفرضيات</w:t>
      </w:r>
    </w:p>
    <w:p>
      <w:pPr>
        <w:bidi/>
        <w:spacing w:line="360" w:lineRule="auto"/>
        <w:jc w:val="right"/>
      </w:pPr>
      <w:r>
        <w:rPr>
          <w:rFonts w:ascii="Traditional Arabic" w:hAnsi="Traditional Arabic"/>
          <w:sz w:val="28"/>
          <w:rtl/>
        </w:rPr>
        <w:t xml:space="preserve">تنطلق الدراسة من فرضيتين رئيسيتين:</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الفرضية الأولى: إن غياب آليات التنبيه الآلي عند نقطة إعادة الطلب هو السبب الجذري لتكرار حالات نفاد المواد الاستراتيجية في المخازن العمومية.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الفرضية الثانية: يمكن لنظام دعم القرار مبني على Excel/VBA أن يُحسِّن دقة التتبع المخزني ويُقلِّص وقت معالجة الطلبيات بصورة ملموسة وقابلة للقياس، دون الحاجة إلى استثمارات مالية إضافية.</w:t>
      </w:r>
    </w:p>
    <w:bookmarkEnd w:id="15"/>
    <w:bookmarkStart w:id="16" w:name="أهداف-الدراسة"/>
    <w:p>
      <w:pPr>
        <w:pStyle w:val="Heading2"/>
        <w:bidi/>
      </w:pPr>
      <w:r>
        <w:rPr>
          <w:b/>
          <w:sz w:val="36"/>
          <w:rtl/>
        </w:rPr>
        <w:t xml:space="preserve">أهداف الدراسة</w:t>
      </w:r>
    </w:p>
    <w:p>
      <w:pPr>
        <w:bidi/>
        <w:spacing w:line="360" w:lineRule="auto"/>
        <w:jc w:val="right"/>
      </w:pPr>
      <w:r>
        <w:rPr>
          <w:rFonts w:ascii="Traditional Arabic" w:hAnsi="Traditional Arabic"/>
          <w:sz w:val="28"/>
          <w:rtl/>
        </w:rPr>
        <w:t xml:space="preserve">تصبو هذه الدراسة إلى تحقيق مجموعة من الأهداف المنهجية والتطبيقية:</w:t>
      </w:r>
      <w:r>
        <w:rPr>
          <w:rFonts w:ascii="Traditional Arabic" w:hAnsi="Traditional Arabic"/>
          <w:sz w:val="28"/>
          <w:rtl/>
        </w:rPr>
        <w:t xml:space="preserve"> </w:t>
      </w:r>
      <w:r>
        <w:rPr>
          <w:rFonts w:ascii="Traditional Arabic" w:hAnsi="Traditional Arabic"/>
          <w:sz w:val="28"/>
          <w:rtl/>
        </w:rPr>
        <w:t xml:space="preserve">- تشخيص الواقع الفعلي لنظام التسيير المخزني في مديرية التربية لولاية البيض وتحديد نقاط الضعف البنيوية.</w:t>
      </w:r>
      <w:r>
        <w:rPr>
          <w:rFonts w:ascii="Traditional Arabic" w:hAnsi="Traditional Arabic"/>
          <w:sz w:val="28"/>
          <w:rtl/>
        </w:rPr>
        <w:t xml:space="preserve"> </w:t>
      </w:r>
      <w:r>
        <w:rPr>
          <w:rFonts w:ascii="Traditional Arabic" w:hAnsi="Traditional Arabic"/>
          <w:sz w:val="28"/>
          <w:rtl/>
        </w:rPr>
        <w:t xml:space="preserve">- تطبيق النماذج الكمية (EOQ، ABC، XYZ) على بيانات ميدانية حقيقية لاستخراج مؤشرات داعمة للقرار.</w:t>
      </w:r>
      <w:r>
        <w:rPr>
          <w:rFonts w:ascii="Traditional Arabic" w:hAnsi="Traditional Arabic"/>
          <w:sz w:val="28"/>
          <w:rtl/>
        </w:rPr>
        <w:t xml:space="preserve"> </w:t>
      </w:r>
      <w:r>
        <w:rPr>
          <w:rFonts w:ascii="Traditional Arabic" w:hAnsi="Traditional Arabic"/>
          <w:sz w:val="28"/>
          <w:rtl/>
        </w:rPr>
        <w:t xml:space="preserve">- تصميم وإنجاز نظام معلوماتي متكامل (نظام دعم القرار) يعمل ببيئة Excel/VBA يُؤتمت دورة الشراء والتخزين ويُوفِّر رقابة آنية.</w:t>
      </w:r>
      <w:r>
        <w:rPr>
          <w:rFonts w:ascii="Traditional Arabic" w:hAnsi="Traditional Arabic"/>
          <w:sz w:val="28"/>
          <w:rtl/>
        </w:rPr>
        <w:t xml:space="preserve"> </w:t>
      </w:r>
      <w:r>
        <w:rPr>
          <w:rFonts w:ascii="Traditional Arabic" w:hAnsi="Traditional Arabic"/>
          <w:sz w:val="28"/>
          <w:rtl/>
        </w:rPr>
        <w:t xml:space="preserve">- تقييم أثر النظام المقترح على مؤشرات الأداء التشغيلية قبل وبعد التطبيق من خلال مقارنة كمية.</w:t>
      </w:r>
      <w:r>
        <w:rPr>
          <w:rFonts w:ascii="Traditional Arabic" w:hAnsi="Traditional Arabic"/>
          <w:sz w:val="28"/>
          <w:rtl/>
        </w:rPr>
        <w:t xml:space="preserve"> </w:t>
      </w:r>
      <w:r>
        <w:rPr>
          <w:rFonts w:ascii="Traditional Arabic" w:hAnsi="Traditional Arabic"/>
          <w:sz w:val="28"/>
          <w:rtl/>
        </w:rPr>
        <w:t xml:space="preserve">- تقديم توصيات عملية قابلة للتنفيذ لتعميم التجربة على نطاق أوسع.</w:t>
      </w:r>
    </w:p>
    <w:bookmarkEnd w:id="16"/>
    <w:bookmarkStart w:id="17" w:name="منهجية-البحث"/>
    <w:p>
      <w:pPr>
        <w:pStyle w:val="Heading2"/>
        <w:bidi/>
      </w:pPr>
      <w:r>
        <w:rPr>
          <w:b/>
          <w:sz w:val="36"/>
          <w:rtl/>
        </w:rPr>
        <w:t xml:space="preserve">منهجية البحث</w:t>
      </w:r>
    </w:p>
    <w:p>
      <w:pPr>
        <w:bidi/>
        <w:spacing w:line="360" w:lineRule="auto"/>
        <w:jc w:val="right"/>
      </w:pPr>
      <w:r>
        <w:rPr>
          <w:rFonts w:ascii="Traditional Arabic" w:hAnsi="Traditional Arabic"/>
          <w:sz w:val="28"/>
          <w:rtl/>
        </w:rPr>
        <w:t xml:space="preserve">اعتمدت الدراسة منهجاً علمياً يجمع بين المنهج الوصفي التحليلي في رسم صورة دقيقة للواقع الميداني، والمنهج التجريبي التطبيقي في قياس أثر الحل المقترح. استندت عملية جمع البيانات إلى ثلاث أدوات رئيسية: أولاً: الملاحظة المباشرة والمشاركة في سير العمل اليومي لمصلحة المخازن، ثانياً: تحليل السجلات والوثائق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bookmarkEnd w:id="17"/>
    <w:bookmarkStart w:id="18" w:name="هيكل-الدراسة"/>
    <w:p>
      <w:pPr>
        <w:pStyle w:val="Heading2"/>
        <w:bidi/>
      </w:pPr>
      <w:r>
        <w:rPr>
          <w:b/>
          <w:sz w:val="36"/>
          <w:rtl/>
        </w:rPr>
        <w:t xml:space="preserve">هيكل الدراسة</w:t>
      </w:r>
    </w:p>
    <w:p>
      <w:pPr>
        <w:bidi/>
        <w:spacing w:line="360" w:lineRule="auto"/>
        <w:jc w:val="right"/>
      </w:pPr>
      <w:r>
        <w:rPr>
          <w:rFonts w:ascii="Traditional Arabic" w:hAnsi="Traditional Arabic"/>
          <w:sz w:val="28"/>
          <w:rtl/>
        </w:rPr>
        <w:t xml:space="preserve">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التقييم المحاسبي. وينتقل الفصل الثاني إلى الإطار العملي والتشخيص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 مُختتماً بالتوصيات والآفاق المستقبلية في ملف منفصل.</w:t>
      </w:r>
    </w:p>
    <w:bookmarkEnd w:id="18"/>
    <w:bookmarkStart w:id="19" w:name="Xf59180c5cc222249dc6a39c05bc19cdf400d056"/>
    <w:p>
      <w:pPr>
        <w:pStyle w:val="Heading2"/>
        <w:bidi/>
      </w:pPr>
      <w:r>
        <w:rPr>
          <w:b/>
          <w:sz w:val="36"/>
          <w:rtl/>
        </w:rPr>
        <w:t xml:space="preserve">الانسجام مع منهاج BTS في تسيير المخزونات واللوجستيك (TAG1801)</w:t>
      </w:r>
    </w:p>
    <w:p>
      <w:pPr>
        <w:bidi/>
        <w:spacing w:line="360" w:lineRule="auto"/>
        <w:jc w:val="right"/>
      </w:pPr>
      <w:r>
        <w:rPr>
          <w:rFonts w:ascii="Traditional Arabic" w:hAnsi="Traditional Arabic"/>
          <w:sz w:val="28"/>
          <w:rtl/>
        </w:rPr>
        <w:t xml:space="preserve">صُمِّمت هذه المذكرة لتغطي مجمل الكفاءات المستهدفة في منهاج شهادة التقني السامي في تسيير المخزونات واللوجستيك، وفق التصنيف التالي:</w:t>
      </w:r>
      <w:r>
        <w:rPr>
          <w:rFonts w:ascii="Traditional Arabic" w:hAnsi="Traditional Arabic"/>
          <w:sz w:val="28"/>
          <w:rtl/>
        </w:rPr>
        <w:t xml:space="preserve"> </w:t>
      </w:r>
      <w:r>
        <w:rPr>
          <w:rFonts w:ascii="Traditional Arabic" w:hAnsi="Traditional Arabic"/>
          <w:b/>
          <w:bCs/>
          <w:sz w:val="28"/>
          <w:rtl/>
        </w:rPr>
        <w:t xml:space="preserve">الانسجام مع منهاج BTS في تسيير المخزونات واللوجستيك (TAG1801)</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487873" w:type="dxa"/>
          </w:tcPr>
          <w:p>
            <w:pPr>
              <w:pStyle w:val="Compact"/>
              <w:bidi/>
            </w:pPr>
            <w:r>
              <w:rPr>
                <w:rtl/>
              </w:rPr>
              <w:t xml:space="preserve">السداسي</w:t>
            </w:r>
          </w:p>
        </w:tc>
        <w:tc>
          <w:tcPr>
            <w:tcW w:w="2077618" w:type="dxa"/>
          </w:tcPr>
          <w:p>
            <w:pPr>
              <w:pStyle w:val="Compact"/>
              <w:bidi/>
            </w:pPr>
            <w:r>
              <w:rPr>
                <w:rtl/>
              </w:rPr>
              <w:t xml:space="preserve">المقاييس المُغطَّاة</w:t>
            </w:r>
          </w:p>
        </w:tc>
        <w:tc>
          <w:tcPr>
            <w:tcW w:w="2744507" w:type="dxa"/>
          </w:tcPr>
          <w:p>
            <w:pPr>
              <w:pStyle w:val="Compact"/>
              <w:bidi/>
            </w:pPr>
            <w:r>
              <w:rPr>
                <w:rtl/>
              </w:rPr>
              <w:t xml:space="preserve">مظاهر التغطية في المذكرة</w:t>
            </w:r>
          </w:p>
        </w:tc>
      </w:tr>
      <w:tr>
        <w:tc>
          <w:tcPr>
            <w:tcW w:w="487873" w:type="dxa"/>
          </w:tcPr>
          <w:p>
            <w:pPr>
              <w:pStyle w:val="Compact"/>
              <w:bidi/>
            </w:pPr>
            <w:r>
              <w:rPr>
                <w:rtl/>
              </w:rPr>
              <w:t xml:space="preserve">الأول</w:t>
            </w:r>
          </w:p>
        </w:tc>
        <w:tc>
          <w:tcPr>
            <w:tcW w:w="2077618" w:type="dxa"/>
          </w:tcPr>
          <w:p>
            <w:pPr>
              <w:pStyle w:val="Compact"/>
              <w:bidi/>
            </w:pPr>
            <w:r>
              <w:rPr>
                <w:rtl/>
              </w:rPr>
              <w:t xml:space="preserve">تحديد وجمع المعلومات الداخلية والخارجية (18)</w:t>
            </w:r>
          </w:p>
        </w:tc>
        <w:tc>
          <w:tcPr>
            <w:tcW w:w="2744507" w:type="dxa"/>
          </w:tcPr>
          <w:p>
            <w:pPr>
              <w:pStyle w:val="Compact"/>
              <w:bidi/>
            </w:pPr>
            <w:r>
              <w:rPr>
                <w:rtl/>
              </w:rPr>
              <w:t xml:space="preserve">التشخيص الميداني، جمع بيانات المخزون (الفصل الثاني)</w:t>
            </w:r>
          </w:p>
        </w:tc>
      </w:tr>
      <w:tr>
        <w:tc>
          <w:tcPr>
            <w:tcW w:w="487873" w:type="dxa"/>
          </w:tcPr>
          <w:p>
            <w:pPr>
              <w:pStyle w:val="Compact"/>
            </w:pPr>
          </w:p>
        </w:tc>
        <w:tc>
          <w:tcPr>
            <w:tcW w:w="2077618" w:type="dxa"/>
          </w:tcPr>
          <w:p>
            <w:pPr>
              <w:pStyle w:val="Compact"/>
              <w:bidi/>
            </w:pPr>
            <w:r>
              <w:rPr>
                <w:rtl/>
              </w:rPr>
              <w:t xml:space="preserve">دراسة الأسعار وشروط التفاوض (19)</w:t>
            </w:r>
          </w:p>
        </w:tc>
        <w:tc>
          <w:tcPr>
            <w:tcW w:w="2744507" w:type="dxa"/>
          </w:tcPr>
          <w:p>
            <w:pPr>
              <w:pStyle w:val="Compact"/>
              <w:bidi/>
            </w:pPr>
            <w:r>
              <w:rPr>
                <w:rtl/>
              </w:rPr>
              <w:t xml:space="preserve">تحليل تكاليف الطلب والاحتفاظ، معادلة ويلسون (الفصل الأول)</w:t>
            </w:r>
          </w:p>
        </w:tc>
      </w:tr>
      <w:tr>
        <w:tc>
          <w:tcPr>
            <w:tcW w:w="487873" w:type="dxa"/>
          </w:tcPr>
          <w:p>
            <w:pPr>
              <w:pStyle w:val="Compact"/>
            </w:pPr>
          </w:p>
        </w:tc>
        <w:tc>
          <w:tcPr>
            <w:tcW w:w="2077618" w:type="dxa"/>
          </w:tcPr>
          <w:p>
            <w:pPr>
              <w:pStyle w:val="Compact"/>
              <w:bidi/>
            </w:pPr>
            <w:r>
              <w:rPr>
                <w:rtl/>
              </w:rPr>
              <w:t xml:space="preserve">القانون الاجتماعي (20)</w:t>
            </w:r>
          </w:p>
        </w:tc>
        <w:tc>
          <w:tcPr>
            <w:tcW w:w="2744507" w:type="dxa"/>
          </w:tcPr>
          <w:p>
            <w:pPr>
              <w:pStyle w:val="Compact"/>
              <w:bidi/>
            </w:pPr>
            <w:r>
              <w:rPr>
                <w:rtl/>
              </w:rPr>
              <w:t xml:space="preserve">الإطار التنظيمي للوظيفة العمومية (الفصل الثاني)</w:t>
            </w:r>
          </w:p>
        </w:tc>
      </w:tr>
      <w:tr>
        <w:tc>
          <w:tcPr>
            <w:tcW w:w="487873" w:type="dxa"/>
          </w:tcPr>
          <w:p>
            <w:pPr>
              <w:pStyle w:val="Compact"/>
            </w:pPr>
          </w:p>
        </w:tc>
        <w:tc>
          <w:tcPr>
            <w:tcW w:w="2077618" w:type="dxa"/>
          </w:tcPr>
          <w:p>
            <w:pPr>
              <w:pStyle w:val="Compact"/>
              <w:bidi/>
            </w:pPr>
            <w:r>
              <w:rPr>
                <w:rtl/>
              </w:rPr>
              <w:t xml:space="preserve">الإعلام الآلي (21)</w:t>
            </w:r>
          </w:p>
        </w:tc>
        <w:tc>
          <w:tcPr>
            <w:tcW w:w="2744507" w:type="dxa"/>
          </w:tcPr>
          <w:p>
            <w:pPr>
              <w:pStyle w:val="Compact"/>
              <w:bidi/>
            </w:pPr>
            <w:r>
              <w:rPr>
                <w:rtl/>
              </w:rPr>
              <w:t xml:space="preserve">تصميم نظام Excel/VBA (الفصل الثالث)</w:t>
            </w:r>
          </w:p>
        </w:tc>
      </w:tr>
      <w:tr>
        <w:tc>
          <w:tcPr>
            <w:tcW w:w="487873" w:type="dxa"/>
          </w:tcPr>
          <w:p>
            <w:pPr>
              <w:pStyle w:val="Compact"/>
            </w:pPr>
          </w:p>
        </w:tc>
        <w:tc>
          <w:tcPr>
            <w:tcW w:w="2077618" w:type="dxa"/>
          </w:tcPr>
          <w:p>
            <w:pPr>
              <w:pStyle w:val="Compact"/>
              <w:bidi/>
            </w:pPr>
            <w:r>
              <w:rPr>
                <w:rtl/>
              </w:rPr>
              <w:t xml:space="preserve">الرياضيات العامة (22)</w:t>
            </w:r>
          </w:p>
        </w:tc>
        <w:tc>
          <w:tcPr>
            <w:tcW w:w="2744507" w:type="dxa"/>
          </w:tcPr>
          <w:p>
            <w:pPr>
              <w:pStyle w:val="Compact"/>
              <w:bidi/>
            </w:pPr>
            <w:r>
              <w:rPr>
                <w:rtl/>
              </w:rPr>
              <w:t xml:space="preserve">الاشتقاق الرياضي لنموذج EOQ وCMUP (الفصل الأول)</w:t>
            </w:r>
          </w:p>
        </w:tc>
      </w:tr>
      <w:tr>
        <w:tc>
          <w:tcPr>
            <w:tcW w:w="487873" w:type="dxa"/>
          </w:tcPr>
          <w:p>
            <w:pPr>
              <w:pStyle w:val="Compact"/>
              <w:bidi/>
            </w:pPr>
            <w:r>
              <w:rPr>
                <w:rtl/>
              </w:rPr>
              <w:t xml:space="preserve">الثاني</w:t>
            </w:r>
          </w:p>
        </w:tc>
        <w:tc>
          <w:tcPr>
            <w:tcW w:w="2077618" w:type="dxa"/>
          </w:tcPr>
          <w:p>
            <w:pPr>
              <w:pStyle w:val="Compact"/>
              <w:bidi/>
            </w:pPr>
            <w:r>
              <w:rPr>
                <w:rtl/>
              </w:rPr>
              <w:t xml:space="preserve">البحث واختيار الموردين (23)</w:t>
            </w:r>
          </w:p>
        </w:tc>
        <w:tc>
          <w:tcPr>
            <w:tcW w:w="2744507" w:type="dxa"/>
          </w:tcPr>
          <w:p>
            <w:pPr>
              <w:pStyle w:val="Compact"/>
              <w:bidi/>
            </w:pPr>
            <w:r>
              <w:rPr>
                <w:rtl/>
              </w:rPr>
              <w:t xml:space="preserve">معايير تقييم الموردين (الفصل الأول، المبحث الخامس)</w:t>
            </w:r>
          </w:p>
        </w:tc>
      </w:tr>
      <w:tr>
        <w:tc>
          <w:tcPr>
            <w:tcW w:w="487873" w:type="dxa"/>
          </w:tcPr>
          <w:p>
            <w:pPr>
              <w:pStyle w:val="Compact"/>
            </w:pPr>
          </w:p>
        </w:tc>
        <w:tc>
          <w:tcPr>
            <w:tcW w:w="2077618" w:type="dxa"/>
          </w:tcPr>
          <w:p>
            <w:pPr>
              <w:pStyle w:val="Compact"/>
              <w:bidi/>
            </w:pPr>
            <w:r>
              <w:rPr>
                <w:rtl/>
              </w:rPr>
              <w:t xml:space="preserve">إعداد ومراقبة أمر الشراء (24)</w:t>
            </w:r>
          </w:p>
        </w:tc>
        <w:tc>
          <w:tcPr>
            <w:tcW w:w="2744507" w:type="dxa"/>
          </w:tcPr>
          <w:p>
            <w:pPr>
              <w:pStyle w:val="Compact"/>
              <w:bidi/>
            </w:pPr>
            <w:r>
              <w:rPr>
                <w:rtl/>
              </w:rPr>
              <w:t xml:space="preserve">الدورة المستندية الكاملة (الفصل الأول، المبحث الثالث)</w:t>
            </w:r>
          </w:p>
        </w:tc>
      </w:tr>
      <w:tr>
        <w:tc>
          <w:tcPr>
            <w:tcW w:w="487873" w:type="dxa"/>
          </w:tcPr>
          <w:p>
            <w:pPr>
              <w:pStyle w:val="Compact"/>
            </w:pPr>
          </w:p>
        </w:tc>
        <w:tc>
          <w:tcPr>
            <w:tcW w:w="2077618" w:type="dxa"/>
          </w:tcPr>
          <w:p>
            <w:pPr>
              <w:pStyle w:val="Compact"/>
              <w:bidi/>
            </w:pPr>
            <w:r>
              <w:rPr>
                <w:rtl/>
              </w:rPr>
              <w:t xml:space="preserve">الحساب التجاري (25)</w:t>
            </w:r>
          </w:p>
        </w:tc>
        <w:tc>
          <w:tcPr>
            <w:tcW w:w="2744507" w:type="dxa"/>
          </w:tcPr>
          <w:p>
            <w:pPr>
              <w:pStyle w:val="Compact"/>
              <w:bidi/>
            </w:pPr>
            <w:r>
              <w:rPr>
                <w:rtl/>
              </w:rPr>
              <w:t xml:space="preserve">حسابات التكلفة الإجمالية، CMUP المتحرك (الفصل الأول)</w:t>
            </w:r>
          </w:p>
        </w:tc>
      </w:tr>
      <w:tr>
        <w:tc>
          <w:tcPr>
            <w:tcW w:w="487873" w:type="dxa"/>
          </w:tcPr>
          <w:p>
            <w:pPr>
              <w:pStyle w:val="Compact"/>
            </w:pPr>
          </w:p>
        </w:tc>
        <w:tc>
          <w:tcPr>
            <w:tcW w:w="2077618" w:type="dxa"/>
          </w:tcPr>
          <w:p>
            <w:pPr>
              <w:pStyle w:val="Compact"/>
              <w:bidi/>
            </w:pPr>
            <w:r>
              <w:rPr>
                <w:rtl/>
              </w:rPr>
              <w:t xml:space="preserve">تطبيق قواعد الصحة والأمن والبيئة (26)</w:t>
            </w:r>
          </w:p>
        </w:tc>
        <w:tc>
          <w:tcPr>
            <w:tcW w:w="2744507" w:type="dxa"/>
          </w:tcPr>
          <w:p>
            <w:pPr>
              <w:pStyle w:val="Compact"/>
              <w:bidi/>
            </w:pPr>
            <w:r>
              <w:rPr>
                <w:rtl/>
              </w:rPr>
              <w:t xml:space="preserve">حماية البيانات، ACID، الصلاحيات (الفصل الثالث)</w:t>
            </w:r>
          </w:p>
        </w:tc>
      </w:tr>
      <w:tr>
        <w:tc>
          <w:tcPr>
            <w:tcW w:w="487873" w:type="dxa"/>
          </w:tcPr>
          <w:p>
            <w:pPr>
              <w:pStyle w:val="Compact"/>
            </w:pPr>
          </w:p>
        </w:tc>
        <w:tc>
          <w:tcPr>
            <w:tcW w:w="2077618" w:type="dxa"/>
          </w:tcPr>
          <w:p>
            <w:pPr>
              <w:pStyle w:val="Compact"/>
              <w:bidi/>
            </w:pPr>
            <w:r>
              <w:rPr>
                <w:rtl/>
              </w:rPr>
              <w:t xml:space="preserve">القانون التجاري (27)</w:t>
            </w:r>
          </w:p>
        </w:tc>
        <w:tc>
          <w:tcPr>
            <w:tcW w:w="2744507" w:type="dxa"/>
          </w:tcPr>
          <w:p>
            <w:pPr>
              <w:pStyle w:val="Compact"/>
              <w:bidi/>
            </w:pPr>
            <w:r>
              <w:rPr>
                <w:rtl/>
              </w:rPr>
              <w:t xml:space="preserve">الصفقات العمومية، المرسوم 15-247 (الفصل الثاني)</w:t>
            </w:r>
          </w:p>
        </w:tc>
      </w:tr>
      <w:tr>
        <w:tc>
          <w:tcPr>
            <w:tcW w:w="487873" w:type="dxa"/>
          </w:tcPr>
          <w:p>
            <w:pPr>
              <w:pStyle w:val="Compact"/>
            </w:pPr>
          </w:p>
        </w:tc>
        <w:tc>
          <w:tcPr>
            <w:tcW w:w="2077618" w:type="dxa"/>
          </w:tcPr>
          <w:p>
            <w:pPr>
              <w:pStyle w:val="Compact"/>
              <w:bidi/>
            </w:pPr>
            <w:r>
              <w:rPr>
                <w:rtl/>
              </w:rPr>
              <w:t xml:space="preserve">الوثائق التجارية (28)</w:t>
            </w:r>
          </w:p>
        </w:tc>
        <w:tc>
          <w:tcPr>
            <w:tcW w:w="2744507" w:type="dxa"/>
          </w:tcPr>
          <w:p>
            <w:pPr>
              <w:pStyle w:val="Compact"/>
              <w:bidi/>
            </w:pPr>
            <w:r>
              <w:rPr>
                <w:rtl/>
              </w:rPr>
              <w:t xml:space="preserve">أوامر الشراء، وصل الاستلام، الفواتير (الفصل الأول)</w:t>
            </w:r>
          </w:p>
        </w:tc>
      </w:tr>
      <w:tr>
        <w:tc>
          <w:tcPr>
            <w:tcW w:w="487873" w:type="dxa"/>
          </w:tcPr>
          <w:p>
            <w:pPr>
              <w:pStyle w:val="Compact"/>
              <w:bidi/>
            </w:pPr>
            <w:r>
              <w:rPr>
                <w:rtl/>
              </w:rPr>
              <w:t xml:space="preserve">الثالث</w:t>
            </w:r>
          </w:p>
        </w:tc>
        <w:tc>
          <w:tcPr>
            <w:tcW w:w="2077618" w:type="dxa"/>
          </w:tcPr>
          <w:p>
            <w:pPr>
              <w:pStyle w:val="Compact"/>
              <w:bidi/>
            </w:pPr>
            <w:r>
              <w:rPr>
                <w:rtl/>
              </w:rPr>
              <w:t xml:space="preserve">تسجيل ومراقبة التوريدات (29)</w:t>
            </w:r>
          </w:p>
        </w:tc>
        <w:tc>
          <w:tcPr>
            <w:tcW w:w="2744507" w:type="dxa"/>
          </w:tcPr>
          <w:p>
            <w:pPr>
              <w:pStyle w:val="Compact"/>
              <w:bidi/>
            </w:pPr>
            <w:r>
              <w:rPr>
                <w:rtl/>
              </w:rPr>
              <w:t xml:space="preserve">سجل الحركات الرقمي، CMUP الآلي (الفصل الثالث)</w:t>
            </w:r>
          </w:p>
        </w:tc>
      </w:tr>
      <w:tr>
        <w:tc>
          <w:tcPr>
            <w:tcW w:w="487873" w:type="dxa"/>
          </w:tcPr>
          <w:p>
            <w:pPr>
              <w:pStyle w:val="Compact"/>
            </w:pPr>
          </w:p>
        </w:tc>
        <w:tc>
          <w:tcPr>
            <w:tcW w:w="2077618" w:type="dxa"/>
          </w:tcPr>
          <w:p>
            <w:pPr>
              <w:pStyle w:val="Compact"/>
              <w:bidi/>
            </w:pPr>
            <w:r>
              <w:rPr>
                <w:rtl/>
              </w:rPr>
              <w:t xml:space="preserve">إجراء الجرد الفعلي (30)</w:t>
            </w:r>
          </w:p>
        </w:tc>
        <w:tc>
          <w:tcPr>
            <w:tcW w:w="2744507" w:type="dxa"/>
          </w:tcPr>
          <w:p>
            <w:pPr>
              <w:pStyle w:val="Compact"/>
              <w:bidi/>
            </w:pPr>
            <w:r>
              <w:rPr>
                <w:rtl/>
              </w:rPr>
              <w:t xml:space="preserve">الجرد الآلي، مقارنة الرصيد الفعلي بالدفتري (الفصل الرابع)</w:t>
            </w:r>
          </w:p>
        </w:tc>
      </w:tr>
      <w:tr>
        <w:tc>
          <w:tcPr>
            <w:tcW w:w="487873" w:type="dxa"/>
          </w:tcPr>
          <w:p>
            <w:pPr>
              <w:pStyle w:val="Compact"/>
            </w:pPr>
          </w:p>
        </w:tc>
        <w:tc>
          <w:tcPr>
            <w:tcW w:w="2077618" w:type="dxa"/>
          </w:tcPr>
          <w:p>
            <w:pPr>
              <w:pStyle w:val="Compact"/>
              <w:bidi/>
            </w:pPr>
            <w:r>
              <w:rPr>
                <w:rtl/>
              </w:rPr>
              <w:t xml:space="preserve">إجراء الجرد المحاسبي (31)</w:t>
            </w:r>
          </w:p>
        </w:tc>
        <w:tc>
          <w:tcPr>
            <w:tcW w:w="2744507" w:type="dxa"/>
          </w:tcPr>
          <w:p>
            <w:pPr>
              <w:pStyle w:val="Compact"/>
              <w:bidi/>
            </w:pPr>
            <w:r>
              <w:rPr>
                <w:rtl/>
              </w:rPr>
              <w:t xml:space="preserve">تقييم المخزون، CMUP، FIFO (الفصل الأول)</w:t>
            </w:r>
          </w:p>
        </w:tc>
      </w:tr>
      <w:tr>
        <w:tc>
          <w:tcPr>
            <w:tcW w:w="487873" w:type="dxa"/>
          </w:tcPr>
          <w:p>
            <w:pPr>
              <w:pStyle w:val="Compact"/>
            </w:pPr>
          </w:p>
        </w:tc>
        <w:tc>
          <w:tcPr>
            <w:tcW w:w="2077618" w:type="dxa"/>
          </w:tcPr>
          <w:p>
            <w:pPr>
              <w:pStyle w:val="Compact"/>
              <w:bidi/>
            </w:pPr>
            <w:r>
              <w:rPr>
                <w:rtl/>
              </w:rPr>
              <w:t xml:space="preserve">دراسة وسائل النقل (32)</w:t>
            </w:r>
          </w:p>
        </w:tc>
        <w:tc>
          <w:tcPr>
            <w:tcW w:w="2744507" w:type="dxa"/>
          </w:tcPr>
          <w:p>
            <w:pPr>
              <w:pStyle w:val="Compact"/>
              <w:bidi/>
            </w:pPr>
            <w:r>
              <w:rPr>
                <w:rtl/>
              </w:rPr>
              <w:t xml:space="preserve">أثر الموقع الجغرافي على سلاسل الإمداد (الفصل الثاني)</w:t>
            </w:r>
          </w:p>
        </w:tc>
      </w:tr>
      <w:tr>
        <w:tc>
          <w:tcPr>
            <w:tcW w:w="487873" w:type="dxa"/>
          </w:tcPr>
          <w:p>
            <w:pPr>
              <w:pStyle w:val="Compact"/>
            </w:pPr>
          </w:p>
        </w:tc>
        <w:tc>
          <w:tcPr>
            <w:tcW w:w="2077618" w:type="dxa"/>
          </w:tcPr>
          <w:p>
            <w:pPr>
              <w:pStyle w:val="Compact"/>
              <w:bidi/>
            </w:pPr>
            <w:r>
              <w:rPr>
                <w:rtl/>
              </w:rPr>
              <w:t xml:space="preserve">تحديد الاحتياجات وعناصر برنامج التوريد (33)</w:t>
            </w:r>
          </w:p>
        </w:tc>
        <w:tc>
          <w:tcPr>
            <w:tcW w:w="2744507" w:type="dxa"/>
          </w:tcPr>
          <w:p>
            <w:pPr>
              <w:pStyle w:val="Compact"/>
              <w:bidi/>
            </w:pPr>
            <w:r>
              <w:rPr>
                <w:rtl/>
              </w:rPr>
              <w:t xml:space="preserve">تقدير D من البيانات الفعلية، ROP الفردي (الفصل الثالث)</w:t>
            </w:r>
          </w:p>
        </w:tc>
      </w:tr>
      <w:tr>
        <w:tc>
          <w:tcPr>
            <w:tcW w:w="487873" w:type="dxa"/>
          </w:tcPr>
          <w:p>
            <w:pPr>
              <w:pStyle w:val="Compact"/>
            </w:pPr>
          </w:p>
        </w:tc>
        <w:tc>
          <w:tcPr>
            <w:tcW w:w="2077618" w:type="dxa"/>
          </w:tcPr>
          <w:p>
            <w:pPr>
              <w:pStyle w:val="Compact"/>
              <w:bidi/>
            </w:pPr>
            <w:r>
              <w:rPr>
                <w:rtl/>
              </w:rPr>
              <w:t xml:space="preserve">الإدارة الفعالة للتوريدات (34)</w:t>
            </w:r>
          </w:p>
        </w:tc>
        <w:tc>
          <w:tcPr>
            <w:tcW w:w="2744507" w:type="dxa"/>
          </w:tcPr>
          <w:p>
            <w:pPr>
              <w:pStyle w:val="Compact"/>
              <w:bidi/>
            </w:pPr>
            <w:r>
              <w:rPr>
                <w:rtl/>
              </w:rPr>
              <w:t xml:space="preserve">محرك الذكاء المحلي، ABC-XYZ (الفصل الثالث)</w:t>
            </w:r>
          </w:p>
        </w:tc>
      </w:tr>
      <w:tr>
        <w:tc>
          <w:tcPr>
            <w:tcW w:w="487873" w:type="dxa"/>
          </w:tcPr>
          <w:p>
            <w:pPr>
              <w:pStyle w:val="Compact"/>
            </w:pPr>
          </w:p>
        </w:tc>
        <w:tc>
          <w:tcPr>
            <w:tcW w:w="2077618" w:type="dxa"/>
          </w:tcPr>
          <w:p>
            <w:pPr>
              <w:pStyle w:val="Compact"/>
              <w:bidi/>
            </w:pPr>
            <w:r>
              <w:rPr>
                <w:rtl/>
              </w:rPr>
              <w:t xml:space="preserve">تقنيات التعبير والتواصل (35)</w:t>
            </w:r>
          </w:p>
        </w:tc>
        <w:tc>
          <w:tcPr>
            <w:tcW w:w="2744507" w:type="dxa"/>
          </w:tcPr>
          <w:p>
            <w:pPr>
              <w:pStyle w:val="Compact"/>
              <w:bidi/>
            </w:pPr>
            <w:r>
              <w:rPr>
                <w:rtl/>
              </w:rPr>
              <w:t xml:space="preserve">واجهة المستخدم، لوحة القيادة (الفصل الرابع)</w:t>
            </w:r>
          </w:p>
        </w:tc>
      </w:tr>
      <w:tr>
        <w:tc>
          <w:tcPr>
            <w:tcW w:w="487873" w:type="dxa"/>
          </w:tcPr>
          <w:p>
            <w:pPr>
              <w:pStyle w:val="Compact"/>
            </w:pPr>
          </w:p>
        </w:tc>
        <w:tc>
          <w:tcPr>
            <w:tcW w:w="2077618" w:type="dxa"/>
          </w:tcPr>
          <w:p>
            <w:pPr>
              <w:pStyle w:val="Compact"/>
              <w:bidi/>
            </w:pPr>
            <w:r>
              <w:rPr>
                <w:rtl/>
              </w:rPr>
              <w:t xml:space="preserve">اقتصاد المؤسسة (36)</w:t>
            </w:r>
          </w:p>
        </w:tc>
        <w:tc>
          <w:tcPr>
            <w:tcW w:w="2744507" w:type="dxa"/>
          </w:tcPr>
          <w:p>
            <w:pPr>
              <w:pStyle w:val="Compact"/>
              <w:bidi/>
            </w:pPr>
            <w:r>
              <w:rPr>
                <w:rtl/>
              </w:rPr>
              <w:t xml:space="preserve">تحليل التكاليف، العائد على الاستثمار (الفصل الرابع)</w:t>
            </w:r>
          </w:p>
        </w:tc>
      </w:tr>
      <w:tr>
        <w:tc>
          <w:tcPr>
            <w:tcW w:w="487873" w:type="dxa"/>
          </w:tcPr>
          <w:p>
            <w:pPr>
              <w:pStyle w:val="Compact"/>
            </w:pPr>
          </w:p>
        </w:tc>
        <w:tc>
          <w:tcPr>
            <w:tcW w:w="2077618" w:type="dxa"/>
          </w:tcPr>
          <w:p>
            <w:pPr>
              <w:pStyle w:val="Compact"/>
              <w:bidi/>
            </w:pPr>
            <w:r>
              <w:rPr>
                <w:rtl/>
              </w:rPr>
              <w:t xml:space="preserve">الإحصاء الوصفي (37)</w:t>
            </w:r>
          </w:p>
        </w:tc>
        <w:tc>
          <w:tcPr>
            <w:tcW w:w="2744507" w:type="dxa"/>
          </w:tcPr>
          <w:p>
            <w:pPr>
              <w:pStyle w:val="Compact"/>
              <w:bidi/>
            </w:pPr>
            <w:r>
              <w:rPr>
                <w:rtl/>
              </w:rPr>
              <w:t xml:space="preserve">معامل التباين CV، تحليل XYZ (الفصل الثاني)</w:t>
            </w:r>
          </w:p>
        </w:tc>
      </w:tr>
      <w:tr>
        <w:tc>
          <w:tcPr>
            <w:tcW w:w="487873" w:type="dxa"/>
          </w:tcPr>
          <w:p>
            <w:pPr>
              <w:pStyle w:val="Compact"/>
              <w:bidi/>
            </w:pPr>
            <w:r>
              <w:rPr>
                <w:rtl/>
              </w:rPr>
              <w:t xml:space="preserve">الرابع</w:t>
            </w:r>
          </w:p>
        </w:tc>
        <w:tc>
          <w:tcPr>
            <w:tcW w:w="2077618" w:type="dxa"/>
          </w:tcPr>
          <w:p>
            <w:pPr>
              <w:pStyle w:val="Compact"/>
              <w:bidi/>
            </w:pPr>
            <w:r>
              <w:rPr>
                <w:rtl/>
              </w:rPr>
              <w:t xml:space="preserve">التخطيط الاستراتيجي للوجستيك (38)</w:t>
            </w:r>
          </w:p>
        </w:tc>
        <w:tc>
          <w:tcPr>
            <w:tcW w:w="2744507" w:type="dxa"/>
          </w:tcPr>
          <w:p>
            <w:pPr>
              <w:pStyle w:val="Compact"/>
              <w:bidi/>
            </w:pPr>
            <w:r>
              <w:rPr>
                <w:rtl/>
              </w:rPr>
              <w:t xml:space="preserve">مصفوفة ABC-XYZ، الاستراتيجيات الموجهة (الفصل الثاني)</w:t>
            </w:r>
          </w:p>
        </w:tc>
      </w:tr>
      <w:tr>
        <w:tc>
          <w:tcPr>
            <w:tcW w:w="487873" w:type="dxa"/>
          </w:tcPr>
          <w:p>
            <w:pPr>
              <w:pStyle w:val="Compact"/>
            </w:pPr>
          </w:p>
        </w:tc>
        <w:tc>
          <w:tcPr>
            <w:tcW w:w="2077618" w:type="dxa"/>
          </w:tcPr>
          <w:p>
            <w:pPr>
              <w:pStyle w:val="Compact"/>
              <w:bidi/>
            </w:pPr>
            <w:r>
              <w:rPr>
                <w:rtl/>
              </w:rPr>
              <w:t xml:space="preserve">التخطيط الاستراتيجي (39)</w:t>
            </w:r>
          </w:p>
        </w:tc>
        <w:tc>
          <w:tcPr>
            <w:tcW w:w="2744507" w:type="dxa"/>
          </w:tcPr>
          <w:p>
            <w:pPr>
              <w:pStyle w:val="Compact"/>
              <w:bidi/>
            </w:pPr>
            <w:r>
              <w:rPr>
                <w:rtl/>
              </w:rPr>
              <w:t xml:space="preserve">توصيات الانتقال نحو قاعدة بيانات Access/Odoo (الفصل الرابع)</w:t>
            </w:r>
          </w:p>
        </w:tc>
      </w:tr>
      <w:tr>
        <w:tc>
          <w:tcPr>
            <w:tcW w:w="487873" w:type="dxa"/>
          </w:tcPr>
          <w:p>
            <w:pPr>
              <w:pStyle w:val="Compact"/>
            </w:pPr>
          </w:p>
        </w:tc>
        <w:tc>
          <w:tcPr>
            <w:tcW w:w="2077618" w:type="dxa"/>
          </w:tcPr>
          <w:p>
            <w:pPr>
              <w:pStyle w:val="Compact"/>
              <w:bidi/>
            </w:pPr>
            <w:r>
              <w:rPr>
                <w:rtl/>
              </w:rPr>
              <w:t xml:space="preserve">تجديد الأمر (40)</w:t>
            </w:r>
          </w:p>
        </w:tc>
        <w:tc>
          <w:tcPr>
            <w:tcW w:w="2744507" w:type="dxa"/>
          </w:tcPr>
          <w:p>
            <w:pPr>
              <w:pStyle w:val="Compact"/>
              <w:bidi/>
            </w:pPr>
            <w:r>
              <w:rPr>
                <w:rtl/>
              </w:rPr>
              <w:t xml:space="preserve">أتمتة ROP، التنبيه الآلي (الفصل الثالث)</w:t>
            </w:r>
          </w:p>
        </w:tc>
      </w:tr>
      <w:tr>
        <w:tc>
          <w:tcPr>
            <w:tcW w:w="487873" w:type="dxa"/>
          </w:tcPr>
          <w:p>
            <w:pPr>
              <w:pStyle w:val="Compact"/>
            </w:pPr>
          </w:p>
        </w:tc>
        <w:tc>
          <w:tcPr>
            <w:tcW w:w="2077618" w:type="dxa"/>
          </w:tcPr>
          <w:p>
            <w:pPr>
              <w:pStyle w:val="Compact"/>
              <w:bidi/>
            </w:pPr>
            <w:r>
              <w:rPr>
                <w:rtl/>
              </w:rPr>
              <w:t xml:space="preserve">المتابعة والتحكم في المواد المسلَّمة (41)</w:t>
            </w:r>
          </w:p>
        </w:tc>
        <w:tc>
          <w:tcPr>
            <w:tcW w:w="2744507" w:type="dxa"/>
          </w:tcPr>
          <w:p>
            <w:pPr>
              <w:pStyle w:val="Compact"/>
              <w:bidi/>
            </w:pPr>
            <w:r>
              <w:rPr>
                <w:rtl/>
              </w:rPr>
              <w:t xml:space="preserve">سلسلة الحراسة السداسية (الفصل الثالث)</w:t>
            </w:r>
          </w:p>
        </w:tc>
      </w:tr>
      <w:tr>
        <w:tc>
          <w:tcPr>
            <w:tcW w:w="487873" w:type="dxa"/>
          </w:tcPr>
          <w:p>
            <w:pPr>
              <w:pStyle w:val="Compact"/>
            </w:pPr>
          </w:p>
        </w:tc>
        <w:tc>
          <w:tcPr>
            <w:tcW w:w="2077618" w:type="dxa"/>
          </w:tcPr>
          <w:p>
            <w:pPr>
              <w:pStyle w:val="Compact"/>
              <w:bidi/>
            </w:pPr>
            <w:r>
              <w:rPr>
                <w:rtl/>
              </w:rPr>
              <w:t xml:space="preserve">تنظيم الوسائل اللوجستيكية (42)</w:t>
            </w:r>
          </w:p>
        </w:tc>
        <w:tc>
          <w:tcPr>
            <w:tcW w:w="2744507" w:type="dxa"/>
          </w:tcPr>
          <w:p>
            <w:pPr>
              <w:pStyle w:val="Compact"/>
              <w:bidi/>
            </w:pPr>
            <w:r>
              <w:rPr>
                <w:rtl/>
              </w:rPr>
              <w:t xml:space="preserve">هندسة أوراق العمل، بنية المستودع (الفصل الثالث)</w:t>
            </w:r>
          </w:p>
        </w:tc>
      </w:tr>
      <w:tr>
        <w:tc>
          <w:tcPr>
            <w:tcW w:w="487873" w:type="dxa"/>
          </w:tcPr>
          <w:p>
            <w:pPr>
              <w:pStyle w:val="Compact"/>
            </w:pPr>
          </w:p>
        </w:tc>
        <w:tc>
          <w:tcPr>
            <w:tcW w:w="2077618" w:type="dxa"/>
          </w:tcPr>
          <w:p>
            <w:pPr>
              <w:pStyle w:val="Compact"/>
              <w:bidi/>
            </w:pPr>
            <w:r>
              <w:rPr>
                <w:rtl/>
              </w:rPr>
              <w:t xml:space="preserve">التسيير الميزانياتي (43)</w:t>
            </w:r>
          </w:p>
        </w:tc>
        <w:tc>
          <w:tcPr>
            <w:tcW w:w="2744507" w:type="dxa"/>
          </w:tcPr>
          <w:p>
            <w:pPr>
              <w:pStyle w:val="Compact"/>
              <w:bidi/>
            </w:pPr>
            <w:r>
              <w:rPr>
                <w:rtl/>
              </w:rPr>
              <w:t xml:space="preserve">تكلفة الطلب S المُستخرجة ميدانياً (الفصل الأول)</w:t>
            </w:r>
          </w:p>
        </w:tc>
      </w:tr>
      <w:tr>
        <w:tc>
          <w:tcPr>
            <w:tcW w:w="487873" w:type="dxa"/>
          </w:tcPr>
          <w:p>
            <w:pPr>
              <w:pStyle w:val="Compact"/>
            </w:pPr>
          </w:p>
        </w:tc>
        <w:tc>
          <w:tcPr>
            <w:tcW w:w="2077618" w:type="dxa"/>
          </w:tcPr>
          <w:p>
            <w:pPr>
              <w:pStyle w:val="Compact"/>
              <w:bidi/>
            </w:pPr>
            <w:r>
              <w:rPr>
                <w:rtl/>
              </w:rPr>
              <w:t xml:space="preserve">الإنجليزية التجارية (44)</w:t>
            </w:r>
          </w:p>
        </w:tc>
        <w:tc>
          <w:tcPr>
            <w:tcW w:w="2744507" w:type="dxa"/>
          </w:tcPr>
          <w:p>
            <w:pPr>
              <w:pStyle w:val="Compact"/>
              <w:bidi/>
            </w:pPr>
            <w:r>
              <w:rPr>
                <w:rtl/>
              </w:rPr>
              <w:t xml:space="preserve">الملخص الإنجليزي Résumé</w:t>
            </w:r>
          </w:p>
        </w:tc>
      </w:tr>
      <w:tr>
        <w:tc>
          <w:tcPr>
            <w:tcW w:w="487873" w:type="dxa"/>
          </w:tcPr>
          <w:p>
            <w:pPr>
              <w:pStyle w:val="Compact"/>
            </w:pPr>
          </w:p>
        </w:tc>
        <w:tc>
          <w:tcPr>
            <w:tcW w:w="2077618" w:type="dxa"/>
          </w:tcPr>
          <w:p>
            <w:pPr>
              <w:pStyle w:val="Compact"/>
              <w:bidi/>
            </w:pPr>
            <w:r>
              <w:rPr>
                <w:rtl/>
              </w:rPr>
              <w:t xml:space="preserve">تنظيم المواد (45)</w:t>
            </w:r>
          </w:p>
        </w:tc>
        <w:tc>
          <w:tcPr>
            <w:tcW w:w="2744507" w:type="dxa"/>
          </w:tcPr>
          <w:p>
            <w:pPr>
              <w:pStyle w:val="Compact"/>
              <w:bidi/>
            </w:pPr>
            <w:r>
              <w:rPr>
                <w:rtl/>
              </w:rPr>
              <w:t xml:space="preserve">تصنيف ABC، ترميز الأصناف ART-001→ART-012 (الفصل الثاني)</w:t>
            </w:r>
          </w:p>
        </w:tc>
      </w:tr>
      <w:tr>
        <w:tc>
          <w:tcPr>
            <w:tcW w:w="487873" w:type="dxa"/>
          </w:tcPr>
          <w:p>
            <w:pPr>
              <w:pStyle w:val="Compact"/>
            </w:pPr>
          </w:p>
        </w:tc>
        <w:tc>
          <w:tcPr>
            <w:tcW w:w="2077618" w:type="dxa"/>
          </w:tcPr>
          <w:p>
            <w:pPr>
              <w:pStyle w:val="Compact"/>
              <w:bidi/>
            </w:pPr>
            <w:r>
              <w:rPr>
                <w:rtl/>
              </w:rPr>
              <w:t xml:space="preserve">المنهجية (46)</w:t>
            </w:r>
          </w:p>
        </w:tc>
        <w:tc>
          <w:tcPr>
            <w:tcW w:w="2744507" w:type="dxa"/>
          </w:tcPr>
          <w:p>
            <w:pPr>
              <w:pStyle w:val="Compact"/>
              <w:bidi/>
            </w:pPr>
            <w:r>
              <w:rPr>
                <w:rtl/>
              </w:rPr>
              <w:t xml:space="preserve">المنهج الوصفي التحليلي + التجريبي التطبيقي (المقدمة)</w:t>
            </w:r>
          </w:p>
        </w:tc>
      </w:tr>
      <w:tr>
        <w:tc>
          <w:tcPr>
            <w:tcW w:w="487873" w:type="dxa"/>
          </w:tcPr>
          <w:p>
            <w:pPr>
              <w:pStyle w:val="Compact"/>
            </w:pPr>
          </w:p>
        </w:tc>
        <w:tc>
          <w:tcPr>
            <w:tcW w:w="2077618" w:type="dxa"/>
          </w:tcPr>
          <w:p>
            <w:pPr>
              <w:pStyle w:val="Compact"/>
              <w:bidi/>
            </w:pPr>
            <w:r>
              <w:rPr>
                <w:rtl/>
              </w:rPr>
              <w:t xml:space="preserve">المعجم اللوجستيكي (47)</w:t>
            </w:r>
          </w:p>
        </w:tc>
        <w:tc>
          <w:tcPr>
            <w:tcW w:w="2744507" w:type="dxa"/>
          </w:tcPr>
          <w:p>
            <w:pPr>
              <w:pStyle w:val="Compact"/>
              <w:bidi/>
            </w:pPr>
            <w:r>
              <w:rPr>
                <w:rtl/>
              </w:rPr>
              <w:t xml:space="preserve">جدول المختصرات والرموز التقنية (خاتمة المذكرة)</w:t>
            </w:r>
          </w:p>
        </w:tc>
      </w:tr>
    </w:tbl>
    <w:bookmarkEnd w:id="19"/>
    <w:bookmarkEnd w:id="20"/>
    <w:bookmarkStart w:id="51" w:name="Xdded5c7f65391e1348f873ece249db48d441899"/>
    <w:p>
      <w:pPr>
        <w:pStyle w:val="Heading1"/>
        <w:bidi/>
      </w:pPr>
      <w:r>
        <w:rPr>
          <w:b/>
          <w:sz w:val="44"/>
          <w:rtl/>
        </w:rPr>
        <w:t xml:space="preserve">الفصل الأول: الإطار النظري للتسيير اللوجيستي</w:t>
      </w:r>
    </w:p>
    <w:p>
      <w:pPr>
        <w:bidi/>
        <w:spacing w:line="360" w:lineRule="auto"/>
        <w:jc w:val="right"/>
      </w:pPr>
      <w:r>
        <w:rPr>
          <w:rFonts w:ascii="Traditional Arabic" w:hAnsi="Traditional Arabic"/>
          <w:sz w:val="28"/>
          <w:rtl/>
        </w:rPr>
        <w:t xml:space="preserve">تمهيد الفصل</w:t>
      </w:r>
      <w:r>
        <w:rPr>
          <w:rFonts w:ascii="Traditional Arabic" w:hAnsi="Traditional Arabic"/>
          <w:sz w:val="28"/>
          <w:rtl/>
        </w:rPr>
        <w:t xml:space="preserve"> </w:t>
      </w:r>
      <w:r>
        <w:rPr>
          <w:rFonts w:ascii="Traditional Arabic" w:hAnsi="Traditional Arabic"/>
          <w:sz w:val="28"/>
          <w:rtl/>
        </w:rPr>
        <w:t xml:space="preserve">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وأخيراً، يستعرض المبحث الخامس تقييم الموردين ومفهوم الأنظمة المندمجة (ERP) كإطار مفاهيمي للحل الرقمي المقترح.</w:t>
      </w:r>
    </w:p>
    <w:bookmarkStart w:id="28" w:name="X948e1094553a531d6db6f4893473d29311c3135"/>
    <w:p>
      <w:pPr>
        <w:pStyle w:val="Heading2"/>
        <w:bidi/>
      </w:pPr>
      <w:r>
        <w:rPr>
          <w:b/>
          <w:sz w:val="36"/>
          <w:rtl/>
        </w:rPr>
        <w:t xml:space="preserve">المبحث الأول: المفاهيم الأساسية للتسيير اللوجيستي</w:t>
      </w:r>
    </w:p>
    <w:bookmarkStart w:id="22" w:name="X247cbabf78344c01f65d8fa3842cf79ae40a79e"/>
    <w:p>
      <w:pPr>
        <w:pStyle w:val="Heading3"/>
        <w:bidi/>
      </w:pPr>
      <w:r>
        <w:rPr>
          <w:b/>
          <w:sz w:val="32"/>
          <w:rtl/>
        </w:rPr>
        <w:t xml:space="preserve">1. مفهوم التسيير اللوجيستي (Logistics Management)</w:t>
      </w:r>
    </w:p>
    <w:p>
      <w:pPr>
        <w:bidi/>
        <w:spacing w:line="360" w:lineRule="auto"/>
        <w:jc w:val="right"/>
      </w:pPr>
      <w:r>
        <w:rPr>
          <w:rFonts w:ascii="Traditional Arabic" w:hAnsi="Traditional Arabic"/>
          <w:sz w:val="28"/>
          <w:rtl/>
        </w:rPr>
        <w:t xml:space="preserve">مرّ مفهوم اللوجستيك بتطور تاريخي كبير على مدى قرنين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 مجلس محترفي إدارة سلسلة التوريد (CSCMP) اللوجستيك اليوم بأنه:</w:t>
      </w:r>
      <w:r>
        <w:rPr>
          <w:rFonts w:ascii="Traditional Arabic" w:hAnsi="Traditional Arabic"/>
          <w:sz w:val="28"/>
          <w:rtl/>
        </w:rPr>
        <w:t xml:space="preserve"> </w:t>
      </w:r>
      <w:r>
        <w:rPr>
          <w:rFonts w:ascii="Traditional Arabic" w:hAnsi="Traditional Arabic"/>
          <w:sz w:val="28"/>
          <w:rtl/>
        </w:rPr>
        <w:t xml:space="preserve">“ذلك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w:t>
      </w:r>
      <w:r>
        <w:rPr>
          <w:rFonts w:ascii="Traditional Arabic" w:hAnsi="Traditional Arabic"/>
          <w:sz w:val="28"/>
          <w:rtl/>
        </w:rPr>
        <w:t xml:space="preserve"> </w:t>
      </w:r>
      <w:r>
        <w:rPr>
          <w:rStyle w:val="FootnoteReference"/>
          <w:rFonts w:ascii="Traditional Arabic" w:hAnsi="Traditional Arabic"/>
          <w:sz w:val="28"/>
        </w:rPr>
        <w:footnoteReference w:id="21"/>
      </w:r>
      <w:r>
        <w:rPr>
          <w:rFonts w:ascii="Traditional Arabic" w:hAnsi="Traditional Arabic"/>
          <w:sz w:val="28"/>
          <w:rtl/>
        </w:rPr>
        <w:t xml:space="preserve">. وقد تفرعت عن هذا المفهوم عدة مدارس فكرية: المدرسة الكلاسيكية التي ركزت على خفض التكاليف المنفردة، والمدرسة الشاملة التي نظرت إلى النظام اللوجيستي ككل متكامل (Total Cost Concept)، والمدرسة الحديثة التي تدمج التكنولوجيا والذكاء الاصطناعي في صلب العملية اللوجيستية. في السياق الجزائري، تكتسب اللوجستيك العمومية خصوصية إضافية، إذ تتفاعل مع قيود تنظيمية وميزانياتية صارمة تستوجب حلولاً مبتكرة ومنخفضة التكلفة في آنٍ واحد.</w:t>
      </w:r>
    </w:p>
    <w:bookmarkEnd w:id="22"/>
    <w:bookmarkStart w:id="24" w:name="X78f649da7f72f06c121a511f1800ef6cecef41e"/>
    <w:p>
      <w:pPr>
        <w:pStyle w:val="Heading3"/>
        <w:bidi/>
      </w:pPr>
      <w:r>
        <w:rPr>
          <w:b/>
          <w:sz w:val="32"/>
          <w:rtl/>
        </w:rPr>
        <w:t xml:space="preserve">2. إدارة سلسلة التوريد (Supply Chain Management - SCM)</w:t>
      </w:r>
    </w:p>
    <w:p>
      <w:pPr>
        <w:bidi/>
        <w:spacing w:line="360" w:lineRule="auto"/>
        <w:jc w:val="right"/>
      </w:pPr>
      <w:r>
        <w:rPr>
          <w:rFonts w:ascii="Traditional Arabic" w:hAnsi="Traditional Arabic"/>
          <w:sz w:val="28"/>
          <w:rtl/>
        </w:rPr>
        <w:t xml:space="preserve">إدارة سلسلة التوريد هي مفهوم أوسع وأشمل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w:t>
      </w:r>
      <w:r>
        <w:rPr>
          <w:rFonts w:ascii="Traditional Arabic" w:hAnsi="Traditional Arabic"/>
          <w:sz w:val="28"/>
          <w:rtl/>
        </w:rPr>
        <w:t xml:space="preserve"> </w:t>
      </w:r>
      <w:r>
        <w:rPr>
          <w:rFonts w:ascii="Traditional Arabic" w:hAnsi="Traditional Arabic"/>
          <w:sz w:val="28"/>
          <w:rtl/>
        </w:rPr>
        <w:t xml:space="preserve">“Global Supply Chain Forum”</w:t>
      </w:r>
      <w:r>
        <w:rPr>
          <w:rFonts w:ascii="Traditional Arabic" w:hAnsi="Traditional Arabic"/>
          <w:sz w:val="28"/>
          <w:rtl/>
        </w:rPr>
        <w:t xml:space="preserve"> </w:t>
      </w:r>
      <w:r>
        <w:rPr>
          <w:rFonts w:ascii="Traditional Arabic" w:hAnsi="Traditional Arabic"/>
          <w:sz w:val="28"/>
          <w:rtl/>
        </w:rPr>
        <w:t xml:space="preserve">(GSCF)، تُعرَّف SCM بأنها:</w:t>
      </w:r>
      <w:r>
        <w:rPr>
          <w:rFonts w:ascii="Traditional Arabic" w:hAnsi="Traditional Arabic"/>
          <w:sz w:val="28"/>
          <w:rtl/>
        </w:rPr>
        <w:t xml:space="preserve"> </w:t>
      </w:r>
      <w:r>
        <w:rPr>
          <w:rFonts w:ascii="Traditional Arabic" w:hAnsi="Traditional Arabic"/>
          <w:sz w:val="28"/>
          <w:rtl/>
        </w:rPr>
        <w:t xml:space="preserve">“تكامل العمليات التجارية الرئيسية عبر امتداد سلسلة التوريد، بهدف خلق قيمة للزبائن وأصحاب المصلحة”</w:t>
      </w:r>
      <w:r>
        <w:rPr>
          <w:rFonts w:ascii="Traditional Arabic" w:hAnsi="Traditional Arabic"/>
          <w:sz w:val="28"/>
          <w:rtl/>
        </w:rPr>
        <w:t xml:space="preserve">. وقد طوّر الباحثان Cooper &amp; Lambert (2000) نموذج GSCF الذي يُحدد 8 عمليات رئيسية في SCM</w:t>
      </w:r>
      <w:r>
        <w:rPr>
          <w:rFonts w:ascii="Traditional Arabic" w:hAnsi="Traditional Arabic"/>
          <w:sz w:val="28"/>
          <w:rtl/>
        </w:rPr>
        <w:t xml:space="preserve"> </w:t>
      </w:r>
      <w:r>
        <w:rPr>
          <w:rStyle w:val="FootnoteReference"/>
          <w:rFonts w:ascii="Traditional Arabic" w:hAnsi="Traditional Arabic"/>
          <w:sz w:val="28"/>
        </w:rPr>
        <w:footnoteReference w:id="23"/>
      </w:r>
      <w:r>
        <w:rPr>
          <w:rFonts w:ascii="Traditional Arabic" w:hAnsi="Traditional Arabic"/>
          <w:sz w:val="28"/>
          <w:rtl/>
        </w:rPr>
        <w:t xml:space="preserve">: إدارة العلاقات مع الزبائن، إدارة خدمة الزبائن، إدارة الطلب، تنفيذ الطلبيات، إدارة تدفق الإنتاج، إدارة العلاقات مع الموردين، تطوير المنتجات وتسويقها، وإدارة المرتجعات. في سياق الدراسة الحالية، تتبنى مديرية التربية ثلاثة من هذه العمليات بصورة رئيسية: إدارة الطلب (تقدير احتياجات المؤسسات التعليمية)، تنفيذ الطلبيات (دورة الشراء)، وإدارة العلاقات مع الموردين (تقييم الموردين واختيارهم). يهدف تكامل هذه العمليات إلى تحسين قيمة السلسلة ككل عبر تقليل الهدر، وتحسين سرعة الاستجابة للاحتياجات الطارئة، وتقليل التكاليف الإجمالية للتزويد والتخزين.</w:t>
      </w:r>
    </w:p>
    <w:bookmarkEnd w:id="24"/>
    <w:bookmarkStart w:id="27" w:name="دور-المستودعات-وتصنيفها"/>
    <w:p>
      <w:pPr>
        <w:pStyle w:val="Heading3"/>
        <w:bidi/>
      </w:pPr>
      <w:r>
        <w:rPr>
          <w:b/>
          <w:sz w:val="32"/>
          <w:rtl/>
        </w:rPr>
        <w:t xml:space="preserve">3. دور المستودعات وتصنيفها</w:t>
      </w:r>
    </w:p>
    <w:p>
      <w:pPr>
        <w:bidi/>
        <w:spacing w:line="360" w:lineRule="auto"/>
        <w:jc w:val="right"/>
      </w:pPr>
      <w:r>
        <w:rPr>
          <w:rFonts w:ascii="Traditional Arabic" w:hAnsi="Traditional Arabic"/>
          <w:sz w:val="28"/>
          <w:rtl/>
        </w:rPr>
        <w:t xml:space="preserve">تُمثّل المستودعات العصب الحيوي في أي منظومة لوجيستية، حيث لا تقتصر وظيفتها على مجرد الاحتفاظ بالسلع، بل تمتد لتشمل أربع وظائف استراتيجية على الأقل</w:t>
      </w:r>
      <w:r>
        <w:rPr>
          <w:rFonts w:ascii="Traditional Arabic" w:hAnsi="Traditional Arabic"/>
          <w:sz w:val="28"/>
          <w:rtl/>
        </w:rPr>
        <w:t xml:space="preserve"> </w:t>
      </w:r>
      <w:r>
        <w:rPr>
          <w:rStyle w:val="FootnoteReference"/>
          <w:rFonts w:ascii="Traditional Arabic" w:hAnsi="Traditional Arabic"/>
          <w:sz w:val="28"/>
        </w:rPr>
        <w:footnoteReference w:id="25"/>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تجميع الشحنات: تجميع كميات صغيرة من موردين مختلفين في شحنة واحدة موحدة لتقليل تكاليف النقل وتحسين مردودية وسائل الشحن.</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تجزئة الشحنات: تفكيك الشحنات الكبيرة الواردة إلى وحدات أصغر تتناسب مع احتياجات المستهلكين النهائيين أو الوحدات الداخلية.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الحماية والتأمين: الحفاظ على سلامة المخزون من التلف المادي أو الضياع أو السرقة، وضمان ظروف تخزين ملائمة (حرارة، رطوبة، تهوية).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تسهيل التوزيع: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طويلة، ومستودعات التوزيع التي تركز على سرعة حركة دخول وخروج السلع. وحسب الموقع إلى مستودعات مركزية ومحلية وفرعية. وحسب طبيعة المواد المخزنة إلى مستودعات للمواد الاستهلاكية وأخرى للتجهيزات الدائمة. في حالة مخزن مديرية التربية لولاية البيض، نحن بصدد مستودع تخزين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r>
        <w:rPr>
          <w:rFonts w:ascii="Traditional Arabic" w:hAnsi="Traditional Arabic"/>
          <w:b/>
          <w:bCs/>
          <w:sz w:val="28"/>
          <w:rtl/>
        </w:rPr>
        <w:t xml:space="preserve"> </w:t>
      </w:r>
      <w:r>
        <w:rPr>
          <w:rStyle w:val="FootnoteReference"/>
          <w:rFonts w:ascii="Traditional Arabic" w:hAnsi="Traditional Arabic"/>
          <w:sz w:val="28"/>
        </w:rPr>
        <w:footnoteReference w:id="26"/>
      </w:r>
      <w:r>
        <w:rPr>
          <w:rFonts w:ascii="Traditional Arabic" w:hAnsi="Traditional Arabic"/>
          <w:b/>
          <w:bCs/>
          <w:sz w:val="28"/>
          <w:rtl/>
        </w:rPr>
        <w:t xml:space="preserve">.</w:t>
      </w:r>
    </w:p>
    <w:bookmarkEnd w:id="27"/>
    <w:bookmarkEnd w:id="28"/>
    <w:bookmarkStart w:id="34" w:name="Xb98e67e6d1739a4d79f518326bb9bac61b25523"/>
    <w:p>
      <w:pPr>
        <w:pStyle w:val="Heading2"/>
        <w:bidi/>
      </w:pPr>
      <w:r>
        <w:rPr>
          <w:b/>
          <w:sz w:val="36"/>
          <w:rtl/>
        </w:rPr>
        <w:t xml:space="preserve">المبحث الثاني: تسيير المخزونات في القطاع العام</w:t>
      </w:r>
    </w:p>
    <w:bookmarkStart w:id="29" w:name="X4346af033012f584f0f53ef9c9230c3d59e87ac"/>
    <w:p>
      <w:pPr>
        <w:pStyle w:val="Heading3"/>
        <w:bidi/>
      </w:pPr>
      <w:r>
        <w:rPr>
          <w:b/>
          <w:sz w:val="32"/>
          <w:rtl/>
        </w:rPr>
        <w:t xml:space="preserve">أولاً: تعريف المخزون وأهميته في المؤسسة العمومية</w:t>
      </w:r>
    </w:p>
    <w:p>
      <w:pPr>
        <w:bidi/>
        <w:spacing w:line="360" w:lineRule="auto"/>
        <w:jc w:val="right"/>
      </w:pPr>
      <w:r>
        <w:rPr>
          <w:rFonts w:ascii="Traditional Arabic" w:hAnsi="Traditional Arabic"/>
          <w:sz w:val="28"/>
          <w:rtl/>
        </w:rPr>
        <w:t xml:space="preserve">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وليس هدفاً ربحياً. تشير تقديرات دراسة أولية أجراها الباحث في مصلحة مخازن المديرية إلى أن القيمة الإجمالية للمخزون السنوي تتجاوز 5 ملايين دينار جزائري، مما يُؤكِّد حجم التحدي المالي واللوجستي. يشمل المخزون في هذا السياق صنفين رئيسيين:</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المواد الاستهلاكية ذات الدوران السريع: كرزم الورق A4 (التي يبلغ استهلاكها السنوي أكثر من 5,000 رزمة)، وأحبار الطابعات (التي يتجاوز استهلاكها السنوي 1,500 خرطوشة)، وأدوات الكتابة والقرطاسية المكتبية التي تُستهلك بصفة منتظمة على مدار السنة الدراسية. تمثل هذه الفئة الشغل الشاغل لإدارة المخازن نظراً لسرعة نفادها وتأثير انقطاعها المباشر على سير العمل التربوي.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التجهيزات الدائمة: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 التربية الوطنية. تختلف دورة حياة هذه التجهيزات باختلاف نوعها، لكنها غالباً ما تمتد لعدة سنوات، وتتطلب آليات متابعة مختلفة عن المواد الاستهلاكية.</w:t>
      </w:r>
    </w:p>
    <w:bookmarkEnd w:id="29"/>
    <w:bookmarkStart w:id="30" w:name="ثانيا-أهمية-تسيير-المخزون"/>
    <w:p>
      <w:pPr>
        <w:pStyle w:val="Heading3"/>
        <w:bidi/>
      </w:pPr>
      <w:r>
        <w:rPr>
          <w:b/>
          <w:sz w:val="32"/>
          <w:rtl/>
        </w:rPr>
        <w:t xml:space="preserve">ثانياً: أهمية تسيير المخزون</w:t>
      </w:r>
    </w:p>
    <w:p>
      <w:pPr>
        <w:bidi/>
        <w:spacing w:line="360" w:lineRule="auto"/>
        <w:jc w:val="right"/>
      </w:pPr>
      <w:r>
        <w:rPr>
          <w:rFonts w:ascii="Traditional Arabic" w:hAnsi="Traditional Arabic"/>
          <w:sz w:val="28"/>
          <w:rtl/>
        </w:rPr>
        <w:t xml:space="preserve">تبرز أهمية تسيير المخزون من خلال أربع وظائف استراتيجية متكاملة تتفاعل فيما بينها لتشكل منظومة الإدارة المخزنية: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وظيفة الأمان والاستمرارية: يضمن المخزون الكافي استمرارية تزويد المصالح بما تحتاجها من مواد دون انقطاع، ولا سيما في المناطق المعزولة جغرافياً كولاية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 التي تشهدها المنطقة شتاءً.</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وظيفة التوازن الاقتصادي: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بتكاليف التخزين غير المبررة ويُجمّد رأس المال العامل. الهدف الأمثل هو الوصول إلى</w:t>
      </w:r>
      <w:r>
        <w:rPr>
          <w:rFonts w:ascii="Traditional Arabic" w:hAnsi="Traditional Arabic"/>
          <w:b/>
          <w:bCs/>
          <w:sz w:val="28"/>
          <w:rtl/>
        </w:rPr>
        <w:t xml:space="preserve"> </w:t>
      </w:r>
      <w:r>
        <w:rPr>
          <w:rFonts w:ascii="Traditional Arabic" w:hAnsi="Traditional Arabic"/>
          <w:b/>
          <w:bCs/>
          <w:sz w:val="28"/>
          <w:rtl/>
        </w:rPr>
        <w:t xml:space="preserve">“نقطة التوازن”</w:t>
      </w:r>
      <w:r>
        <w:rPr>
          <w:rFonts w:ascii="Traditional Arabic" w:hAnsi="Traditional Arabic"/>
          <w:b/>
          <w:bCs/>
          <w:sz w:val="28"/>
          <w:rtl/>
        </w:rPr>
        <w:t xml:space="preserve"> </w:t>
      </w:r>
      <w:r>
        <w:rPr>
          <w:rFonts w:ascii="Traditional Arabic" w:hAnsi="Traditional Arabic"/>
          <w:b/>
          <w:bCs/>
          <w:sz w:val="28"/>
          <w:rtl/>
        </w:rPr>
        <w:t xml:space="preserve">بين هاتين الظاهرتين، وهو ما تُحققه النماذج الكمية التي ستُعرض لاحقاً في هذا الفصل.</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وظيفة الرقابة والمساءلة (Accountability): يُوفّر السجل المخزني الدقيق أساساً موثوقاً لعمليات الجرد الفصلي والسنوي، ويُمكّن الرقابة الداخلية (مفتشية المالية) والخارجية (مجلس المحاسبة) من التحقق من استعمال الأموال العمومية وفق متطلبات الشفافية الإدارية ومكافحة الهدر المالي.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وظيفة دعم القرار (Decision Support): تُشكّل بيانات المخزون الدقيقة (الاستهلاكات الفعلية، معدلات الدوران، اتجاهات الطلب) مدخلاً أساسياً لتخطيط الميزانية السنوية وتقدير احتياجات الفترة المالية القادمة. هذا البعد الاستراتيجي غالباً ما يُهمَل في النظم اليدوية التي تفتقر إلى أدوات التحليل والاستخراج الآلي للمؤشرات.</w:t>
      </w:r>
    </w:p>
    <w:bookmarkEnd w:id="30"/>
    <w:bookmarkStart w:id="33" w:name="ثالثا-الإطار-التنظيمي-الجزائري"/>
    <w:p>
      <w:pPr>
        <w:pStyle w:val="Heading3"/>
        <w:bidi/>
      </w:pPr>
      <w:r>
        <w:rPr>
          <w:b/>
          <w:sz w:val="32"/>
          <w:rtl/>
        </w:rPr>
        <w:t xml:space="preserve">ثالثاً: الإطار التنظيمي الجزائري</w:t>
      </w:r>
    </w:p>
    <w:p>
      <w:pPr>
        <w:bidi/>
        <w:spacing w:line="360" w:lineRule="auto"/>
        <w:jc w:val="right"/>
      </w:pPr>
      <w:r>
        <w:rPr>
          <w:rFonts w:ascii="Traditional Arabic" w:hAnsi="Traditional Arabic"/>
          <w:b/>
          <w:bCs/>
          <w:sz w:val="28"/>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المرسوم الرئاسي رقم 15-247 المؤرخ في 16 سبتمبر 2015 المتعلق بتنظيم الصفقات العمومية وتسييرها المرجع الأساسي المنظّم لهذا المجال</w:t>
      </w:r>
      <w:r>
        <w:rPr>
          <w:rFonts w:ascii="Traditional Arabic" w:hAnsi="Traditional Arabic"/>
          <w:b/>
          <w:bCs/>
          <w:sz w:val="28"/>
          <w:rtl/>
        </w:rPr>
        <w:t xml:space="preserve"> </w:t>
      </w:r>
      <w:r>
        <w:rPr>
          <w:rStyle w:val="FootnoteReference"/>
          <w:rFonts w:ascii="Traditional Arabic" w:hAnsi="Traditional Arabic"/>
          <w:sz w:val="28"/>
        </w:rPr>
        <w:footnoteReference w:id="31"/>
      </w:r>
      <w:r>
        <w:rPr>
          <w:rFonts w:ascii="Traditional Arabic" w:hAnsi="Traditional Arabic"/>
          <w:b/>
          <w:bCs/>
          <w:sz w:val="28"/>
          <w:rtl/>
        </w:rPr>
        <w:t xml:space="preserve">،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إجرائية: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مبدأ الشفافية والمساواة: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الرقابة المالية المُسبقة: تخضع جميع عمليات الشراء التي تتجاوز عتبة مالية معيّنة (محددة سنوياً في قانون المالية) لرقابة</w:t>
      </w:r>
      <w:r>
        <w:rPr>
          <w:rFonts w:ascii="Traditional Arabic" w:hAnsi="Traditional Arabic"/>
          <w:b/>
          <w:bCs/>
          <w:sz w:val="28"/>
          <w:rtl/>
        </w:rPr>
        <w:t xml:space="preserve"> </w:t>
      </w:r>
      <w:r>
        <w:rPr>
          <w:rFonts w:ascii="Traditional Arabic" w:hAnsi="Traditional Arabic"/>
          <w:b/>
          <w:bCs/>
          <w:sz w:val="28"/>
          <w:rtl/>
        </w:rPr>
        <w:t xml:space="preserve">“المراقب المالي”</w:t>
      </w:r>
      <w:r>
        <w:rPr>
          <w:rFonts w:ascii="Traditional Arabic" w:hAnsi="Traditional Arabic"/>
          <w:b/>
          <w:bCs/>
          <w:sz w:val="28"/>
          <w:rtl/>
        </w:rPr>
        <w:t xml:space="preserve"> </w:t>
      </w:r>
      <w:r>
        <w:rPr>
          <w:rFonts w:ascii="Traditional Arabic" w:hAnsi="Traditional Arabic"/>
          <w:b/>
          <w:bCs/>
          <w:sz w:val="28"/>
          <w:rtl/>
        </w:rPr>
        <w:t xml:space="preserve">المُعتمد لدى المديرية، والذي يتحقق من توفر الاعتمادات المالية ومطابقة الإجراءات للقوانين الجاري بها العمل قبل إصدار الأمر بالشراء.</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التوثيق الإداري الإلزامي: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w:t>
      </w:r>
      <w:r>
        <w:rPr>
          <w:rFonts w:ascii="Traditional Arabic" w:hAnsi="Traditional Arabic"/>
          <w:b/>
          <w:bCs/>
          <w:sz w:val="28"/>
          <w:rtl/>
        </w:rPr>
        <w:t xml:space="preserve"> </w:t>
      </w:r>
      <w:r>
        <w:rPr>
          <w:rFonts w:ascii="Traditional Arabic" w:hAnsi="Traditional Arabic"/>
          <w:b/>
          <w:bCs/>
          <w:sz w:val="28"/>
          <w:rtl/>
        </w:rPr>
        <w:t xml:space="preserve">“سلسلة التوثيق”</w:t>
      </w:r>
      <w:r>
        <w:rPr>
          <w:rFonts w:ascii="Traditional Arabic" w:hAnsi="Traditional Arabic"/>
          <w:b/>
          <w:bCs/>
          <w:sz w:val="28"/>
          <w:rtl/>
        </w:rPr>
        <w:t xml:space="preserve"> </w:t>
      </w:r>
      <w:r>
        <w:rPr>
          <w:rFonts w:ascii="Traditional Arabic" w:hAnsi="Traditional Arabic"/>
          <w:b/>
          <w:bCs/>
          <w:sz w:val="28"/>
          <w:rtl/>
        </w:rPr>
        <w:t xml:space="preserve">(Documentation Chain) التي تُمكّن أجهزة الرقابة من تتبع مسار كل دينار عمومي.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تسيير المخزونات والجرد الدوري: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 هذه العملية وجود سجلات مخزنية دقيقة وقابلة للتدقيق، سواء كانت ورقية أو رقمية. هذا الشرط القانوني هو الذي يُبرّر الحاجة الملحة للتحول من النظام اليدوي الحالي (غير القادر على توفير الجرد الدائم) إلى نظام رقمي يُتيح التتبع اللحظي والجرد الدائم المحوسب.</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الإعفاء من الرسم على القيمة المضافة (TVA): تُعفى مؤسسات التربية الوطنية من الرسم على القيمة المضافة في إطار مشترياتها الخاصة بالنشاط التربوي، وذلك وفق التعليمة رقم 09-2018 الصادرة عن المديرية العامة للضرائب</w:t>
      </w:r>
      <w:r>
        <w:rPr>
          <w:rFonts w:ascii="Traditional Arabic" w:hAnsi="Traditional Arabic"/>
          <w:b/>
          <w:bCs/>
          <w:sz w:val="28"/>
          <w:rtl/>
        </w:rPr>
        <w:t xml:space="preserve"> </w:t>
      </w:r>
      <w:r>
        <w:rPr>
          <w:rStyle w:val="FootnoteReference"/>
          <w:rFonts w:ascii="Traditional Arabic" w:hAnsi="Traditional Arabic"/>
          <w:sz w:val="28"/>
        </w:rPr>
        <w:footnoteReference w:id="32"/>
      </w:r>
      <w:r>
        <w:rPr>
          <w:rFonts w:ascii="Traditional Arabic" w:hAnsi="Traditional Arabic"/>
          <w:b/>
          <w:bCs/>
          <w:sz w:val="28"/>
          <w:rtl/>
        </w:rPr>
        <w:t xml:space="preserve">. يُشكّل هذا الإعفاء متغيراً جوهرياً في حساب التكاليف الفعلية للمشتريات، إذ يعني أن الأسعار المُدرجة في أوامر الشراء هي أسعار نهائية خالية من الرسم، مما يُبسِّط معادلة التكلفة الإجمالية ويجعل القيمة المُستخدمة في نموذج ويلسون (PU = 4,500 دج للوحدة) قيمةً صافيةً مطابقةً للواقع المالي الفعلي للمؤسسة. يُشكّل هذا الإطار التنظيمي الحجر الزاوية الذي يحدد متطلبات النظام المقترح. فبما أن القانون يُلزِم بدقة التتبع والجرد والتوثيق (المرسوم الرئاسي 15-247، 2015؛ قانون المالية سنوي)، فإن نظام دعم القرار v13.3 صُمِّم ليتوافق مع هذه المتطلبات عبر توفير سجل حركات رقمي غير قابل للتعديل (Immutable Audit Trail)، وتقارير جرد آلية، ونظام توثيق إلكتروني يُحاكي الدورة المستندية القانونية.</w:t>
      </w:r>
    </w:p>
    <w:bookmarkEnd w:id="33"/>
    <w:bookmarkEnd w:id="34"/>
    <w:bookmarkStart w:id="39" w:name="X0b33a1787aeef4eb8491627c0fcc2828f98e578"/>
    <w:p>
      <w:pPr>
        <w:pStyle w:val="Heading2"/>
        <w:bidi/>
      </w:pPr>
      <w:r>
        <w:rPr>
          <w:b/>
          <w:sz w:val="36"/>
          <w:rtl/>
        </w:rPr>
        <w:t xml:space="preserve">المبحث الثالث: إدارة الشراء والدورة المستندية</w:t>
      </w:r>
    </w:p>
    <w:bookmarkStart w:id="36" w:name="وظيفة-الشراء-procurement-function"/>
    <w:p>
      <w:pPr>
        <w:pStyle w:val="Heading3"/>
        <w:bidi/>
      </w:pPr>
      <w:r>
        <w:rPr>
          <w:b/>
          <w:sz w:val="32"/>
          <w:rtl/>
        </w:rPr>
        <w:t xml:space="preserve">1. وظيفة الشراء (Procurement Function)</w:t>
      </w:r>
    </w:p>
    <w:p>
      <w:pPr>
        <w:bidi/>
        <w:spacing w:line="360" w:lineRule="auto"/>
        <w:jc w:val="right"/>
      </w:pPr>
      <w:r>
        <w:rPr>
          <w:rFonts w:ascii="Traditional Arabic" w:hAnsi="Traditional Arabic"/>
          <w:b/>
          <w:bCs/>
          <w:sz w:val="28"/>
          <w:rtl/>
        </w:rPr>
        <w:t xml:space="preserve">تُعد وظيفة الشراء (Procurement) إحدى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w:t>
      </w:r>
      <w:r>
        <w:rPr>
          <w:rFonts w:ascii="Traditional Arabic" w:hAnsi="Traditional Arabic"/>
          <w:b/>
          <w:bCs/>
          <w:sz w:val="28"/>
          <w:rtl/>
        </w:rPr>
        <w:t xml:space="preserve"> </w:t>
      </w:r>
      <w:r>
        <w:rPr>
          <w:rFonts w:ascii="Traditional Arabic" w:hAnsi="Traditional Arabic"/>
          <w:b/>
          <w:bCs/>
          <w:sz w:val="28"/>
          <w:rtl/>
        </w:rPr>
        <w:t xml:space="preserve">“الخمسة الصحيحة”</w:t>
      </w:r>
      <w:r>
        <w:rPr>
          <w:rFonts w:ascii="Traditional Arabic" w:hAnsi="Traditional Arabic"/>
          <w:b/>
          <w:bCs/>
          <w:sz w:val="28"/>
          <w:rtl/>
        </w:rPr>
        <w:t xml:space="preserve"> </w:t>
      </w:r>
      <w:r>
        <w:rPr>
          <w:rFonts w:ascii="Traditional Arabic" w:hAnsi="Traditional Arabic"/>
          <w:b/>
          <w:bCs/>
          <w:sz w:val="28"/>
          <w:rtl/>
        </w:rPr>
        <w:t xml:space="preserve">(5 Rights): الحصول على النوعية المناسبة (Right Quality)، بالكمية المطلوبة (Right Quantity)، في الوقت المحدد (Right Time)، من المصدر الموثوق (Right Source)، وبالسعر الأفضل (Right Price). في القطاع العام، تضاف معايير إضافية كالشفافية (Transparency)، والمساواة بين المتنافسين (Equal Treatment)، والالتزام بالإجراءات القانونية التنظيمية. تمر عملية الشراء بست مراحل متسلسلة</w:t>
      </w:r>
      <w:r>
        <w:rPr>
          <w:rFonts w:ascii="Traditional Arabic" w:hAnsi="Traditional Arabic"/>
          <w:b/>
          <w:bCs/>
          <w:sz w:val="28"/>
          <w:rtl/>
        </w:rPr>
        <w:t xml:space="preserve"> </w:t>
      </w:r>
      <w:r>
        <w:rPr>
          <w:rStyle w:val="FootnoteReference"/>
          <w:rFonts w:ascii="Traditional Arabic" w:hAnsi="Traditional Arabic"/>
          <w:sz w:val="28"/>
        </w:rPr>
        <w:footnoteReference w:id="35"/>
      </w:r>
      <w:r>
        <w:rPr>
          <w:rFonts w:ascii="Traditional Arabic" w:hAnsi="Traditional Arabic"/>
          <w:b/>
          <w:bCs/>
          <w:sz w:val="28"/>
          <w:rtl/>
        </w:rPr>
        <w:t xml:space="preserve">: تحديد المواصفات، اختيار الموردين، التفاوض وإبرام العقد، إصدار أمر الشراء، متابعة التسليم، والتقييم البعدي. في سياق الدراسة الحالية، تنحصر وظيفة الشراء في المراحل المباشرة (إصدار الأمر واستلام البضاعة) بسبب محدودية صلاحيات المندوبين في القطاع العام، حيث تتركز صلاحيات التعاقد في الإدارة المركزية أو الهيئات الوصية.</w:t>
      </w:r>
    </w:p>
    <w:bookmarkEnd w:id="36"/>
    <w:bookmarkStart w:id="37" w:name="الدورة-المستندية-في-الإدارة-العمومية"/>
    <w:p>
      <w:pPr>
        <w:pStyle w:val="Heading3"/>
        <w:bidi/>
      </w:pPr>
      <w:r>
        <w:rPr>
          <w:b/>
          <w:sz w:val="32"/>
          <w:rtl/>
        </w:rPr>
        <w:t xml:space="preserve">2. الدورة المستندية في الإدارة العمومية</w:t>
      </w:r>
    </w:p>
    <w:p>
      <w:pPr>
        <w:bidi/>
        <w:spacing w:line="360" w:lineRule="auto"/>
        <w:jc w:val="right"/>
      </w:pPr>
      <w:r>
        <w:rPr>
          <w:rFonts w:ascii="Traditional Arabic" w:hAnsi="Traditional Arabic"/>
          <w:sz w:val="28"/>
          <w:rtl/>
        </w:rPr>
        <w:t xml:space="preserve">تمر عملية الشراء والتزويد في المؤسسات العمومية بسلسلة مترابطة من الخطوات والوثائق (دورة مستندية) تهدف إلى ضمان الرقابة والتتبع والمساءلة. هذه الدورة هي العمود الفقري للنظام المحاسبي والمالي في المؤسسة، وتتكون من المراحل التالية: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طلب الاحتياجات: تبدأ الدورة عندما ترفع مصلحة معينة (مثلاً: مصلحة التعليم الثانوي) طلباً داخلياً يُحدّد المواد المطلوبة وكمياتها ودرجة استعجالها.</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طلب الشراء: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استشارة الموردين: يتم التواصل مع ثلاثة موردين على الأقل (وفقاً لمبدأ المنافسة) لطلب عروض الأسعار والمواصفات الفنية.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أمر الشراء: بعد اختيار المورد الفائز، يُصدر أمر شراء رسمي مُرقَّم يمثل التزاماً قانونياً بين المؤسسة والمورد، يُحدّد المواد والكمية والسعر وآجال التسليم وشروط الدفع.</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وصل الاستلام: عند وصول السلع إلى المستودع، يتم فحصها كمياً ونوعياً ومطابقتها لأمر الشراء.</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الفاتورة: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الميدانية أن متوسط زمن استكمال الدورة المستندية الكاملة في النظام الحالي يتراوح بين 15 و30 يوماً، وهو ما يُبرّر الحاجة إلى رقمنة هذه الدورة لتقليص الزمن وتحسين التتبع.</w:t>
      </w:r>
    </w:p>
    <w:bookmarkEnd w:id="37"/>
    <w:bookmarkStart w:id="38" w:name="التكامل-بين-الشراء-والتخزين"/>
    <w:p>
      <w:pPr>
        <w:pStyle w:val="Heading3"/>
        <w:bidi/>
      </w:pPr>
      <w:r>
        <w:rPr>
          <w:b/>
          <w:sz w:val="32"/>
          <w:rtl/>
        </w:rPr>
        <w:t xml:space="preserve">3. التكامل بين الشراء والتخزين</w:t>
      </w:r>
    </w:p>
    <w:p>
      <w:pPr>
        <w:bidi/>
        <w:spacing w:line="360" w:lineRule="auto"/>
        <w:jc w:val="right"/>
      </w:pPr>
      <w:r>
        <w:rPr>
          <w:rFonts w:ascii="Traditional Arabic" w:hAnsi="Traditional Arabic"/>
          <w:sz w:val="28"/>
          <w:rtl/>
        </w:rPr>
        <w:t xml:space="preserve">لا يمكن فصل وظيفة الشراء عن التخزين في أي مؤسسة تسعى إلى تحقيق الفعالية اللوجيستية؛ فهما وجهان لعملة واحدة. المعلومات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المستقبلية. يؤدي الفصل بين هاتين الوظيفتين في النظام اليدوي الحالي إلى ظهور</w:t>
      </w:r>
      <w:r>
        <w:rPr>
          <w:rFonts w:ascii="Traditional Arabic" w:hAnsi="Traditional Arabic"/>
          <w:sz w:val="28"/>
          <w:rtl/>
        </w:rPr>
        <w:t xml:space="preserve"> </w:t>
      </w:r>
      <w:r>
        <w:rPr>
          <w:rFonts w:ascii="Traditional Arabic" w:hAnsi="Traditional Arabic"/>
          <w:sz w:val="28"/>
          <w:rtl/>
        </w:rPr>
        <w:t xml:space="preserve">“ثقوب سوداء”</w:t>
      </w:r>
      <w:r>
        <w:rPr>
          <w:rFonts w:ascii="Traditional Arabic" w:hAnsi="Traditional Arabic"/>
          <w:sz w:val="28"/>
          <w:rtl/>
        </w:rPr>
        <w:t xml:space="preserve"> </w:t>
      </w:r>
      <w:r>
        <w:rPr>
          <w:rFonts w:ascii="Traditional Arabic" w:hAnsi="Traditional Arabic"/>
          <w:sz w:val="28"/>
          <w:rtl/>
        </w:rPr>
        <w:t xml:space="preserve">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يُحقّق التكامل الآني بين الوظيفتين عبر قاعدة بيانات موحدة ومحرك VBA يُحدّث كافة المؤشرات بشكل فوري عند كل حركة مخزنية.</w:t>
      </w:r>
    </w:p>
    <w:bookmarkEnd w:id="38"/>
    <w:bookmarkEnd w:id="39"/>
    <w:bookmarkStart w:id="46" w:name="Xe71e4b4fd93dee69f233a0223a30763675d81f6"/>
    <w:p>
      <w:pPr>
        <w:pStyle w:val="Heading2"/>
        <w:bidi/>
      </w:pPr>
      <w:r>
        <w:rPr>
          <w:b/>
          <w:sz w:val="36"/>
          <w:rtl/>
        </w:rPr>
        <w:t xml:space="preserve">المبحث الرابع: أدوات التقييم المحاسبي للمخزون</w:t>
      </w:r>
    </w:p>
    <w:bookmarkStart w:id="41" w:name="أولا-تحليل-abc"/>
    <w:p>
      <w:pPr>
        <w:pStyle w:val="Heading3"/>
        <w:bidi/>
      </w:pPr>
      <w:r>
        <w:rPr>
          <w:b/>
          <w:sz w:val="32"/>
          <w:rtl/>
        </w:rPr>
        <w:t xml:space="preserve">أولاً: تحليل ABC</w:t>
      </w:r>
    </w:p>
    <w:p>
      <w:pPr>
        <w:bidi/>
        <w:spacing w:line="360" w:lineRule="auto"/>
        <w:jc w:val="right"/>
      </w:pPr>
      <w:r>
        <w:rPr>
          <w:rFonts w:ascii="Traditional Arabic" w:hAnsi="Traditional Arabic"/>
          <w:sz w:val="28"/>
          <w:rtl/>
        </w:rPr>
        <w:t xml:space="preserve">يُعدّ تحليل ABC من أكثر أدوات تصنيف المخزون شيوعاً واستخداماً في المؤسسات على اختلاف أحجامها وقطاعاتها. يستند التحليل إلى مبدأ الاقتصادي الإيطالي فيلفريدو باريتو الذي لاحظ أن 20% من السكان يملكون 80% من الثروة. طُبِّق هذا المبدأ لاحقاً في إدارة المخزون ليُقرّ بأن نسبة محدودة من الأصناف تُمثّل الجزء الأكبر من القيمة الإجمالية للمخزون. يُصنَّف المخزون وفق هذا التحليل إلى ثلاث فئات متدرجة: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الفئة A (VIP):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 إعادة الطلب. في مشروعنا، يُصنَّف صنف Toner G030 (ART-001) ضمن هذه الفئة نظراً لارتفاع قيمته الاستهلاكية (أكثر من 618,000 دج سنوياً).</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الفئة B: تضم نحو 20-30% من المقالات وتُمثّل 15-20% من القيمة. تخضع لمتابعة دورية (فصلية) مع هوامش أمان أوسع نظراً لانخفاض تكلفة الرقابة مقارنة بقيمة المخزون.</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الفئة C: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 وقد أكد هذا الاتجاه في السياق الصناعي الجزائري دراسة Belhadi حول نمذجة وتحسين تسيير مخزون قطع الغيار في شركة SASACE-Algérie</w:t>
      </w:r>
      <w:r>
        <w:rPr>
          <w:rFonts w:ascii="Traditional Arabic" w:hAnsi="Traditional Arabic"/>
          <w:b/>
          <w:bCs/>
          <w:sz w:val="28"/>
          <w:rtl/>
        </w:rPr>
        <w:t xml:space="preserve"> </w:t>
      </w:r>
      <w:r>
        <w:rPr>
          <w:rStyle w:val="FootnoteReference"/>
          <w:rFonts w:ascii="Traditional Arabic" w:hAnsi="Traditional Arabic"/>
          <w:sz w:val="28"/>
        </w:rPr>
        <w:footnoteReference w:id="40"/>
      </w:r>
      <w:r>
        <w:rPr>
          <w:rFonts w:ascii="Traditional Arabic" w:hAnsi="Traditional Arabic"/>
          <w:b/>
          <w:bCs/>
          <w:sz w:val="28"/>
          <w:rtl/>
        </w:rPr>
        <w:t xml:space="preserve">.</w:t>
      </w:r>
    </w:p>
    <w:bookmarkEnd w:id="41"/>
    <w:bookmarkStart w:id="43" w:name="X44798d37eec6a2af9f8be4fa3f7a1f92b208602"/>
    <w:p>
      <w:pPr>
        <w:pStyle w:val="Heading3"/>
        <w:bidi/>
      </w:pPr>
      <w:r>
        <w:rPr>
          <w:b/>
          <w:sz w:val="32"/>
          <w:rtl/>
        </w:rPr>
        <w:t xml:space="preserve">ثانياً: نموذج ويلسون للكمية الاقتصادية للطلب</w:t>
      </w:r>
    </w:p>
    <w:p>
      <w:pPr>
        <w:bidi/>
        <w:spacing w:line="360" w:lineRule="auto"/>
        <w:jc w:val="right"/>
      </w:pPr>
      <w:r>
        <w:rPr>
          <w:rFonts w:ascii="Traditional Arabic" w:hAnsi="Traditional Arabic"/>
          <w:b/>
          <w:bCs/>
          <w:sz w:val="28"/>
          <w:rtl/>
        </w:rPr>
        <w:t xml:space="preserve">طوّر العالم فرانك ويلسون (Harris, 1913; Wilson, 1934) النموذج الأكثر شهرة في إدارة المخزونات، والذي يُعرف بنموذج الكمية الاقتصادية للطلب. يُعدّ هذا النموذج حجر الزاوية في أسس إدارة المخزون الحديثة</w:t>
      </w:r>
      <w:r>
        <w:rPr>
          <w:rFonts w:ascii="Traditional Arabic" w:hAnsi="Traditional Arabic"/>
          <w:b/>
          <w:bCs/>
          <w:sz w:val="28"/>
          <w:rtl/>
        </w:rPr>
        <w:t xml:space="preserve"> </w:t>
      </w:r>
      <w:r>
        <w:rPr>
          <w:rStyle w:val="FootnoteReference"/>
          <w:rFonts w:ascii="Traditional Arabic" w:hAnsi="Traditional Arabic"/>
          <w:sz w:val="28"/>
        </w:rPr>
        <w:footnoteReference w:id="42"/>
      </w:r>
      <w:r>
        <w:rPr>
          <w:rFonts w:ascii="Traditional Arabic" w:hAnsi="Traditional Arabic"/>
          <w:b/>
          <w:bCs/>
          <w:sz w:val="28"/>
          <w:rtl/>
        </w:rPr>
        <w:t xml:space="preserve">. يهدف النموذج إلى تحديد الكمية المثلى للطلب التي تُقلّص مجموع تكاليف الطلب وتكاليف الاحتفاظ بالمخزون إلى حدها الأدنى، مع افتراض طلب ثابت ومُستقر على مدار السنة. اشتقاق النموذج الرياضي: تنطلق معادلة ويلسون من دالة التكلفة الإجمالية السنوية للمخزون (Total Annual Inventory Cost):</w:t>
      </w:r>
    </w:p>
    <w:p>
      <w:pPr>
        <w:bidi/>
        <w:spacing w:line="360" w:lineRule="auto"/>
        <w:jc w:val="right"/>
      </w:pPr>
      <w:r>
        <w:rPr>
          <w:rFonts w:ascii="Traditional Arabic" w:hAnsi="Traditional Arabic"/>
          <w:sz w:val="28"/>
          <w:rtl/>
        </w:rPr>
        <w:t xml:space="preserve">حيث:</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TC: التكلفة الإجمالية السنوية (دج)</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D: الطلب السنوي (وحدة/سنة)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Q: كمية الطلب (متغير القرار)</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S: تكلفة إصدار الطلبية الواحدة (دج)</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I: معدل الاحتفاظ بالمخزون السنوي (%)</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PU: سعر الوحدة (دج) لإيجاد القيمة المُثلى Q* التي تُدني التكلفة الإجمالية، نُشتق الدالة بالنسبة لـ Q ونساوي المشتقة بالصفر:</w:t>
      </w:r>
    </w:p>
    <w:p>
      <w:pPr>
        <w:numPr>
          <w:ilvl w:val="0"/>
          <w:numId w:val="1001"/>
        </w:numPr>
        <w:bidi/>
        <w:spacing w:line="360" w:lineRule="auto"/>
        <w:jc w:val="right"/>
      </w:pPr>
      <w:r>
        <w:rPr>
          <w:rFonts w:ascii="Traditional Arabic" w:hAnsi="Traditional Arabic"/>
          <w:sz w:val="28"/>
          <w:rtl/>
        </w:rPr>
        <w:t xml:space="preserve">ومنه:</w:t>
      </w:r>
    </w:p>
    <w:p>
      <w:pPr>
        <w:numPr>
          <w:ilvl w:val="0"/>
          <w:numId w:val="1001"/>
        </w:numPr>
        <w:bidi/>
        <w:spacing w:line="360" w:lineRule="auto"/>
        <w:jc w:val="right"/>
      </w:pPr>
      <w:r>
        <w:rPr>
          <w:rFonts w:ascii="Traditional Arabic" w:hAnsi="Traditional Arabic"/>
          <w:b/>
          <w:bCs/>
          <w:sz w:val="28"/>
          <w:rtl/>
        </w:rPr>
        <w:t xml:space="preserve">هذه هي الصيغة النهائية لنموذج ويلسون، وهي تُمثّل كمية الطلب التي تُحقّق التوازن الأمثل بين تكاليف الإصدار وتكاليف الاحتفاظ. تطبيق على بيانات المشروع الحقيقية: بفرض الطلب السنوي D = 789 وحدة (Toner G030 - ART-001)، وتكلفة الطلب S = 801.45 دج (مُستخرجة من تحليل التكاليف الفعلية في الميدان)، وسعر الوحدة PU = 4,500 دج، ومعدل الاحتفاظ I = 20%:</w:t>
      </w:r>
    </w:p>
    <w:p>
      <w:pPr>
        <w:numPr>
          <w:ilvl w:val="0"/>
          <w:numId w:val="1001"/>
        </w:numPr>
        <w:bidi/>
        <w:spacing w:line="360" w:lineRule="auto"/>
        <w:jc w:val="right"/>
      </w:pPr>
      <w:r>
        <w:rPr>
          <w:rFonts w:ascii="Traditional Arabic" w:hAnsi="Traditional Arabic"/>
          <w:sz w:val="28"/>
          <w:rtl/>
        </w:rPr>
        <w:t xml:space="preserve">تكون التكلفة الإجمالية الدنيا عند هذه الكمية:</w:t>
      </w:r>
    </w:p>
    <w:p>
      <w:pPr>
        <w:numPr>
          <w:ilvl w:val="0"/>
          <w:numId w:val="1001"/>
        </w:numPr>
        <w:bidi/>
        <w:spacing w:line="360" w:lineRule="auto"/>
        <w:jc w:val="right"/>
      </w:pPr>
      <w:r>
        <w:rPr>
          <w:rFonts w:ascii="Traditional Arabic" w:hAnsi="Traditional Arabic"/>
          <w:b/>
          <w:bCs/>
          <w:sz w:val="28"/>
          <w:rtl/>
        </w:rPr>
        <w:t xml:space="preserve">نلاحظ أن التكلفة الإجمالية تتوزع بالتساوي بين تكاليف الطلب (7,040 دج) وتكاليف الاحتفاظ (7,040 دج)، وهذه سمة الرياضيات المثلى: عند Q* يتساوى حدّي التكلفة. العدد الأمثل للطلبيات سنوياً:</w:t>
      </w:r>
    </w:p>
    <w:p>
      <w:pPr>
        <w:numPr>
          <w:ilvl w:val="0"/>
          <w:numId w:val="1001"/>
        </w:numPr>
        <w:bidi/>
        <w:spacing w:line="360" w:lineRule="auto"/>
        <w:jc w:val="right"/>
      </w:pPr>
      <w:r>
        <w:rPr>
          <w:rFonts w:ascii="Traditional Arabic" w:hAnsi="Traditional Arabic"/>
          <w:sz w:val="28"/>
          <w:rtl/>
        </w:rPr>
        <w:t xml:space="preserve">وهذا يعني أنه يجب تقديم طلبية واحدة كل 365/9 ≈ 40 يوماً، وهو تردد معقول مقارنة بأجال التموين في مؤسسات القطاع العام.</w:t>
      </w:r>
    </w:p>
    <w:bookmarkEnd w:id="43"/>
    <w:bookmarkStart w:id="44" w:name="ثالثا-نقطة-إعادة-الطلب-ومخزون-الأمان"/>
    <w:p>
      <w:pPr>
        <w:pStyle w:val="Heading3"/>
        <w:bidi/>
      </w:pPr>
      <w:r>
        <w:rPr>
          <w:b/>
          <w:sz w:val="32"/>
          <w:rtl/>
        </w:rPr>
        <w:t xml:space="preserve">ثالثاً: نقطة إعادة الطلب ومخزون الأمان</w:t>
      </w:r>
    </w:p>
    <w:p>
      <w:pPr>
        <w:bidi/>
        <w:spacing w:line="360" w:lineRule="auto"/>
        <w:jc w:val="right"/>
      </w:pPr>
      <w:r>
        <w:rPr>
          <w:rFonts w:ascii="Traditional Arabic" w:hAnsi="Traditional Arabic"/>
          <w:b/>
          <w:bCs/>
          <w:sz w:val="28"/>
          <w:rtl/>
        </w:rPr>
        <w:t xml:space="preserve">نقطة إعادة الطلب هي المستوى المخزني الذي عند الوصول إليه يجب إصدار طلبية جديدة فوراً، ضماناً لاستمرار التزويد خلال فترة انتظار التسليم. الصيغة الرياضية:</w:t>
      </w:r>
    </w:p>
    <w:p>
      <w:pPr>
        <w:bidi/>
        <w:spacing w:line="360" w:lineRule="auto"/>
        <w:jc w:val="right"/>
      </w:pPr>
      <w:r>
        <w:rPr>
          <w:rFonts w:ascii="Traditional Arabic" w:hAnsi="Traditional Arabic"/>
          <w:b/>
          <w:bCs/>
          <w:sz w:val="28"/>
          <w:rtl/>
        </w:rPr>
        <w:t xml:space="preserve">نقطة إعادة الطلب = (الاستهلاك اليومي × أجل التسليم) + مخزون الأمان</w:t>
      </w:r>
      <w:r>
        <w:rPr>
          <w:rFonts w:ascii="Traditional Arabic" w:hAnsi="Traditional Arabic"/>
          <w:sz w:val="28"/>
          <w:rtl/>
        </w:rPr>
        <w:t xml:space="preserve"> </w:t>
      </w:r>
      <w:r>
        <w:rPr>
          <w:rFonts w:ascii="Traditional Arabic" w:hAnsi="Traditional Arabic"/>
          <w:sz w:val="28"/>
          <w:rtl/>
        </w:rPr>
        <w:t xml:space="preserve">تطبيق (بناءً على بيانات المشروع الحقيقية): بفرض استهلاك يومي قدره 6.184 وحدة (= D/250 = 789/250)، وأجل تسليم (LT) قدره 2 يوم، ومخزون أمان (SS) قدره 200 وحدة: ROP = (6.184 × 2) + 200 = 206 وحدة**</w:t>
      </w:r>
    </w:p>
    <w:bookmarkEnd w:id="44"/>
    <w:bookmarkStart w:id="45" w:name="رابعا-طرق-تقييم-المخزون"/>
    <w:p>
      <w:pPr>
        <w:pStyle w:val="Heading3"/>
        <w:bidi/>
      </w:pPr>
      <w:r>
        <w:rPr>
          <w:b/>
          <w:sz w:val="32"/>
          <w:rtl/>
        </w:rPr>
        <w:t xml:space="preserve">رابعاً: طرق تقييم المخزون</w:t>
      </w:r>
    </w:p>
    <w:p>
      <w:pPr>
        <w:bidi/>
        <w:spacing w:line="360" w:lineRule="auto"/>
        <w:jc w:val="right"/>
      </w:pPr>
      <w:r>
        <w:rPr>
          <w:rFonts w:ascii="Traditional Arabic" w:hAnsi="Traditional Arabic"/>
          <w:sz w:val="28"/>
          <w:rtl/>
        </w:rPr>
        <w:t xml:space="preserve">تتعدد الطرق المحاسبية لتقييم قيمة الوحدات الخارجة من المخزون، وأبرزها:</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طريقة FIFO (أول دخول أول خروج): تعتمد على إخراج الوحدات الأقدم أولاً. تُناسب المواد القابلة للتلف.</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طريقة CMUP (المتوسط المرجّح للتكلفة): تُحسب تكلفة وحدة الخروج كمتوسط مرجّح لتكلفة المخزون الموجود قبل كل عملية دخول جديدة. الصيغة الرياضية:</w:t>
      </w:r>
    </w:p>
    <w:p>
      <w:pPr>
        <w:pStyle w:val="Compact"/>
        <w:numPr>
          <w:ilvl w:val="0"/>
          <w:numId w:val="1002"/>
        </w:numPr>
        <w:bidi/>
        <w:spacing w:line="360" w:lineRule="auto"/>
        <w:jc w:val="right"/>
      </w:pPr>
      <w:r>
        <w:rPr>
          <w:rFonts w:ascii="Traditional Arabic" w:hAnsi="Traditional Arabic"/>
          <w:b/>
          <w:bCs/>
          <w:sz w:val="28"/>
          <w:rtl/>
        </w:rPr>
        <w:t xml:space="preserve">CMUP = (قيمة الرصيد قبل الدخول + قيمة الدخول) ÷ (كمية الرصيد قبل الدخول + كمية الدخول)</w:t>
      </w:r>
      <w:r>
        <w:rPr>
          <w:rFonts w:ascii="Traditional Arabic" w:hAnsi="Traditional Arabic"/>
          <w:sz w:val="28"/>
          <w:rtl/>
        </w:rPr>
        <w:t xml:space="preserve">**</w:t>
      </w:r>
    </w:p>
    <w:bookmarkEnd w:id="45"/>
    <w:bookmarkEnd w:id="46"/>
    <w:bookmarkStart w:id="50" w:name="المبحث-الخامس-تقييم-الموردين-ومفهوم-erp"/>
    <w:p>
      <w:pPr>
        <w:pStyle w:val="Heading2"/>
        <w:bidi/>
      </w:pPr>
      <w:r>
        <w:rPr>
          <w:b/>
          <w:sz w:val="36"/>
          <w:rtl/>
        </w:rPr>
        <w:t xml:space="preserve">المبحث الخامس: تقييم الموردين ومفهوم ERP</w:t>
      </w:r>
    </w:p>
    <w:bookmarkStart w:id="47" w:name="تقييم-الموردين-supplier-evaluation"/>
    <w:p>
      <w:pPr>
        <w:pStyle w:val="Heading3"/>
        <w:bidi/>
      </w:pPr>
      <w:r>
        <w:rPr>
          <w:b/>
          <w:sz w:val="32"/>
          <w:rtl/>
        </w:rPr>
        <w:t xml:space="preserve">1. تقييم الموردين (Supplier Evaluation)</w:t>
      </w:r>
    </w:p>
    <w:p>
      <w:pPr>
        <w:bidi/>
        <w:spacing w:line="360" w:lineRule="auto"/>
        <w:jc w:val="right"/>
      </w:pPr>
      <w:r>
        <w:rPr>
          <w:rFonts w:ascii="Traditional Arabic" w:hAnsi="Traditional Arabic"/>
          <w:sz w:val="28"/>
          <w:rtl/>
        </w:rPr>
        <w:t xml:space="preserve">لضمان استمرارية التزويد بجودة عالية، يجب على المؤسسة اعتماد نظام دوري لتقييم الموردين بناءً على معايير موضوعية، أهمها:</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الجودة (Quality): مدى مطابقة المواد الموردة للمواصفات التقنية المطلوبة.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الالتزام بالآجال : القدرة على تسليم الطلبيات في المواعيد المتفق عليها.</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التنافسية السعرية (Pricing): موازنة السعر مع القيمة والجودة المقدمة.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الموثوقية والخدمة (Reliability &amp; Service): سرعة الاستجابة للمشاكل، ومرونة التعامل، وتقديم الدعم الفني إذا لزم الأمر.</w:t>
      </w:r>
    </w:p>
    <w:bookmarkEnd w:id="47"/>
    <w:bookmarkStart w:id="49" w:name="Xb68060b29c3c1e1f393cce9f99a443e0fc48320"/>
    <w:p>
      <w:pPr>
        <w:pStyle w:val="Heading3"/>
        <w:bidi/>
      </w:pPr>
      <w:r>
        <w:rPr>
          <w:b/>
          <w:sz w:val="32"/>
          <w:rtl/>
        </w:rPr>
        <w:t xml:space="preserve">2. مفهوم الأنظمة المندمجة (ERP - Enterprise Resource Planning)</w:t>
      </w:r>
    </w:p>
    <w:p>
      <w:pPr>
        <w:bidi/>
        <w:spacing w:line="360" w:lineRule="auto"/>
        <w:jc w:val="right"/>
      </w:pPr>
      <w:r>
        <w:rPr>
          <w:rFonts w:ascii="Traditional Arabic" w:hAnsi="Traditional Arabic"/>
          <w:b/>
          <w:bCs/>
          <w:sz w:val="28"/>
          <w:rtl/>
        </w:rPr>
        <w:t xml:space="preserve">تُمثل الأنظمة المندمجة الجيل الحديث من البرمجيات الإدارية</w:t>
      </w:r>
      <w:r>
        <w:rPr>
          <w:rFonts w:ascii="Traditional Arabic" w:hAnsi="Traditional Arabic"/>
          <w:b/>
          <w:bCs/>
          <w:sz w:val="28"/>
          <w:rtl/>
        </w:rPr>
        <w:t xml:space="preserve"> </w:t>
      </w:r>
      <w:r>
        <w:rPr>
          <w:rStyle w:val="FootnoteReference"/>
          <w:rFonts w:ascii="Traditional Arabic" w:hAnsi="Traditional Arabic"/>
          <w:sz w:val="28"/>
        </w:rPr>
        <w:footnoteReference w:id="48"/>
      </w:r>
      <w:r>
        <w:rPr>
          <w:rFonts w:ascii="Traditional Arabic" w:hAnsi="Traditional Arabic"/>
          <w:b/>
          <w:bCs/>
          <w:sz w:val="28"/>
          <w:rtl/>
        </w:rPr>
        <w:t xml:space="preserve">، وهي عبارة عن حزمة متكاملة من التطبيقات التي تهدف إلى إدارة كافة وظائف المؤسسة (المالية، الموارد البشرية، المشتريات، المخزون، الإنتاج) عبر قاعدة بيانات موحدة. أهمية الـ ERP في عصر الرقمنة: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وحدة البيانات (Data Integrity): القضاء على تضارب المعلومات بين المصالح المختلفة (مثلاً: مطابقة رصيد المستودع مع الرصيد المحاسبي تلقائياً).</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السرعة والفاعلية: توفير معلومات آنية (Real-time) تدعم اتخاذ القرارات السريعة.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الرقابة والشفافية: تسهيل عمليات التدقيق من خلال تتبع مسار كل عملية (Audit Trail) من الطلب إلى الدفع.</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تقليل التكاليف: من خلال أتمتة العمليات اليدوية المتكررة وتقليل الأخطاء البشرية. في مشروعنا الحالي، يهدف نظام دعم القرار v13.3 إلى محاكاة هذه البيئة المندمجة باستخدام بيئة Excel المتقدمة، مما يضمن انتقالاً سلساً من التسيير التقليدي إلى التسيير الرقمي المحوسب. ويخضع هذا النظام للأطر القانونية الجزائرية لحماية البرمجيات وحقوق المؤلف (الأمر 03-07 المتعلق ببراءات الاختراع، 2003؛ الأمر 03-05 المتعلق بحقوق المؤلف، 2003).</w:t>
      </w:r>
    </w:p>
    <w:p>
      <w:pPr>
        <w:bidi/>
        <w:spacing w:line="360" w:lineRule="auto"/>
        <w:jc w:val="right"/>
      </w:pPr>
      <w:r>
        <w:rPr>
          <w:rFonts w:ascii="Traditional Arabic" w:hAnsi="Traditional Arabic"/>
          <w:b/>
          <w:bCs/>
          <w:sz w:val="28"/>
          <w:rtl/>
        </w:rPr>
        <w:t xml:space="preserve">خلاصة الفصل الأول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التربية لولاية البيض. — نهاية الفصل الأول —</w:t>
      </w:r>
    </w:p>
    <w:bookmarkEnd w:id="49"/>
    <w:bookmarkEnd w:id="50"/>
    <w:bookmarkEnd w:id="51"/>
    <w:bookmarkStart w:id="99" w:name="Xfd09630af81a064bb869de4cc3333972b7b71f8"/>
    <w:p>
      <w:pPr>
        <w:pStyle w:val="Heading1"/>
        <w:bidi/>
      </w:pPr>
      <w:r>
        <w:rPr>
          <w:b/>
          <w:sz w:val="44"/>
          <w:rtl/>
        </w:rPr>
        <w:t xml:space="preserve">الفصل الثاني: الإطار العملي والتشخيص الميداني</w:t>
      </w:r>
    </w:p>
    <w:p>
      <w:pPr>
        <w:bidi/>
        <w:spacing w:line="360" w:lineRule="auto"/>
        <w:jc w:val="right"/>
      </w:pPr>
      <w:r>
        <w:rPr>
          <w:rFonts w:ascii="Traditional Arabic" w:hAnsi="Traditional Arabic"/>
          <w:sz w:val="28"/>
          <w:rtl/>
        </w:rPr>
        <w:t xml:space="preserve">تمهيد الفصل</w:t>
      </w:r>
      <w:r>
        <w:rPr>
          <w:rFonts w:ascii="Traditional Arabic" w:hAnsi="Traditional Arabic"/>
          <w:sz w:val="28"/>
          <w:rtl/>
        </w:rPr>
        <w:t xml:space="preserve"> </w:t>
      </w:r>
      <w:r>
        <w:rPr>
          <w:rFonts w:ascii="Traditional Arabic" w:hAnsi="Traditional Arabic"/>
          <w:sz w:val="28"/>
          <w:rtl/>
        </w:rPr>
        <w:t xml:space="preserve">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bookmarkStart w:id="74" w:name="Xd96d29689cd7b7c28a53e63cb30434c1b4e42ae"/>
    <w:p>
      <w:pPr>
        <w:pStyle w:val="Heading2"/>
        <w:bidi/>
      </w:pPr>
      <w:r>
        <w:rPr>
          <w:b/>
          <w:sz w:val="36"/>
          <w:rtl/>
        </w:rPr>
        <w:t xml:space="preserve">المبحث الأول: النماذج الرياضية للتسيير الكمي للمخزون</w:t>
      </w:r>
    </w:p>
    <w:p>
      <w:pPr>
        <w:bidi/>
        <w:spacing w:line="360" w:lineRule="auto"/>
        <w:jc w:val="right"/>
      </w:pPr>
      <w:r>
        <w:rPr>
          <w:rFonts w:ascii="Traditional Arabic" w:hAnsi="Traditional Arabic"/>
          <w:sz w:val="28"/>
          <w:rtl/>
        </w:rPr>
        <w:t xml:space="preserve">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bookmarkStart w:id="59" w:name="Xfd010b0e6ec43a71a31832c4aa57c4a1ebd67ff"/>
    <w:p>
      <w:pPr>
        <w:pStyle w:val="Heading3"/>
        <w:bidi/>
      </w:pPr>
      <w:r>
        <w:rPr>
          <w:b/>
          <w:sz w:val="32"/>
          <w:rtl/>
        </w:rPr>
        <w:t xml:space="preserve">المطلب الأول: نموذج ويلسون للكمية الاقتصادية للطلب</w:t>
      </w:r>
    </w:p>
    <w:bookmarkStart w:id="54" w:name="أولا-الإطار-المرجعي-للنموذج"/>
    <w:p>
      <w:pPr>
        <w:pStyle w:val="Heading4"/>
        <w:bidi/>
      </w:pPr>
      <w:r>
        <w:rPr>
          <w:rtl/>
        </w:rPr>
        <w:t xml:space="preserve">أولاً: الإطار المرجعي للنموذج</w:t>
      </w:r>
    </w:p>
    <w:p>
      <w:pPr>
        <w:bidi/>
        <w:spacing w:line="360" w:lineRule="auto"/>
        <w:jc w:val="right"/>
      </w:pPr>
      <w:r>
        <w:rPr>
          <w:rFonts w:ascii="Traditional Arabic" w:hAnsi="Traditional Arabic"/>
          <w:sz w:val="28"/>
          <w:rtl/>
        </w:rPr>
        <w:t xml:space="preserve">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Pr>
          <w:rFonts w:ascii="Traditional Arabic" w:hAnsi="Traditional Arabic"/>
          <w:sz w:val="28"/>
          <w:rtl/>
        </w:rPr>
        <w:t xml:space="preserve"> </w:t>
      </w:r>
      <w:r>
        <w:rPr>
          <w:rStyle w:val="FootnoteReference"/>
          <w:rFonts w:ascii="Traditional Arabic" w:hAnsi="Traditional Arabic"/>
          <w:sz w:val="28"/>
        </w:rPr>
        <w:footnoteReference w:id="52"/>
      </w:r>
    </w:p>
    <w:p>
      <w:pPr>
        <w:bidi/>
        <w:spacing w:line="360" w:lineRule="auto"/>
        <w:jc w:val="right"/>
      </w:pPr>
      <w:r>
        <w:rPr>
          <w:rFonts w:ascii="Traditional Arabic" w:hAnsi="Traditional Arabic"/>
          <w:sz w:val="28"/>
          <w:rtl/>
        </w:rPr>
        <w:t xml:space="preserve">كلما كبرت الطلبية،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Pr>
          <w:rFonts w:ascii="Traditional Arabic" w:hAnsi="Traditional Arabic"/>
          <w:sz w:val="28"/>
          <w:rtl/>
        </w:rPr>
        <w:t xml:space="preserve"> </w:t>
      </w:r>
      <w:r>
        <w:rPr>
          <w:rStyle w:val="FootnoteReference"/>
          <w:rFonts w:ascii="Traditional Arabic" w:hAnsi="Traditional Arabic"/>
          <w:sz w:val="28"/>
        </w:rPr>
        <w:footnoteReference w:id="53"/>
      </w:r>
    </w:p>
    <w:bookmarkEnd w:id="54"/>
    <w:bookmarkStart w:id="56" w:name="ثانيا-التطبيق-على-الصنف-المرجعي-art-001"/>
    <w:p>
      <w:pPr>
        <w:pStyle w:val="Heading4"/>
        <w:bidi/>
      </w:pPr>
      <w:r>
        <w:rPr>
          <w:rtl/>
        </w:rPr>
        <w:t xml:space="preserve">ثانياً: التطبيق على الصنف المرجعي ART-001</w:t>
      </w:r>
    </w:p>
    <w:p>
      <w:pPr>
        <w:bidi/>
        <w:spacing w:line="360" w:lineRule="auto"/>
        <w:jc w:val="right"/>
      </w:pPr>
      <w:r>
        <w:rPr>
          <w:rFonts w:ascii="Traditional Arabic" w:hAnsi="Traditional Arabic"/>
          <w:b/>
          <w:bCs/>
          <w:sz w:val="28"/>
          <w:rtl/>
        </w:rPr>
        <w:t xml:space="preserve">استُخرجت البيانات التالية ميدانياً من سجلات مصلحة المخازن خلال 38 يوم عمل، ومن وثائق مصلحة الميزانية:</w:t>
      </w:r>
      <w:r>
        <w:rPr>
          <w:rFonts w:ascii="Traditional Arabic" w:hAnsi="Traditional Arabic"/>
          <w:b/>
          <w:bCs/>
          <w:sz w:val="28"/>
          <w:rtl/>
        </w:rPr>
        <w:t xml:space="preserve"> </w:t>
      </w:r>
      <w:r>
        <w:rPr>
          <w:rStyle w:val="FootnoteReference"/>
          <w:rFonts w:ascii="Traditional Arabic" w:hAnsi="Traditional Arabic"/>
          <w:sz w:val="28"/>
        </w:rPr>
        <w:footnoteReference w:id="55"/>
      </w:r>
      <w:r>
        <w:rPr>
          <w:rFonts w:ascii="Traditional Arabic" w:hAnsi="Traditional Arabic"/>
          <w:sz w:val="28"/>
          <w:rtl/>
        </w:rPr>
        <w:t xml:space="preserve"> </w:t>
      </w:r>
      <w:r>
        <w:rPr>
          <w:rFonts w:ascii="Traditional Arabic" w:hAnsi="Traditional Arabic"/>
          <w:b/>
          <w:bCs/>
          <w:sz w:val="28"/>
          <w:rtl/>
        </w:rPr>
        <w:t xml:space="preserve">ثانياً: التطبيق على الصنف المرجعي ART-001</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1659932" w:type="dxa"/>
          </w:tcPr>
          <w:p>
            <w:pPr>
              <w:pStyle w:val="Compact"/>
              <w:bidi/>
            </w:pPr>
            <w:r>
              <w:rPr>
                <w:rtl/>
              </w:rPr>
              <w:t xml:space="preserve">المُعامل</w:t>
            </w:r>
          </w:p>
        </w:tc>
        <w:tc>
          <w:tcPr>
            <w:tcW w:w="1253873" w:type="dxa"/>
          </w:tcPr>
          <w:p>
            <w:pPr>
              <w:pStyle w:val="Compact"/>
              <w:bidi/>
            </w:pPr>
            <w:r>
              <w:rPr>
                <w:rtl/>
              </w:rPr>
              <w:t xml:space="preserve">القيمة الميدانية</w:t>
            </w:r>
          </w:p>
        </w:tc>
        <w:tc>
          <w:tcPr>
            <w:tcW w:w="2396193" w:type="dxa"/>
          </w:tcPr>
          <w:p>
            <w:pPr>
              <w:pStyle w:val="Compact"/>
              <w:bidi/>
            </w:pPr>
            <w:r>
              <w:rPr>
                <w:rtl/>
              </w:rPr>
              <w:t xml:space="preserve">المصدر</w:t>
            </w:r>
          </w:p>
        </w:tc>
      </w:tr>
      <w:tr>
        <w:tc>
          <w:tcPr>
            <w:tcW w:w="1659932" w:type="dxa"/>
          </w:tcPr>
          <w:p>
            <w:pPr>
              <w:pStyle w:val="Compact"/>
              <w:bidi/>
            </w:pPr>
            <w:r>
              <w:rPr>
                <w:rtl/>
              </w:rPr>
              <w:t xml:space="preserve">الطلب السنوي (D)</w:t>
            </w:r>
          </w:p>
        </w:tc>
        <w:tc>
          <w:tcPr>
            <w:tcW w:w="1253873" w:type="dxa"/>
          </w:tcPr>
          <w:p>
            <w:pPr>
              <w:pStyle w:val="Compact"/>
              <w:bidi/>
            </w:pPr>
            <w:r>
              <w:rPr>
                <w:rtl/>
              </w:rPr>
              <w:t xml:space="preserve">789 وحدة</w:t>
            </w:r>
          </w:p>
        </w:tc>
        <w:tc>
          <w:tcPr>
            <w:tcW w:w="2396193" w:type="dxa"/>
          </w:tcPr>
          <w:p>
            <w:pPr>
              <w:pStyle w:val="Compact"/>
              <w:bidi/>
            </w:pPr>
            <w:r>
              <w:rPr>
                <w:rtl/>
              </w:rPr>
              <w:t xml:space="preserve">جرد فعلي + إسقاط سنوي</w:t>
            </w:r>
          </w:p>
        </w:tc>
      </w:tr>
      <w:tr>
        <w:tc>
          <w:tcPr>
            <w:tcW w:w="1659932" w:type="dxa"/>
          </w:tcPr>
          <w:p>
            <w:pPr>
              <w:pStyle w:val="Compact"/>
              <w:bidi/>
            </w:pPr>
            <w:r>
              <w:rPr>
                <w:rtl/>
              </w:rPr>
              <w:t xml:space="preserve">تكلفة إصدار الطلبية (S)</w:t>
            </w:r>
          </w:p>
        </w:tc>
        <w:tc>
          <w:tcPr>
            <w:tcW w:w="1253873" w:type="dxa"/>
          </w:tcPr>
          <w:p>
            <w:pPr>
              <w:pStyle w:val="Compact"/>
              <w:bidi/>
            </w:pPr>
            <w:r>
              <w:rPr>
                <w:rtl/>
              </w:rPr>
              <w:t xml:space="preserve">801.45 دج</w:t>
            </w:r>
          </w:p>
        </w:tc>
        <w:tc>
          <w:tcPr>
            <w:tcW w:w="2396193" w:type="dxa"/>
          </w:tcPr>
          <w:p>
            <w:pPr>
              <w:pStyle w:val="Compact"/>
              <w:bidi/>
            </w:pPr>
            <w:r>
              <w:rPr>
                <w:rtl/>
              </w:rPr>
              <w:t xml:space="preserve">تحليل التكاليف الإدارية الفعلية</w:t>
            </w:r>
          </w:p>
        </w:tc>
      </w:tr>
      <w:tr>
        <w:tc>
          <w:tcPr>
            <w:tcW w:w="1659932" w:type="dxa"/>
          </w:tcPr>
          <w:p>
            <w:pPr>
              <w:pStyle w:val="Compact"/>
              <w:bidi/>
            </w:pPr>
            <w:r>
              <w:rPr>
                <w:rtl/>
              </w:rPr>
              <w:t xml:space="preserve">سعر الوحدة (PU)</w:t>
            </w:r>
          </w:p>
        </w:tc>
        <w:tc>
          <w:tcPr>
            <w:tcW w:w="1253873" w:type="dxa"/>
          </w:tcPr>
          <w:p>
            <w:pPr>
              <w:pStyle w:val="Compact"/>
              <w:bidi/>
            </w:pPr>
            <w:r>
              <w:rPr>
                <w:rtl/>
              </w:rPr>
              <w:t xml:space="preserve">4,500 دج</w:t>
            </w:r>
          </w:p>
        </w:tc>
        <w:tc>
          <w:tcPr>
            <w:tcW w:w="2396193" w:type="dxa"/>
          </w:tcPr>
          <w:p>
            <w:pPr>
              <w:pStyle w:val="Compact"/>
              <w:bidi/>
            </w:pPr>
            <w:r>
              <w:rPr>
                <w:rtl/>
              </w:rPr>
              <w:t xml:space="preserve">فاتورة ENAP الجزائر</w:t>
            </w:r>
          </w:p>
        </w:tc>
      </w:tr>
      <w:tr>
        <w:tc>
          <w:tcPr>
            <w:tcW w:w="1659932" w:type="dxa"/>
          </w:tcPr>
          <w:p>
            <w:pPr>
              <w:pStyle w:val="Compact"/>
              <w:bidi/>
            </w:pPr>
            <w:r>
              <w:rPr>
                <w:rtl/>
              </w:rPr>
              <w:t xml:space="preserve">معدل الاحتفاظ (I)</w:t>
            </w:r>
          </w:p>
        </w:tc>
        <w:tc>
          <w:tcPr>
            <w:tcW w:w="1253873" w:type="dxa"/>
          </w:tcPr>
          <w:p>
            <w:pPr>
              <w:pStyle w:val="Compact"/>
              <w:bidi/>
            </w:pPr>
            <w:r>
              <w:rPr>
                <w:rtl/>
              </w:rPr>
              <w:t xml:space="preserve">20%</w:t>
            </w:r>
          </w:p>
        </w:tc>
        <w:tc>
          <w:tcPr>
            <w:tcW w:w="2396193" w:type="dxa"/>
          </w:tcPr>
          <w:p>
            <w:pPr>
              <w:pStyle w:val="Compact"/>
              <w:bidi/>
            </w:pPr>
            <w:r>
              <w:rPr>
                <w:rtl/>
              </w:rPr>
              <w:t xml:space="preserve">معيار CNEPD للقطاع العمومي</w:t>
            </w:r>
          </w:p>
        </w:tc>
      </w:tr>
    </w:tbl>
    <w:p>
      <w:pPr>
        <w:bidi/>
        <w:spacing w:line="360" w:lineRule="auto"/>
        <w:jc w:val="right"/>
      </w:pPr>
      <w:r>
        <w:rPr>
          <w:rFonts w:ascii="Traditional Arabic" w:hAnsi="Traditional Arabic"/>
          <w:sz w:val="28"/>
          <w:rtl/>
        </w:rPr>
        <w:t xml:space="preserve">بتطبيق المعادلة:</w:t>
      </w:r>
    </w:p>
    <w:bookmarkEnd w:id="56"/>
    <w:bookmarkStart w:id="57" w:name="ثالثا-التحقق-من-التوازن-الرياضي-المثالي"/>
    <w:p>
      <w:pPr>
        <w:pStyle w:val="Heading4"/>
        <w:bidi/>
      </w:pPr>
      <w:r>
        <w:rPr>
          <w:rtl/>
        </w:rPr>
        <w:t xml:space="preserve">ثالثاً: التحقق من التوازن الرياضي المثالي</w:t>
      </w:r>
    </w:p>
    <w:p>
      <w:pPr>
        <w:bidi/>
        <w:spacing w:line="360" w:lineRule="auto"/>
        <w:jc w:val="right"/>
      </w:pPr>
      <w:r>
        <w:rPr>
          <w:rFonts w:ascii="Traditional Arabic" w:hAnsi="Traditional Arabic"/>
          <w:sz w:val="28"/>
          <w:rtl/>
        </w:rPr>
        <w:t xml:space="preserve">التكلفة الإجمالية عند الكمية المثلى Q* = 37:</w:t>
      </w:r>
    </w:p>
    <w:p>
      <w:pPr>
        <w:bidi/>
        <w:spacing w:line="360" w:lineRule="auto"/>
        <w:jc w:val="right"/>
      </w:pPr>
      <w:r>
        <w:rPr>
          <w:rFonts w:ascii="Traditional Arabic" w:hAnsi="Traditional Arabic"/>
          <w:sz w:val="28"/>
          <w:rtl/>
        </w:rPr>
        <w:t xml:space="preserve">**لاحظ أن حد الإصدار وحد الاحتفاظ متساويان تماماً عند Q*. هذه ليست مصادفة — إنها الخاصية الجوهرية لأي كمية اقتصادية مثلى. يعني هذا المستوى 9 طلبيات سنوية، أي طلبية واحدة كل 40 يوماً تقريباً، وهو تردد يتوافق مع آجال التوريد المعتادة في القطاع العمومي.**</w:t>
      </w:r>
    </w:p>
    <w:bookmarkEnd w:id="57"/>
    <w:bookmarkStart w:id="58" w:name="رابعا-نقطة-إعادة-الطلب-ومخزون-الأمان"/>
    <w:p>
      <w:pPr>
        <w:pStyle w:val="Heading4"/>
        <w:bidi/>
      </w:pPr>
      <w:r>
        <w:rPr>
          <w:rtl/>
        </w:rPr>
        <w:t xml:space="preserve">رابعاً: نقطة إعادة الطلب ومخزون الأمان</w:t>
      </w:r>
    </w:p>
    <w:p>
      <w:pPr>
        <w:bidi/>
        <w:spacing w:line="360" w:lineRule="auto"/>
        <w:jc w:val="right"/>
      </w:pPr>
      <w:r>
        <w:rPr>
          <w:rFonts w:ascii="Traditional Arabic" w:hAnsi="Traditional Arabic"/>
          <w:sz w:val="28"/>
          <w:rtl/>
        </w:rPr>
        <w:t xml:space="preserve">لا يكتمل النموذج دون تحديد المستوى الحرج للمخزون الذي عنده تُصدَر الطلبية التالية:</w:t>
      </w:r>
    </w:p>
    <w:p>
      <w:pPr>
        <w:bidi/>
        <w:spacing w:line="360" w:lineRule="auto"/>
        <w:jc w:val="right"/>
      </w:pPr>
      <w:r>
        <w:rPr>
          <w:rFonts w:ascii="Traditional Arabic" w:hAnsi="Traditional Arabic"/>
          <w:b/>
          <w:bCs/>
          <w:sz w:val="28"/>
          <w:rtl/>
        </w:rPr>
        <w:t xml:space="preserve">مخزون الأمان (SS) = 200 وحدة. هذا الهامش الكمي يستوعب تذبذب الطلب اليومي وتأخيرات التوريد المحتملة — والتأخيرات واردة هنا لأن مسافة النقل تتجاوز 600 كيلومتر من مراكز التوريد الكبرى.</w:t>
      </w:r>
    </w:p>
    <w:bookmarkEnd w:id="58"/>
    <w:bookmarkEnd w:id="59"/>
    <w:bookmarkStart w:id="62" w:name="X52ea18e5737fce8615e1c3ca4723e15512be477"/>
    <w:p>
      <w:pPr>
        <w:pStyle w:val="Heading3"/>
        <w:bidi/>
      </w:pPr>
      <w:r>
        <w:rPr>
          <w:b/>
          <w:sz w:val="32"/>
          <w:rtl/>
        </w:rPr>
        <w:t xml:space="preserve">المطلب الثاني: تحليل ABC وتطبيقه على مخزون المديرية</w:t>
      </w:r>
    </w:p>
    <w:bookmarkStart w:id="60" w:name="أولا-منهجية-التصنيف-ومعاييره-الكمية"/>
    <w:p>
      <w:pPr>
        <w:pStyle w:val="Heading4"/>
        <w:bidi/>
      </w:pPr>
      <w:r>
        <w:rPr>
          <w:rtl/>
        </w:rPr>
        <w:t xml:space="preserve">أولاً: منهجية التصنيف ومعاييره الكمية</w:t>
      </w:r>
    </w:p>
    <w:p>
      <w:pPr>
        <w:bidi/>
        <w:spacing w:line="360" w:lineRule="auto"/>
        <w:jc w:val="right"/>
      </w:pPr>
      <w:r>
        <w:rPr>
          <w:rFonts w:ascii="Traditional Arabic" w:hAnsi="Traditional Arabic"/>
          <w:sz w:val="28"/>
          <w:rtl/>
        </w:rPr>
        <w:t xml:space="preserve">يصنف تحليل ABC المخزون حسب القيمة الاستهلاكية السنوية، وفق مبدأ باريتو. تُحسب القيمة لكل صنف:</w:t>
      </w:r>
    </w:p>
    <w:p>
      <w:pPr>
        <w:bidi/>
        <w:spacing w:line="360" w:lineRule="auto"/>
        <w:jc w:val="right"/>
      </w:pPr>
      <w:r>
        <w:rPr>
          <w:rFonts w:ascii="Traditional Arabic" w:hAnsi="Traditional Arabic"/>
          <w:sz w:val="28"/>
          <w:rtl/>
        </w:rPr>
        <w:t xml:space="preserve">ثم تُرتَّب الأصناف تنازلياً ويُحسب الوزن التراكمي:</w:t>
      </w:r>
      <w:r>
        <w:rPr>
          <w:rFonts w:ascii="Traditional Arabic" w:hAnsi="Traditional Arabic"/>
          <w:sz w:val="28"/>
          <w:rtl/>
        </w:rPr>
        <w:t xml:space="preserve"> </w:t>
      </w:r>
      <w:r>
        <w:rPr>
          <w:rFonts w:ascii="Traditional Arabic" w:hAnsi="Traditional Arabic"/>
          <w:b/>
          <w:bCs/>
          <w:sz w:val="28"/>
          <w:rtl/>
        </w:rPr>
        <w:t xml:space="preserve">أولاً: منهجية التصنيف ومعاييره الكمية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584"/>
        <w:gridCol w:w="1584"/>
        <w:gridCol w:w="1584"/>
        <w:gridCol w:w="1584"/>
        <w:gridCol w:w="1584"/>
      </w:tblGrid>
      <w:tr>
        <w:trPr>
          <w:tblHeader w:val="on"/>
        </w:trPr>
        <w:tc>
          <w:tcPr>
            <w:tcW w:w="493254" w:type="dxa"/>
          </w:tcPr>
          <w:p>
            <w:pPr>
              <w:pStyle w:val="Compact"/>
              <w:bidi/>
            </w:pPr>
            <w:r>
              <w:rPr>
                <w:rtl/>
              </w:rPr>
              <w:t xml:space="preserve">الفئة</w:t>
            </w:r>
          </w:p>
        </w:tc>
        <w:tc>
          <w:tcPr>
            <w:tcW w:w="988481" w:type="dxa"/>
          </w:tcPr>
          <w:p>
            <w:pPr>
              <w:pStyle w:val="Compact"/>
              <w:bidi/>
            </w:pPr>
            <w:r>
              <w:rPr>
                <w:rtl/>
              </w:rPr>
              <w:t xml:space="preserve">نسبة الأصناف</w:t>
            </w:r>
          </w:p>
        </w:tc>
        <w:tc>
          <w:tcPr>
            <w:tcW w:w="903349" w:type="dxa"/>
          </w:tcPr>
          <w:p>
            <w:pPr>
              <w:pStyle w:val="Compact"/>
              <w:bidi/>
            </w:pPr>
            <w:r>
              <w:rPr>
                <w:rtl/>
              </w:rPr>
              <w:t xml:space="preserve">نسبة القيمة</w:t>
            </w:r>
          </w:p>
        </w:tc>
        <w:tc>
          <w:tcPr>
            <w:tcW w:w="1073613" w:type="dxa"/>
          </w:tcPr>
          <w:p>
            <w:pPr>
              <w:pStyle w:val="Compact"/>
              <w:bidi/>
            </w:pPr>
            <w:r>
              <w:rPr>
                <w:rtl/>
              </w:rPr>
              <w:t xml:space="preserve">دورية الرقابة</w:t>
            </w:r>
          </w:p>
        </w:tc>
        <w:tc>
          <w:tcPr>
            <w:tcW w:w="1551300" w:type="dxa"/>
          </w:tcPr>
          <w:p>
            <w:pPr>
              <w:pStyle w:val="Compact"/>
              <w:bidi/>
            </w:pPr>
            <w:r>
              <w:rPr>
                <w:rtl/>
              </w:rPr>
              <w:t xml:space="preserve">أداة التسيير</w:t>
            </w:r>
          </w:p>
        </w:tc>
      </w:tr>
      <w:tr>
        <w:tc>
          <w:tcPr>
            <w:tcW w:w="493254" w:type="dxa"/>
          </w:tcPr>
          <w:p>
            <w:pPr>
              <w:pStyle w:val="Compact"/>
              <w:bidi/>
            </w:pPr>
            <w:r>
              <w:rPr>
                <w:rtl/>
              </w:rPr>
              <w:t xml:space="preserve">A</w:t>
            </w:r>
          </w:p>
        </w:tc>
        <w:tc>
          <w:tcPr>
            <w:tcW w:w="988481" w:type="dxa"/>
          </w:tcPr>
          <w:p>
            <w:pPr>
              <w:pStyle w:val="Compact"/>
              <w:bidi/>
            </w:pPr>
            <w:r>
              <w:rPr>
                <w:rtl/>
              </w:rPr>
              <w:t xml:space="preserve">≈ 10-20%</w:t>
            </w:r>
          </w:p>
        </w:tc>
        <w:tc>
          <w:tcPr>
            <w:tcW w:w="903349" w:type="dxa"/>
          </w:tcPr>
          <w:p>
            <w:pPr>
              <w:pStyle w:val="Compact"/>
              <w:bidi/>
            </w:pPr>
            <w:r>
              <w:rPr>
                <w:rtl/>
              </w:rPr>
              <w:t xml:space="preserve">≈ 70-80%</w:t>
            </w:r>
          </w:p>
        </w:tc>
        <w:tc>
          <w:tcPr>
            <w:tcW w:w="1073613" w:type="dxa"/>
          </w:tcPr>
          <w:p>
            <w:pPr>
              <w:pStyle w:val="Compact"/>
              <w:bidi/>
            </w:pPr>
            <w:r>
              <w:rPr>
                <w:rtl/>
              </w:rPr>
              <w:t xml:space="preserve">شهرية مستمرة</w:t>
            </w:r>
          </w:p>
        </w:tc>
        <w:tc>
          <w:tcPr>
            <w:tcW w:w="1551300" w:type="dxa"/>
          </w:tcPr>
          <w:p>
            <w:pPr>
              <w:pStyle w:val="Compact"/>
              <w:bidi/>
            </w:pPr>
            <w:r>
              <w:rPr>
                <w:rtl/>
              </w:rPr>
              <w:t xml:space="preserve">نموذج ويلسون الصارم</w:t>
            </w:r>
          </w:p>
        </w:tc>
      </w:tr>
      <w:tr>
        <w:tc>
          <w:tcPr>
            <w:tcW w:w="493254" w:type="dxa"/>
          </w:tcPr>
          <w:p>
            <w:pPr>
              <w:pStyle w:val="Compact"/>
              <w:bidi/>
            </w:pPr>
            <w:r>
              <w:rPr>
                <w:rtl/>
              </w:rPr>
              <w:t xml:space="preserve">B</w:t>
            </w:r>
          </w:p>
        </w:tc>
        <w:tc>
          <w:tcPr>
            <w:tcW w:w="988481" w:type="dxa"/>
          </w:tcPr>
          <w:p>
            <w:pPr>
              <w:pStyle w:val="Compact"/>
              <w:bidi/>
            </w:pPr>
            <w:r>
              <w:rPr>
                <w:rtl/>
              </w:rPr>
              <w:t xml:space="preserve">≈ 20-30%</w:t>
            </w:r>
          </w:p>
        </w:tc>
        <w:tc>
          <w:tcPr>
            <w:tcW w:w="903349" w:type="dxa"/>
          </w:tcPr>
          <w:p>
            <w:pPr>
              <w:pStyle w:val="Compact"/>
              <w:bidi/>
            </w:pPr>
            <w:r>
              <w:rPr>
                <w:rtl/>
              </w:rPr>
              <w:t xml:space="preserve">≈ 15-20%</w:t>
            </w:r>
          </w:p>
        </w:tc>
        <w:tc>
          <w:tcPr>
            <w:tcW w:w="1073613" w:type="dxa"/>
          </w:tcPr>
          <w:p>
            <w:pPr>
              <w:pStyle w:val="Compact"/>
              <w:bidi/>
            </w:pPr>
            <w:r>
              <w:rPr>
                <w:rtl/>
              </w:rPr>
              <w:t xml:space="preserve">فصلية</w:t>
            </w:r>
          </w:p>
        </w:tc>
        <w:tc>
          <w:tcPr>
            <w:tcW w:w="1551300" w:type="dxa"/>
          </w:tcPr>
          <w:p>
            <w:pPr>
              <w:pStyle w:val="Compact"/>
              <w:bidi/>
            </w:pPr>
            <w:r>
              <w:rPr>
                <w:rtl/>
              </w:rPr>
              <w:t xml:space="preserve">هوامش أمان أوسع</w:t>
            </w:r>
          </w:p>
        </w:tc>
      </w:tr>
      <w:tr>
        <w:tc>
          <w:tcPr>
            <w:tcW w:w="493254" w:type="dxa"/>
          </w:tcPr>
          <w:p>
            <w:pPr>
              <w:pStyle w:val="Compact"/>
              <w:bidi/>
            </w:pPr>
            <w:r>
              <w:rPr>
                <w:rtl/>
              </w:rPr>
              <w:t xml:space="preserve">C</w:t>
            </w:r>
          </w:p>
        </w:tc>
        <w:tc>
          <w:tcPr>
            <w:tcW w:w="988481" w:type="dxa"/>
          </w:tcPr>
          <w:p>
            <w:pPr>
              <w:pStyle w:val="Compact"/>
              <w:bidi/>
            </w:pPr>
            <w:r>
              <w:rPr>
                <w:rtl/>
              </w:rPr>
              <w:t xml:space="preserve">≈ 50-70%</w:t>
            </w:r>
          </w:p>
        </w:tc>
        <w:tc>
          <w:tcPr>
            <w:tcW w:w="903349" w:type="dxa"/>
          </w:tcPr>
          <w:p>
            <w:pPr>
              <w:pStyle w:val="Compact"/>
              <w:bidi/>
            </w:pPr>
            <w:r>
              <w:rPr>
                <w:rtl/>
              </w:rPr>
              <w:t xml:space="preserve">≈ 5-10%</w:t>
            </w:r>
          </w:p>
        </w:tc>
        <w:tc>
          <w:tcPr>
            <w:tcW w:w="1073613" w:type="dxa"/>
          </w:tcPr>
          <w:p>
            <w:pPr>
              <w:pStyle w:val="Compact"/>
              <w:bidi/>
            </w:pPr>
            <w:r>
              <w:rPr>
                <w:rtl/>
              </w:rPr>
              <w:t xml:space="preserve">نصف سنوية</w:t>
            </w:r>
          </w:p>
        </w:tc>
        <w:tc>
          <w:tcPr>
            <w:tcW w:w="1551300" w:type="dxa"/>
          </w:tcPr>
          <w:p>
            <w:pPr>
              <w:pStyle w:val="Compact"/>
              <w:bidi/>
            </w:pPr>
            <w:r>
              <w:rPr>
                <w:rtl/>
              </w:rPr>
              <w:t xml:space="preserve">تموين مبسط</w:t>
            </w:r>
          </w:p>
        </w:tc>
      </w:tr>
    </w:tbl>
    <w:bookmarkEnd w:id="60"/>
    <w:bookmarkStart w:id="61" w:name="ثانيا-تطبيق-التحليل-على-بيانات-المديرية"/>
    <w:p>
      <w:pPr>
        <w:pStyle w:val="Heading4"/>
        <w:bidi/>
      </w:pPr>
      <w:r>
        <w:rPr>
          <w:rtl/>
        </w:rPr>
        <w:t xml:space="preserve">ثانياً: تطبيق التحليل على بيانات المديرية</w:t>
      </w:r>
    </w:p>
    <w:p>
      <w:pPr>
        <w:bidi/>
        <w:spacing w:line="360" w:lineRule="auto"/>
        <w:jc w:val="right"/>
      </w:pPr>
      <w:r>
        <w:rPr>
          <w:rFonts w:ascii="Traditional Arabic" w:hAnsi="Traditional Arabic"/>
          <w:b/>
          <w:bCs/>
          <w:sz w:val="28"/>
          <w:rtl/>
        </w:rPr>
        <w:t xml:space="preserve">عند تطبيق هذا المعيار على الأصناف الاثني عشر المسجلة في سجلات المديرية، تتصدر Toner G030 (ART-001) الفئة A بقيمة استهلاكية سنوية 618,000 دج (789 × 400 = 618,000). يليه صنف ورق A4 (ART-002) ضمن الفئة نفسها بقيمة استهلاكية معتبرة. في الطرف الآخر، الأصناف ذات الاستخدام المتقطع — مثل الدباسة المكتبية (ART-005) — تنتمي إلى الفئة C. هذا يعني أن موارد الرقابة ومحرك النظام الرقمي يجب أن يُركزا على أصناف الفئة A.</w:t>
      </w:r>
    </w:p>
    <w:bookmarkEnd w:id="61"/>
    <w:bookmarkEnd w:id="62"/>
    <w:bookmarkStart w:id="73" w:name="X3d546febf7430a2ea3250247e57315bf530ac8e"/>
    <w:p>
      <w:pPr>
        <w:pStyle w:val="Heading3"/>
        <w:bidi/>
      </w:pPr>
      <w:r>
        <w:rPr>
          <w:b/>
          <w:sz w:val="32"/>
          <w:rtl/>
        </w:rPr>
        <w:t xml:space="preserve">المطلب الثالث: تحليل XYZ ومصفوفة القرار ABC-XYZ</w:t>
      </w:r>
    </w:p>
    <w:p>
      <w:pPr>
        <w:bidi/>
        <w:spacing w:line="360" w:lineRule="auto"/>
        <w:jc w:val="right"/>
      </w:pPr>
      <w:r>
        <w:rPr>
          <w:rFonts w:ascii="Traditional Arabic" w:hAnsi="Traditional Arabic"/>
          <w:sz w:val="28"/>
          <w:rtl/>
        </w:rPr>
        <w:t xml:space="preserve">يضيف تحليل XYZ بُعداً سلوكياً إلى تحليل ABC. يصنف الأصناف حسب استقرار الطلب باستخدام معامل التباين (CV):</w:t>
      </w:r>
    </w:p>
    <w:p>
      <w:pPr>
        <w:bidi/>
        <w:spacing w:line="360" w:lineRule="auto"/>
        <w:jc w:val="right"/>
      </w:pPr>
      <w:r>
        <w:rPr>
          <w:rFonts w:ascii="Traditional Arabic" w:hAnsi="Traditional Arabic"/>
          <w:sz w:val="28"/>
          <w:rtl/>
        </w:rPr>
        <w:t xml:space="preserve">حيث σ = الانحراف المعياري للطلب الدوري، وμ = متوسطه.</w:t>
      </w:r>
      <w:r>
        <w:rPr>
          <w:rFonts w:ascii="Traditional Arabic" w:hAnsi="Traditional Arabic"/>
          <w:sz w:val="28"/>
          <w:rtl/>
        </w:rPr>
        <w:t xml:space="preserve"> </w:t>
      </w:r>
      <w:r>
        <w:rPr>
          <w:rFonts w:ascii="Traditional Arabic" w:hAnsi="Traditional Arabic"/>
          <w:b/>
          <w:bCs/>
          <w:sz w:val="28"/>
          <w:rtl/>
        </w:rPr>
        <w:t xml:space="preserve">المطلب الثالث: تحليل XYZ ومصفوفة القرار ABC-XYZ</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513716" w:type="dxa"/>
          </w:tcPr>
          <w:p>
            <w:pPr>
              <w:pStyle w:val="Compact"/>
              <w:bidi/>
            </w:pPr>
            <w:r>
              <w:rPr>
                <w:rtl/>
              </w:rPr>
              <w:t xml:space="preserve">الفئة</w:t>
            </w:r>
          </w:p>
        </w:tc>
        <w:tc>
          <w:tcPr>
            <w:tcW w:w="1004601" w:type="dxa"/>
          </w:tcPr>
          <w:p>
            <w:pPr>
              <w:pStyle w:val="Compact"/>
              <w:bidi/>
            </w:pPr>
            <w:r>
              <w:rPr>
                <w:rtl/>
              </w:rPr>
              <w:t xml:space="preserve">معيار CV</w:t>
            </w:r>
          </w:p>
        </w:tc>
        <w:tc>
          <w:tcPr>
            <w:tcW w:w="1769469" w:type="dxa"/>
          </w:tcPr>
          <w:p>
            <w:pPr>
              <w:pStyle w:val="Compact"/>
              <w:bidi/>
            </w:pPr>
            <w:r>
              <w:rPr>
                <w:rtl/>
              </w:rPr>
              <w:t xml:space="preserve">طبيعة الطلب</w:t>
            </w:r>
          </w:p>
        </w:tc>
        <w:tc>
          <w:tcPr>
            <w:tcW w:w="1872212" w:type="dxa"/>
          </w:tcPr>
          <w:p>
            <w:pPr>
              <w:pStyle w:val="Compact"/>
              <w:bidi/>
            </w:pPr>
            <w:r>
              <w:rPr>
                <w:rtl/>
              </w:rPr>
              <w:t xml:space="preserve">السياسة المناسبة</w:t>
            </w:r>
          </w:p>
        </w:tc>
      </w:tr>
      <w:tr>
        <w:tc>
          <w:tcPr>
            <w:tcW w:w="513716" w:type="dxa"/>
          </w:tcPr>
          <w:p>
            <w:pPr>
              <w:pStyle w:val="Compact"/>
              <w:bidi/>
            </w:pPr>
            <w:r>
              <w:rPr>
                <w:rtl/>
              </w:rPr>
              <w:t xml:space="preserve">X</w:t>
            </w:r>
          </w:p>
        </w:tc>
        <w:tc>
          <w:tcPr>
            <w:tcW w:w="1004601" w:type="dxa"/>
          </w:tcPr>
          <w:p>
            <w:pPr>
              <w:pStyle w:val="Compact"/>
              <w:bidi/>
            </w:pPr>
            <w:r>
              <w:rPr>
                <w:rtl/>
              </w:rPr>
              <w:t xml:space="preserve">CV &lt; 0.10</w:t>
            </w:r>
          </w:p>
        </w:tc>
        <w:tc>
          <w:tcPr>
            <w:tcW w:w="1769469" w:type="dxa"/>
          </w:tcPr>
          <w:p>
            <w:pPr>
              <w:pStyle w:val="Compact"/>
              <w:bidi/>
            </w:pPr>
            <w:r>
              <w:rPr>
                <w:rtl/>
              </w:rPr>
              <w:t xml:space="preserve">مستقر وقابل للتنبؤ</w:t>
            </w:r>
          </w:p>
        </w:tc>
        <w:tc>
          <w:tcPr>
            <w:tcW w:w="1872212" w:type="dxa"/>
          </w:tcPr>
          <w:p>
            <w:pPr>
              <w:pStyle w:val="Compact"/>
              <w:bidi/>
            </w:pPr>
            <w:r>
              <w:rPr>
                <w:rtl/>
              </w:rPr>
              <w:t xml:space="preserve">نموذج ويلسون الصارم</w:t>
            </w:r>
          </w:p>
        </w:tc>
      </w:tr>
      <w:tr>
        <w:tc>
          <w:tcPr>
            <w:tcW w:w="513716" w:type="dxa"/>
          </w:tcPr>
          <w:p>
            <w:pPr>
              <w:pStyle w:val="Compact"/>
              <w:bidi/>
            </w:pPr>
            <w:r>
              <w:rPr>
                <w:rtl/>
              </w:rPr>
              <w:t xml:space="preserve">Y</w:t>
            </w:r>
          </w:p>
        </w:tc>
        <w:tc>
          <w:tcPr>
            <w:tcW w:w="1004601" w:type="dxa"/>
          </w:tcPr>
          <w:p>
            <w:pPr>
              <w:pStyle w:val="Compact"/>
              <w:bidi/>
            </w:pPr>
            <w:r>
              <w:rPr>
                <w:rtl/>
              </w:rPr>
              <w:t xml:space="preserve">0.10 ≤ CV &lt; 0.25</w:t>
            </w:r>
          </w:p>
        </w:tc>
        <w:tc>
          <w:tcPr>
            <w:tcW w:w="1769469" w:type="dxa"/>
          </w:tcPr>
          <w:p>
            <w:pPr>
              <w:pStyle w:val="Compact"/>
              <w:bidi/>
            </w:pPr>
            <w:r>
              <w:rPr>
                <w:rtl/>
              </w:rPr>
              <w:t xml:space="preserve">تذبذب موسمي معتدل</w:t>
            </w:r>
          </w:p>
        </w:tc>
        <w:tc>
          <w:tcPr>
            <w:tcW w:w="1872212" w:type="dxa"/>
          </w:tcPr>
          <w:p>
            <w:pPr>
              <w:pStyle w:val="Compact"/>
              <w:bidi/>
            </w:pPr>
            <w:r>
              <w:rPr>
                <w:rtl/>
              </w:rPr>
              <w:t xml:space="preserve">مخزون أمان مُعزَّز</w:t>
            </w:r>
          </w:p>
        </w:tc>
      </w:tr>
      <w:tr>
        <w:tc>
          <w:tcPr>
            <w:tcW w:w="513716" w:type="dxa"/>
          </w:tcPr>
          <w:p>
            <w:pPr>
              <w:pStyle w:val="Compact"/>
              <w:bidi/>
            </w:pPr>
            <w:r>
              <w:rPr>
                <w:rtl/>
              </w:rPr>
              <w:t xml:space="preserve">Z</w:t>
            </w:r>
          </w:p>
        </w:tc>
        <w:tc>
          <w:tcPr>
            <w:tcW w:w="1004601" w:type="dxa"/>
          </w:tcPr>
          <w:p>
            <w:pPr>
              <w:pStyle w:val="Compact"/>
              <w:bidi/>
            </w:pPr>
            <w:r>
              <w:rPr>
                <w:rtl/>
              </w:rPr>
              <w:t xml:space="preserve">CV ≥ 0.25</w:t>
            </w:r>
          </w:p>
        </w:tc>
        <w:tc>
          <w:tcPr>
            <w:tcW w:w="1769469" w:type="dxa"/>
          </w:tcPr>
          <w:p>
            <w:pPr>
              <w:pStyle w:val="Compact"/>
              <w:bidi/>
            </w:pPr>
            <w:r>
              <w:rPr>
                <w:rtl/>
              </w:rPr>
              <w:t xml:space="preserve">غير منتظم</w:t>
            </w:r>
          </w:p>
        </w:tc>
        <w:tc>
          <w:tcPr>
            <w:tcW w:w="1872212" w:type="dxa"/>
          </w:tcPr>
          <w:p>
            <w:pPr>
              <w:pStyle w:val="Compact"/>
              <w:bidi/>
            </w:pPr>
            <w:r>
              <w:rPr>
                <w:rtl/>
              </w:rPr>
              <w:t xml:space="preserve">احتياط استثنائي</w:t>
            </w:r>
          </w:p>
        </w:tc>
      </w:tr>
    </w:tbl>
    <w:p>
      <w:pPr>
        <w:bidi/>
        <w:spacing w:line="360" w:lineRule="auto"/>
        <w:jc w:val="right"/>
      </w:pPr>
      <w:r>
        <w:rPr>
          <w:rFonts w:ascii="Traditional Arabic" w:hAnsi="Traditional Arabic"/>
          <w:b/>
          <w:bCs/>
          <w:sz w:val="28"/>
          <w:rtl/>
        </w:rPr>
        <w:t xml:space="preserve">من دمج البعدين (ABC × XYZ) تنتج مصفوفة من تسع خانات استراتيجية. الصنف المرجعي ART-001 (Toner G030) يقع في الخانة AX — أعلى قيمة وأكثر استقراراً — مما يلزم برقابة يومية وتطبيق صارم لمعادلة ويلسون. في المقابل، الأصناف من فئة CZ تكتفي بسياسة الاحتياط الظرفي. هذا التصنيف المزدوج هو ما يوجه محرك الذكاء المحلي في النظام الرقمي نحو قرارات تموينية مختلفة حسب كل صنف، بدلاً من معاملة جميع الأصناف بطريقة واحدة.</w:t>
      </w:r>
      <w:r>
        <w:rPr>
          <w:rFonts w:ascii="Traditional Arabic" w:hAnsi="Traditional Arabic"/>
          <w:b/>
          <w:bCs/>
          <w:sz w:val="28"/>
          <w:rtl/>
        </w:rPr>
        <w:t xml:space="preserve"> </w:t>
      </w:r>
      <w:r>
        <w:rPr>
          <w:rStyle w:val="FootnoteReference"/>
          <w:rFonts w:ascii="Traditional Arabic" w:hAnsi="Traditional Arabic"/>
          <w:sz w:val="28"/>
        </w:rPr>
        <w:footnoteReference w:id="63"/>
      </w:r>
      <w:r>
        <w:rPr>
          <w:rFonts w:ascii="Traditional Arabic" w:hAnsi="Traditional Arabic"/>
          <w:b/>
          <w:bCs/>
          <w:sz w:val="28"/>
          <w:rtl/>
        </w:rPr>
        <w:t xml:space="preserve"> </w:t>
      </w:r>
      <w:r>
        <w:rPr>
          <w:rStyle w:val="FootnoteReference"/>
          <w:rFonts w:ascii="Traditional Arabic" w:hAnsi="Traditional Arabic"/>
          <w:sz w:val="28"/>
        </w:rPr>
        <w:footnoteReference w:id="64"/>
      </w:r>
      <w:r>
        <w:rPr>
          <w:rFonts w:ascii="Traditional Arabic" w:hAnsi="Traditional Arabic"/>
          <w:b/>
          <w:bCs/>
          <w:sz w:val="28"/>
          <w:rtl/>
        </w:rPr>
        <w:t xml:space="preserve"> </w:t>
      </w:r>
      <w:r>
        <w:rPr>
          <w:rStyle w:val="FootnoteReference"/>
          <w:rFonts w:ascii="Traditional Arabic" w:hAnsi="Traditional Arabic"/>
          <w:sz w:val="28"/>
        </w:rPr>
        <w:footnoteReference w:id="65"/>
      </w:r>
      <w:r>
        <w:rPr>
          <w:rFonts w:ascii="Traditional Arabic" w:hAnsi="Traditional Arabic"/>
          <w:b/>
          <w:bCs/>
          <w:sz w:val="28"/>
          <w:rtl/>
        </w:rPr>
        <w:t xml:space="preserve"> </w:t>
      </w:r>
      <w:r>
        <w:rPr>
          <w:rStyle w:val="FootnoteReference"/>
          <w:rFonts w:ascii="Traditional Arabic" w:hAnsi="Traditional Arabic"/>
          <w:sz w:val="28"/>
        </w:rPr>
        <w:footnoteReference w:id="66"/>
      </w:r>
      <w:r>
        <w:rPr>
          <w:rFonts w:ascii="Traditional Arabic" w:hAnsi="Traditional Arabic"/>
          <w:b/>
          <w:bCs/>
          <w:sz w:val="28"/>
          <w:rtl/>
        </w:rPr>
        <w:t xml:space="preserve"> </w:t>
      </w:r>
      <w:r>
        <w:rPr>
          <w:rStyle w:val="FootnoteReference"/>
          <w:rFonts w:ascii="Traditional Arabic" w:hAnsi="Traditional Arabic"/>
          <w:sz w:val="28"/>
        </w:rPr>
        <w:footnoteReference w:id="67"/>
      </w:r>
      <w:r>
        <w:rPr>
          <w:rFonts w:ascii="Traditional Arabic" w:hAnsi="Traditional Arabic"/>
          <w:b/>
          <w:bCs/>
          <w:sz w:val="28"/>
          <w:rtl/>
        </w:rPr>
        <w:t xml:space="preserve"> </w:t>
      </w:r>
      <w:r>
        <w:rPr>
          <w:rStyle w:val="FootnoteReference"/>
          <w:rFonts w:ascii="Traditional Arabic" w:hAnsi="Traditional Arabic"/>
          <w:sz w:val="28"/>
        </w:rPr>
        <w:footnoteReference w:id="68"/>
      </w:r>
      <w:r>
        <w:rPr>
          <w:rFonts w:ascii="Traditional Arabic" w:hAnsi="Traditional Arabic"/>
          <w:b/>
          <w:bCs/>
          <w:sz w:val="28"/>
          <w:rtl/>
        </w:rPr>
        <w:t xml:space="preserve"> </w:t>
      </w:r>
      <w:r>
        <w:rPr>
          <w:rStyle w:val="FootnoteReference"/>
          <w:rFonts w:ascii="Traditional Arabic" w:hAnsi="Traditional Arabic"/>
          <w:sz w:val="28"/>
        </w:rPr>
        <w:footnoteReference w:id="69"/>
      </w:r>
      <w:r>
        <w:rPr>
          <w:rFonts w:ascii="Traditional Arabic" w:hAnsi="Traditional Arabic"/>
          <w:b/>
          <w:bCs/>
          <w:sz w:val="28"/>
          <w:rtl/>
        </w:rPr>
        <w:t xml:space="preserve"> </w:t>
      </w:r>
      <w:r>
        <w:rPr>
          <w:rStyle w:val="FootnoteReference"/>
          <w:rFonts w:ascii="Traditional Arabic" w:hAnsi="Traditional Arabic"/>
          <w:sz w:val="28"/>
        </w:rPr>
        <w:footnoteReference w:id="70"/>
      </w:r>
      <w:r>
        <w:rPr>
          <w:rFonts w:ascii="Traditional Arabic" w:hAnsi="Traditional Arabic"/>
          <w:b/>
          <w:bCs/>
          <w:sz w:val="28"/>
          <w:rtl/>
        </w:rPr>
        <w:t xml:space="preserve"> </w:t>
      </w:r>
      <w:r>
        <w:rPr>
          <w:rStyle w:val="FootnoteReference"/>
          <w:rFonts w:ascii="Traditional Arabic" w:hAnsi="Traditional Arabic"/>
          <w:sz w:val="28"/>
        </w:rPr>
        <w:footnoteReference w:id="71"/>
      </w:r>
      <w:r>
        <w:rPr>
          <w:rFonts w:ascii="Traditional Arabic" w:hAnsi="Traditional Arabic"/>
          <w:b/>
          <w:bCs/>
          <w:sz w:val="28"/>
          <w:rtl/>
        </w:rPr>
        <w:t xml:space="preserve"> </w:t>
      </w:r>
      <w:r>
        <w:rPr>
          <w:rStyle w:val="FootnoteReference"/>
          <w:rFonts w:ascii="Traditional Arabic" w:hAnsi="Traditional Arabic"/>
          <w:sz w:val="28"/>
        </w:rPr>
        <w:footnoteReference w:id="72"/>
      </w:r>
    </w:p>
    <w:p>
      <w:pPr>
        <w:bidi/>
        <w:spacing w:line="360" w:lineRule="auto"/>
        <w:jc w:val="right"/>
      </w:pPr>
      <w:r>
        <w:rPr>
          <w:rFonts w:ascii="Traditional Arabic" w:hAnsi="Traditional Arabic"/>
          <w:b/>
          <w:bCs/>
          <w:sz w:val="28"/>
          <w:rtl/>
        </w:rPr>
        <w:t xml:space="preserve">خلاصة المبحث الأول: النماذج الثلاثة قادرة على تحويل البيانات الخام إلى معطيات قرارية دقيقة — EOQ = 37، ROP = 206، SS = 200، تصنيف ABC-XYZ. لكن هذه الدقة لا قيمة لها في 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p>
    <w:bookmarkEnd w:id="73"/>
    <w:bookmarkEnd w:id="74"/>
    <w:bookmarkStart w:id="86" w:name="المبحث-الثاني-الإطار-الجغرافي-والمؤسسي"/>
    <w:p>
      <w:pPr>
        <w:pStyle w:val="Heading2"/>
        <w:bidi/>
      </w:pPr>
      <w:r>
        <w:rPr>
          <w:b/>
          <w:sz w:val="36"/>
          <w:rtl/>
        </w:rPr>
        <w:t xml:space="preserve">المبحث الثاني: الإطار الجغرافي والمؤسسي</w:t>
      </w:r>
    </w:p>
    <w:p>
      <w:pPr>
        <w:bidi/>
        <w:spacing w:line="360" w:lineRule="auto"/>
        <w:jc w:val="right"/>
      </w:pPr>
      <w:r>
        <w:rPr>
          <w:rFonts w:ascii="Traditional Arabic" w:hAnsi="Traditional Arabic"/>
          <w:sz w:val="28"/>
          <w:rtl/>
        </w:rPr>
        <w:t xml:space="preserve">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bookmarkStart w:id="77" w:name="Xe4f249edd1737d467925de2bc2b8314c0457ef9"/>
    <w:p>
      <w:pPr>
        <w:pStyle w:val="Heading3"/>
        <w:bidi/>
      </w:pPr>
      <w:r>
        <w:rPr>
          <w:b/>
          <w:sz w:val="32"/>
          <w:rtl/>
        </w:rPr>
        <w:t xml:space="preserve">المطلب الأول: ولاية البيض — الإطار الجغرافي والأثر اللوجيستي</w:t>
      </w:r>
    </w:p>
    <w:bookmarkStart w:id="75" w:name="أولا-الموقع-والخصائص-الجغرافية"/>
    <w:p>
      <w:pPr>
        <w:pStyle w:val="Heading4"/>
        <w:bidi/>
      </w:pPr>
      <w:r>
        <w:rPr>
          <w:rtl/>
        </w:rPr>
        <w:t xml:space="preserve">أولاً: الموقع والخصائص الجغرافية</w:t>
      </w:r>
    </w:p>
    <w:p>
      <w:pPr>
        <w:bidi/>
        <w:spacing w:line="360" w:lineRule="auto"/>
        <w:jc w:val="right"/>
      </w:pPr>
      <w:r>
        <w:rPr>
          <w:rFonts w:ascii="Traditional Arabic" w:hAnsi="Traditional Arabic"/>
          <w:b/>
          <w:bCs/>
          <w:sz w:val="28"/>
          <w:rtl/>
        </w:rPr>
        <w:t xml:space="preserve">تقع ولاية البيض في القطاع السهبي الجنوبي الغربي من الجمهورية الجزائرية، على بُعد يتجاوز 600 كيلومتر جنوب غرب العاصمة و400 كيلومتر جنوب مدينة وهران. تتشكَّل جغرافيتها من سهوب شاسعة تتخللها مسالك جبلية في شمالها، مما يُفرز بيئة مناخية متطرفة — جفاف صيفاً وثلوج وأمطار استثنائية شتاءً.</w:t>
      </w:r>
    </w:p>
    <w:bookmarkEnd w:id="75"/>
    <w:bookmarkStart w:id="76" w:name="ثانيا-تأثير-الموقع-على-سلاسل-الإمداد"/>
    <w:p>
      <w:pPr>
        <w:pStyle w:val="Heading4"/>
        <w:bidi/>
      </w:pPr>
      <w:r>
        <w:rPr>
          <w:rtl/>
        </w:rPr>
        <w:t xml:space="preserve">ثانياً: تأثير الموقع على سلاسل الإمداد</w:t>
      </w:r>
    </w:p>
    <w:p>
      <w:pPr>
        <w:bidi/>
        <w:spacing w:line="360" w:lineRule="auto"/>
        <w:jc w:val="right"/>
      </w:pPr>
      <w:r>
        <w:rPr>
          <w:rFonts w:ascii="Traditional Arabic" w:hAnsi="Traditional Arabic"/>
          <w:b/>
          <w:bCs/>
          <w:sz w:val="28"/>
          <w:rtl/>
        </w:rPr>
        <w:t xml:space="preserve">يُشكِّل البُعد الجغرافي عاملاً عند تصميم سياسة التخزين. تمتد آجال التسليم (Lead Time) المعتادة من مراكز التوريد الكبرى بين 5 و10 أيام عمل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bookmarkEnd w:id="76"/>
    <w:bookmarkEnd w:id="77"/>
    <w:bookmarkStart w:id="81" w:name="X3f57fa00f89ba85d9588878684ea58fb7f040ef"/>
    <w:p>
      <w:pPr>
        <w:pStyle w:val="Heading3"/>
        <w:bidi/>
      </w:pPr>
      <w:r>
        <w:rPr>
          <w:b/>
          <w:sz w:val="32"/>
          <w:rtl/>
        </w:rPr>
        <w:t xml:space="preserve">المطلب الثاني: تقديم مديرية التربية لولاية البيض</w:t>
      </w:r>
    </w:p>
    <w:bookmarkStart w:id="79" w:name="أولا-الوضع-القانوني-والمهام-المؤسسية"/>
    <w:p>
      <w:pPr>
        <w:pStyle w:val="Heading4"/>
        <w:bidi/>
      </w:pPr>
      <w:r>
        <w:rPr>
          <w:rtl/>
        </w:rPr>
        <w:t xml:space="preserve">أولاً: الوضع القانوني والمهام المؤسسية</w:t>
      </w:r>
    </w:p>
    <w:p>
      <w:pPr>
        <w:bidi/>
        <w:spacing w:line="360" w:lineRule="auto"/>
        <w:jc w:val="right"/>
      </w:pPr>
      <w:r>
        <w:rPr>
          <w:rFonts w:ascii="Traditional Arabic" w:hAnsi="Traditional Arabic"/>
          <w:sz w:val="28"/>
          <w:rtl/>
        </w:rPr>
        <w:t xml:space="preserve">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المهمة الأولى (التنفيذ التربوي): تطبيق السياسة التربوية الوطنية على الصعيد المحلي، وضمان سير الدراسة في جميع المؤسسات التعليمية التابعة لنفوذها الإقليمي.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المهمة الثانية (التسيير البشري): إدارة المنظومة البشرية الشاملة من موظفين إداريين وإطارات تربوية.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المهمة الثالثة (الدعم المادي واللوجيستي): توفير الوسائل المادية والبيداغوجية الكاملة لكافة المؤسسات التعليمية. وتخضع المديرية في تسييرها المالي والميزانياتي لأحكام المرسوم التنفيذي 20-270 المتعلق بتنظيم الميزانية والمحاسبة العمومية</w:t>
      </w:r>
      <w:r>
        <w:rPr>
          <w:rFonts w:ascii="Traditional Arabic" w:hAnsi="Traditional Arabic"/>
          <w:b/>
          <w:bCs/>
          <w:sz w:val="28"/>
          <w:rtl/>
        </w:rPr>
        <w:t xml:space="preserve"> </w:t>
      </w:r>
      <w:r>
        <w:rPr>
          <w:rStyle w:val="FootnoteReference"/>
          <w:rFonts w:ascii="Traditional Arabic" w:hAnsi="Traditional Arabic"/>
          <w:sz w:val="28"/>
        </w:rPr>
        <w:footnoteReference w:id="78"/>
      </w:r>
      <w:r>
        <w:rPr>
          <w:rFonts w:ascii="Traditional Arabic" w:hAnsi="Traditional Arabic"/>
          <w:b/>
          <w:bCs/>
          <w:sz w:val="28"/>
          <w:rtl/>
        </w:rPr>
        <w:t xml:space="preserve">.</w:t>
      </w:r>
    </w:p>
    <w:bookmarkEnd w:id="79"/>
    <w:bookmarkStart w:id="80" w:name="X01d3ef8a5826c75c8439d1097f2a09587d09e67"/>
    <w:p>
      <w:pPr>
        <w:pStyle w:val="Heading4"/>
        <w:bidi/>
      </w:pPr>
      <w:r>
        <w:rPr>
          <w:rtl/>
        </w:rPr>
        <w:t xml:space="preserve">ثانياً: الهيكل التنظيمي وعلاقته بدورة التخزين</w:t>
      </w:r>
    </w:p>
    <w:p>
      <w:pPr>
        <w:bidi/>
        <w:spacing w:line="360" w:lineRule="auto"/>
        <w:jc w:val="right"/>
      </w:pPr>
      <w:r>
        <w:rPr>
          <w:rFonts w:ascii="Traditional Arabic" w:hAnsi="Traditional Arabic"/>
          <w:b/>
          <w:bCs/>
          <w:sz w:val="28"/>
          <w:rtl/>
        </w:rPr>
        <w:t xml:space="preserve">تعتمد المديرية هيكلاً تنظيمياً رباعياً. تضطلع مصلحة الإدارة والوسائل العامة بالدور المحوري في دورة التخزين، إذ تتولى إعداد طلبات الاحتياجات واستقبال البضائع وتوزيعها على الوحدات الداخلية. وتعمل هذه المصلحة بالتنسيق مع مصلحة الميزانية للتحقق من توفر الاعتمادات قبل كل عملية تموين، لتنفيذ القرارات المالية عبر حركات مخزنية فعلية.</w:t>
      </w:r>
    </w:p>
    <w:bookmarkEnd w:id="80"/>
    <w:bookmarkEnd w:id="81"/>
    <w:bookmarkStart w:id="85" w:name="Xe95b080e745ed60cca3f74edd213d00166ee89f"/>
    <w:p>
      <w:pPr>
        <w:pStyle w:val="Heading3"/>
        <w:bidi/>
      </w:pPr>
      <w:r>
        <w:rPr>
          <w:b/>
          <w:sz w:val="32"/>
          <w:rtl/>
        </w:rPr>
        <w:t xml:space="preserve">المطلب الثالث: وصف مصلحة المخازن وتقييم بيئتها التشغيلية</w:t>
      </w:r>
    </w:p>
    <w:bookmarkStart w:id="83" w:name="أولا-البنية-المادية-والواقع-التجهيزي"/>
    <w:p>
      <w:pPr>
        <w:pStyle w:val="Heading4"/>
        <w:bidi/>
      </w:pPr>
      <w:r>
        <w:rPr>
          <w:rtl/>
        </w:rPr>
        <w:t xml:space="preserve">أولاً: البنية المادية والواقع التجهيزي</w:t>
      </w:r>
    </w:p>
    <w:p>
      <w:pPr>
        <w:bidi/>
        <w:spacing w:line="360" w:lineRule="auto"/>
        <w:jc w:val="right"/>
      </w:pPr>
      <w:r>
        <w:rPr>
          <w:rFonts w:ascii="Traditional Arabic" w:hAnsi="Traditional Arabic"/>
          <w:b/>
          <w:bCs/>
          <w:sz w:val="28"/>
          <w:rtl/>
        </w:rPr>
        <w:t xml:space="preserve">يقع المستودع الرئيسي للمديرية داخل مقرها الإداري، وهو مساحة تتراوح بين 30 و40 متراً مربعاً مُقسَّمة وظيفياً باستخدام أرفف جدارية وأرضية غير مُرمَّزة. تُصنَّف المواد المخزنة فيه ضمن فئتين رئيسيتين:</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المواد الاستهلاكية ذات الدوران السريع (High Turnover):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التجهيزات الدائمة (Fixed Assets): وتشمل الحواسيب والطابعات والمعدات المكتبية والأثاث المدرسي. تخضع هذه الفئة لبروتوكول جرد مستقل وفق التعليمات التنظيمية الصادرة عن وزارة التربية الوطنية والمنشور الوزاري المشترك المتعلق بتسيير المستودعات في المؤسسات التربوية</w:t>
      </w:r>
      <w:r>
        <w:rPr>
          <w:rFonts w:ascii="Traditional Arabic" w:hAnsi="Traditional Arabic"/>
          <w:b/>
          <w:bCs/>
          <w:sz w:val="28"/>
          <w:rtl/>
        </w:rPr>
        <w:t xml:space="preserve"> </w:t>
      </w:r>
      <w:r>
        <w:rPr>
          <w:rStyle w:val="FootnoteReference"/>
          <w:rFonts w:ascii="Traditional Arabic" w:hAnsi="Traditional Arabic"/>
          <w:sz w:val="28"/>
        </w:rPr>
        <w:footnoteReference w:id="82"/>
      </w:r>
      <w:r>
        <w:rPr>
          <w:rFonts w:ascii="Traditional Arabic" w:hAnsi="Traditional Arabic"/>
          <w:b/>
          <w:bCs/>
          <w:sz w:val="28"/>
          <w:rtl/>
        </w:rPr>
        <w:t xml:space="preserve">.</w:t>
      </w:r>
    </w:p>
    <w:bookmarkEnd w:id="83"/>
    <w:bookmarkStart w:id="84" w:name="Xf538c3815bf5bc34642ae68a16b1ad061eeda6a"/>
    <w:p>
      <w:pPr>
        <w:pStyle w:val="Heading4"/>
        <w:bidi/>
      </w:pPr>
      <w:r>
        <w:rPr>
          <w:rtl/>
        </w:rPr>
        <w:t xml:space="preserve">ثانياً: نظام التسيير الحالي وقيوده الهيكلية</w:t>
      </w:r>
    </w:p>
    <w:p>
      <w:pPr>
        <w:bidi/>
        <w:spacing w:line="360" w:lineRule="auto"/>
        <w:jc w:val="right"/>
      </w:pPr>
      <w:r>
        <w:rPr>
          <w:rFonts w:ascii="Traditional Arabic" w:hAnsi="Traditional Arabic"/>
          <w:sz w:val="28"/>
          <w:rtl/>
        </w:rPr>
        <w:t xml:space="preserve">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القيد الأول — ازدواجية السجل: تعايش سجلَّين متوازيَّين — ورقي ورقمي — دون آلية مزامنة آنية، مما يُوجِد تبايناً مزمناً بين الرصيد الدفتري والرصيد الفعلي يصل في حالات موثَّقة إلى ما يقارب 15% من إجمالي الأصناف.</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القيد الثاني — غياب الاستباقية: انعدام تام لأي آلية تنبيه عند الاقتراب من نقطة إعادة الطلب (ROP)، جاعلاً إدارة المخزون رهينةً للملاحظة البصرية العرضية بدلاً من المتابعة الكمية المنهجية.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القيد الثالث — عجز التقييم المحاسبي: تعذُّر احتساب المتوسط المرجَّح للتكلفة الوحدوية (CMUP) بدقة دون الرجوع إلى وثائق الشراء الأصلية واحدةً بواحدة، مما يُطيل دورة الجرد ويُعرِّضها للأخطاء.</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القيد الرابع — التبعية للخبرة الشخصية: غياب الإجراءات التشغيلية الموثَّقة (SOPs)، مما يجعل فاعلية المصلحة مرهونةً بخبرة المسير الفردية وذاكرته، هشَّةً أمام أي تغيير في الكادر البشري.</w:t>
      </w:r>
      <w:r>
        <w:rPr>
          <w:rFonts w:ascii="Traditional Arabic" w:hAnsi="Traditional Arabic"/>
          <w:sz w:val="28"/>
          <w:rtl/>
        </w:rPr>
        <w:t xml:space="preserve"> </w:t>
      </w:r>
      <w:r>
        <w:rPr>
          <w:rFonts w:ascii="Traditional Arabic" w:hAnsi="Traditional Arabic"/>
          <w:sz w:val="28"/>
          <w:rtl/>
        </w:rPr>
        <w:t xml:space="preserve">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bookmarkEnd w:id="84"/>
    <w:bookmarkEnd w:id="85"/>
    <w:bookmarkEnd w:id="86"/>
    <w:bookmarkStart w:id="98" w:name="X45c22bf0528f185d6de6f59ddda56ed6c67ca33"/>
    <w:p>
      <w:pPr>
        <w:pStyle w:val="Heading2"/>
        <w:bidi/>
      </w:pPr>
      <w:r>
        <w:rPr>
          <w:b/>
          <w:sz w:val="36"/>
          <w:rtl/>
        </w:rPr>
        <w:t xml:space="preserve">المبحث الثالث: التشخيص الميداني وتحليل الفجوات</w:t>
      </w:r>
    </w:p>
    <w:p>
      <w:pPr>
        <w:bidi/>
        <w:spacing w:line="360" w:lineRule="auto"/>
        <w:jc w:val="right"/>
      </w:pPr>
      <w:r>
        <w:rPr>
          <w:rFonts w:ascii="Traditional Arabic" w:hAnsi="Traditional Arabic"/>
          <w:sz w:val="28"/>
          <w:rtl/>
        </w:rPr>
        <w:t xml:space="preserve">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w:t>
      </w:r>
      <w:r>
        <w:rPr>
          <w:rFonts w:ascii="Traditional Arabic" w:hAnsi="Traditional Arabic"/>
          <w:sz w:val="28"/>
          <w:rtl/>
        </w:rPr>
        <w:t xml:space="preserve"> </w:t>
      </w:r>
      <w:r>
        <w:rPr>
          <w:rFonts w:ascii="Traditional Arabic" w:hAnsi="Traditional Arabic"/>
          <w:sz w:val="28"/>
          <w:rtl/>
        </w:rPr>
        <w:t xml:space="preserve">“الفجوة التشغيلية”</w:t>
      </w:r>
      <w:r>
        <w:rPr>
          <w:rFonts w:ascii="Traditional Arabic" w:hAnsi="Traditional Arabic"/>
          <w:sz w:val="28"/>
          <w:rtl/>
        </w:rPr>
        <w:t xml:space="preserve"> </w:t>
      </w:r>
      <w:r>
        <w:rPr>
          <w:rFonts w:ascii="Traditional Arabic" w:hAnsi="Traditional Arabic"/>
          <w:sz w:val="28"/>
          <w:rtl/>
        </w:rPr>
        <w:t xml:space="preserve">التي يسعى نظام دعم القرار v13.3 إلى ردمها.</w:t>
      </w:r>
    </w:p>
    <w:bookmarkStart w:id="88" w:name="المطلب-الأول-التحليل-الكمي-جدول-رقم-04"/>
    <w:p>
      <w:pPr>
        <w:pStyle w:val="Heading3"/>
        <w:bidi/>
      </w:pPr>
      <w:r>
        <w:rPr>
          <w:b/>
          <w:sz w:val="32"/>
          <w:rtl/>
        </w:rPr>
        <w:t xml:space="preserve">المطلب الأول: التحليل الكمي — جدول رقم 04</w:t>
      </w:r>
    </w:p>
    <w:p>
      <w:pPr>
        <w:bidi/>
        <w:spacing w:line="360" w:lineRule="auto"/>
        <w:jc w:val="right"/>
      </w:pPr>
      <w:r>
        <w:rPr>
          <w:rFonts w:ascii="Traditional Arabic" w:hAnsi="Traditional Arabic"/>
          <w:sz w:val="28"/>
          <w:rtl/>
        </w:rPr>
        <w:t xml:space="preserve">المؤشرات الكمية المثالية المحتسبة وفق نموذج Wilson EOQ:</w:t>
      </w:r>
      <w:r>
        <w:rPr>
          <w:rFonts w:ascii="Traditional Arabic" w:hAnsi="Traditional Arabic"/>
          <w:sz w:val="28"/>
          <w:rtl/>
        </w:rPr>
        <w:t xml:space="preserve"> </w:t>
      </w:r>
      <w:r>
        <w:rPr>
          <w:rFonts w:ascii="Traditional Arabic" w:hAnsi="Traditional Arabic"/>
          <w:b/>
          <w:bCs/>
          <w:sz w:val="28"/>
          <w:rtl/>
        </w:rPr>
        <w:t xml:space="preserve">جدول رقم 04: المؤشرات الكمية المثالية للأصناف الاستراتيجية</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990"/>
        <w:gridCol w:w="990"/>
        <w:gridCol w:w="990"/>
        <w:gridCol w:w="990"/>
        <w:gridCol w:w="990"/>
        <w:gridCol w:w="990"/>
        <w:gridCol w:w="990"/>
        <w:gridCol w:w="990"/>
      </w:tblGrid>
      <w:tr>
        <w:trPr>
          <w:tblHeader w:val="on"/>
        </w:trPr>
        <w:tc>
          <w:tcPr>
            <w:tcW w:w="596441" w:type="dxa"/>
          </w:tcPr>
          <w:p>
            <w:pPr>
              <w:pStyle w:val="Compact"/>
              <w:bidi/>
            </w:pPr>
            <w:r>
              <w:rPr>
                <w:rtl/>
              </w:rPr>
              <w:t xml:space="preserve">الصنف</w:t>
            </w:r>
          </w:p>
        </w:tc>
        <w:tc>
          <w:tcPr>
            <w:tcW w:w="508079" w:type="dxa"/>
          </w:tcPr>
          <w:p>
            <w:pPr>
              <w:pStyle w:val="Compact"/>
              <w:bidi/>
            </w:pPr>
            <w:r>
              <w:rPr>
                <w:rtl/>
              </w:rPr>
              <w:t xml:space="preserve">الطلب السنوي (D)</w:t>
            </w:r>
          </w:p>
        </w:tc>
        <w:tc>
          <w:tcPr>
            <w:tcW w:w="493687" w:type="dxa"/>
          </w:tcPr>
          <w:p>
            <w:pPr>
              <w:pStyle w:val="Compact"/>
              <w:bidi/>
            </w:pPr>
            <w:r>
              <w:rPr>
                <w:rtl/>
              </w:rPr>
              <w:t xml:space="preserve">تكلفة الطلب (S)</w:t>
            </w:r>
          </w:p>
        </w:tc>
        <w:tc>
          <w:tcPr>
            <w:tcW w:w="493687" w:type="dxa"/>
          </w:tcPr>
          <w:p>
            <w:pPr>
              <w:pStyle w:val="Compact"/>
              <w:bidi/>
            </w:pPr>
            <w:r>
              <w:rPr>
                <w:rtl/>
              </w:rPr>
              <w:t xml:space="preserve">سعر الوحدة (PU)</w:t>
            </w:r>
          </w:p>
        </w:tc>
        <w:tc>
          <w:tcPr>
            <w:tcW w:w="544227" w:type="dxa"/>
          </w:tcPr>
          <w:p>
            <w:pPr>
              <w:pStyle w:val="Compact"/>
              <w:bidi/>
            </w:pPr>
            <w:r>
              <w:rPr>
                <w:rtl/>
              </w:rPr>
              <w:t xml:space="preserve">معدل الاحتفاظ (I)</w:t>
            </w:r>
          </w:p>
        </w:tc>
        <w:tc>
          <w:tcPr>
            <w:tcW w:w="710910" w:type="dxa"/>
          </w:tcPr>
          <w:p>
            <w:pPr>
              <w:pStyle w:val="Compact"/>
              <w:bidi/>
            </w:pPr>
            <w:r>
              <w:rPr>
                <w:rtl/>
              </w:rPr>
              <w:t xml:space="preserve">الكمية الاقتصادية (Q*)</w:t>
            </w:r>
          </w:p>
        </w:tc>
        <w:tc>
          <w:tcPr>
            <w:tcW w:w="682794" w:type="dxa"/>
          </w:tcPr>
          <w:p>
            <w:pPr>
              <w:pStyle w:val="Compact"/>
              <w:bidi/>
            </w:pPr>
            <w:r>
              <w:rPr>
                <w:rtl/>
              </w:rPr>
              <w:t xml:space="preserve">نقطة إعادة الطلب (ROP)</w:t>
            </w:r>
          </w:p>
        </w:tc>
        <w:tc>
          <w:tcPr>
            <w:tcW w:w="530170" w:type="dxa"/>
          </w:tcPr>
          <w:p>
            <w:pPr>
              <w:pStyle w:val="Compact"/>
              <w:bidi/>
            </w:pPr>
            <w:r>
              <w:rPr>
                <w:rtl/>
              </w:rPr>
              <w:t xml:space="preserve">مخزون الأمان (SS)</w:t>
            </w:r>
          </w:p>
        </w:tc>
      </w:tr>
      <w:tr>
        <w:tc>
          <w:tcPr>
            <w:tcW w:w="596441" w:type="dxa"/>
          </w:tcPr>
          <w:p>
            <w:pPr>
              <w:pStyle w:val="Compact"/>
              <w:bidi/>
            </w:pPr>
            <w:r>
              <w:rPr>
                <w:rtl/>
              </w:rPr>
              <w:t xml:space="preserve">ART-001 Toner G030</w:t>
            </w:r>
          </w:p>
        </w:tc>
        <w:tc>
          <w:tcPr>
            <w:tcW w:w="508079" w:type="dxa"/>
          </w:tcPr>
          <w:p>
            <w:pPr>
              <w:pStyle w:val="Compact"/>
              <w:bidi/>
            </w:pPr>
            <w:r>
              <w:rPr>
                <w:rtl/>
              </w:rPr>
              <w:t xml:space="preserve">789</w:t>
            </w:r>
          </w:p>
        </w:tc>
        <w:tc>
          <w:tcPr>
            <w:tcW w:w="493687" w:type="dxa"/>
          </w:tcPr>
          <w:p>
            <w:pPr>
              <w:pStyle w:val="Compact"/>
              <w:bidi/>
            </w:pPr>
            <w:r>
              <w:rPr>
                <w:rtl/>
              </w:rPr>
              <w:t xml:space="preserve">801.45</w:t>
            </w:r>
          </w:p>
        </w:tc>
        <w:tc>
          <w:tcPr>
            <w:tcW w:w="493687" w:type="dxa"/>
          </w:tcPr>
          <w:p>
            <w:pPr>
              <w:pStyle w:val="Compact"/>
              <w:bidi/>
            </w:pPr>
            <w:r>
              <w:rPr>
                <w:rtl/>
              </w:rPr>
              <w:t xml:space="preserve">400</w:t>
            </w:r>
          </w:p>
        </w:tc>
        <w:tc>
          <w:tcPr>
            <w:tcW w:w="544227" w:type="dxa"/>
          </w:tcPr>
          <w:p>
            <w:pPr>
              <w:pStyle w:val="Compact"/>
              <w:bidi/>
            </w:pPr>
            <w:r>
              <w:rPr>
                <w:rtl/>
              </w:rPr>
              <w:t xml:space="preserve">20%</w:t>
            </w:r>
          </w:p>
        </w:tc>
        <w:tc>
          <w:tcPr>
            <w:tcW w:w="710910" w:type="dxa"/>
          </w:tcPr>
          <w:p>
            <w:pPr>
              <w:pStyle w:val="Compact"/>
              <w:bidi/>
            </w:pPr>
            <w:r>
              <w:rPr>
                <w:rtl/>
              </w:rPr>
              <w:t xml:space="preserve">37</w:t>
            </w:r>
          </w:p>
        </w:tc>
        <w:tc>
          <w:tcPr>
            <w:tcW w:w="682794" w:type="dxa"/>
          </w:tcPr>
          <w:p>
            <w:pPr>
              <w:pStyle w:val="Compact"/>
              <w:bidi/>
            </w:pPr>
            <w:r>
              <w:rPr>
                <w:rtl/>
              </w:rPr>
              <w:t xml:space="preserve">206</w:t>
            </w:r>
          </w:p>
        </w:tc>
        <w:tc>
          <w:tcPr>
            <w:tcW w:w="530170" w:type="dxa"/>
          </w:tcPr>
          <w:p>
            <w:pPr>
              <w:pStyle w:val="Compact"/>
              <w:bidi/>
            </w:pPr>
            <w:r>
              <w:rPr>
                <w:rtl/>
              </w:rPr>
              <w:t xml:space="preserve">200</w:t>
            </w:r>
          </w:p>
        </w:tc>
      </w:tr>
      <w:tr>
        <w:tc>
          <w:tcPr>
            <w:tcW w:w="596441" w:type="dxa"/>
          </w:tcPr>
          <w:p>
            <w:pPr>
              <w:pStyle w:val="Compact"/>
              <w:bidi/>
            </w:pPr>
            <w:r>
              <w:rPr>
                <w:rtl/>
              </w:rPr>
              <w:t xml:space="preserve">ART-002 ورق A4</w:t>
            </w:r>
          </w:p>
        </w:tc>
        <w:tc>
          <w:tcPr>
            <w:tcW w:w="508079" w:type="dxa"/>
          </w:tcPr>
          <w:p>
            <w:pPr>
              <w:pStyle w:val="Compact"/>
              <w:bidi/>
            </w:pPr>
            <w:r>
              <w:rPr>
                <w:rtl/>
              </w:rPr>
              <w:t xml:space="preserve">1,200</w:t>
            </w:r>
          </w:p>
        </w:tc>
        <w:tc>
          <w:tcPr>
            <w:tcW w:w="493687" w:type="dxa"/>
          </w:tcPr>
          <w:p>
            <w:pPr>
              <w:pStyle w:val="Compact"/>
              <w:bidi/>
            </w:pPr>
            <w:r>
              <w:rPr>
                <w:rtl/>
              </w:rPr>
              <w:t xml:space="preserve">500</w:t>
            </w:r>
          </w:p>
        </w:tc>
        <w:tc>
          <w:tcPr>
            <w:tcW w:w="493687" w:type="dxa"/>
          </w:tcPr>
          <w:p>
            <w:pPr>
              <w:pStyle w:val="Compact"/>
              <w:bidi/>
            </w:pPr>
            <w:r>
              <w:rPr>
                <w:rtl/>
              </w:rPr>
              <w:t xml:space="preserve">850</w:t>
            </w:r>
          </w:p>
        </w:tc>
        <w:tc>
          <w:tcPr>
            <w:tcW w:w="544227" w:type="dxa"/>
          </w:tcPr>
          <w:p>
            <w:pPr>
              <w:pStyle w:val="Compact"/>
              <w:bidi/>
            </w:pPr>
            <w:r>
              <w:rPr>
                <w:rtl/>
              </w:rPr>
              <w:t xml:space="preserve">15%</w:t>
            </w:r>
          </w:p>
        </w:tc>
        <w:tc>
          <w:tcPr>
            <w:tcW w:w="710910" w:type="dxa"/>
          </w:tcPr>
          <w:p>
            <w:pPr>
              <w:pStyle w:val="Compact"/>
              <w:bidi/>
            </w:pPr>
            <w:r>
              <w:rPr>
                <w:rtl/>
              </w:rPr>
              <w:t xml:space="preserve">97</w:t>
            </w:r>
          </w:p>
        </w:tc>
        <w:tc>
          <w:tcPr>
            <w:tcW w:w="682794" w:type="dxa"/>
          </w:tcPr>
          <w:p>
            <w:pPr>
              <w:pStyle w:val="Compact"/>
              <w:bidi/>
            </w:pPr>
            <w:r>
              <w:rPr>
                <w:rtl/>
              </w:rPr>
              <w:t xml:space="preserve">69.6</w:t>
            </w:r>
          </w:p>
        </w:tc>
        <w:tc>
          <w:tcPr>
            <w:tcW w:w="530170" w:type="dxa"/>
          </w:tcPr>
          <w:p>
            <w:pPr>
              <w:pStyle w:val="Compact"/>
              <w:bidi/>
            </w:pPr>
            <w:r>
              <w:rPr>
                <w:rtl/>
              </w:rPr>
              <w:t xml:space="preserve">60</w:t>
            </w:r>
          </w:p>
        </w:tc>
      </w:tr>
      <w:tr>
        <w:tc>
          <w:tcPr>
            <w:tcW w:w="596441" w:type="dxa"/>
          </w:tcPr>
          <w:p>
            <w:pPr>
              <w:pStyle w:val="Compact"/>
              <w:bidi/>
            </w:pPr>
            <w:r>
              <w:rPr>
                <w:rtl/>
              </w:rPr>
              <w:t xml:space="preserve">ART-003 ورق A3</w:t>
            </w:r>
          </w:p>
        </w:tc>
        <w:tc>
          <w:tcPr>
            <w:tcW w:w="508079" w:type="dxa"/>
          </w:tcPr>
          <w:p>
            <w:pPr>
              <w:pStyle w:val="Compact"/>
              <w:bidi/>
            </w:pPr>
            <w:r>
              <w:rPr>
                <w:rtl/>
              </w:rPr>
              <w:t xml:space="preserve">800</w:t>
            </w:r>
          </w:p>
        </w:tc>
        <w:tc>
          <w:tcPr>
            <w:tcW w:w="493687" w:type="dxa"/>
          </w:tcPr>
          <w:p>
            <w:pPr>
              <w:pStyle w:val="Compact"/>
              <w:bidi/>
            </w:pPr>
            <w:r>
              <w:rPr>
                <w:rtl/>
              </w:rPr>
              <w:t xml:space="preserve">400</w:t>
            </w:r>
          </w:p>
        </w:tc>
        <w:tc>
          <w:tcPr>
            <w:tcW w:w="493687" w:type="dxa"/>
          </w:tcPr>
          <w:p>
            <w:pPr>
              <w:pStyle w:val="Compact"/>
              <w:bidi/>
            </w:pPr>
            <w:r>
              <w:rPr>
                <w:rtl/>
              </w:rPr>
              <w:t xml:space="preserve">1,200</w:t>
            </w:r>
          </w:p>
        </w:tc>
        <w:tc>
          <w:tcPr>
            <w:tcW w:w="544227" w:type="dxa"/>
          </w:tcPr>
          <w:p>
            <w:pPr>
              <w:pStyle w:val="Compact"/>
              <w:bidi/>
            </w:pPr>
            <w:r>
              <w:rPr>
                <w:rtl/>
              </w:rPr>
              <w:t xml:space="preserve">15%</w:t>
            </w:r>
          </w:p>
        </w:tc>
        <w:tc>
          <w:tcPr>
            <w:tcW w:w="710910" w:type="dxa"/>
          </w:tcPr>
          <w:p>
            <w:pPr>
              <w:pStyle w:val="Compact"/>
              <w:bidi/>
            </w:pPr>
            <w:r>
              <w:rPr>
                <w:rtl/>
              </w:rPr>
              <w:t xml:space="preserve">60</w:t>
            </w:r>
          </w:p>
        </w:tc>
        <w:tc>
          <w:tcPr>
            <w:tcW w:w="682794" w:type="dxa"/>
          </w:tcPr>
          <w:p>
            <w:pPr>
              <w:pStyle w:val="Compact"/>
              <w:bidi/>
            </w:pPr>
            <w:r>
              <w:rPr>
                <w:rtl/>
              </w:rPr>
              <w:t xml:space="preserve">46.4</w:t>
            </w:r>
          </w:p>
        </w:tc>
        <w:tc>
          <w:tcPr>
            <w:tcW w:w="530170" w:type="dxa"/>
          </w:tcPr>
          <w:p>
            <w:pPr>
              <w:pStyle w:val="Compact"/>
              <w:bidi/>
            </w:pPr>
            <w:r>
              <w:rPr>
                <w:rtl/>
              </w:rPr>
              <w:t xml:space="preserve">40</w:t>
            </w:r>
          </w:p>
        </w:tc>
      </w:tr>
      <w:tr>
        <w:tc>
          <w:tcPr>
            <w:tcW w:w="596441" w:type="dxa"/>
          </w:tcPr>
          <w:p>
            <w:pPr>
              <w:pStyle w:val="Compact"/>
              <w:bidi/>
            </w:pPr>
            <w:r>
              <w:rPr>
                <w:rtl/>
              </w:rPr>
              <w:t xml:space="preserve">ART-004 صندوق أرشيف</w:t>
            </w:r>
          </w:p>
        </w:tc>
        <w:tc>
          <w:tcPr>
            <w:tcW w:w="508079" w:type="dxa"/>
          </w:tcPr>
          <w:p>
            <w:pPr>
              <w:pStyle w:val="Compact"/>
              <w:bidi/>
            </w:pPr>
            <w:r>
              <w:rPr>
                <w:rtl/>
              </w:rPr>
              <w:t xml:space="preserve">400</w:t>
            </w:r>
          </w:p>
        </w:tc>
        <w:tc>
          <w:tcPr>
            <w:tcW w:w="493687" w:type="dxa"/>
          </w:tcPr>
          <w:p>
            <w:pPr>
              <w:pStyle w:val="Compact"/>
              <w:bidi/>
            </w:pPr>
            <w:r>
              <w:rPr>
                <w:rtl/>
              </w:rPr>
              <w:t xml:space="preserve">350</w:t>
            </w:r>
          </w:p>
        </w:tc>
        <w:tc>
          <w:tcPr>
            <w:tcW w:w="493687" w:type="dxa"/>
          </w:tcPr>
          <w:p>
            <w:pPr>
              <w:pStyle w:val="Compact"/>
              <w:bidi/>
            </w:pPr>
            <w:r>
              <w:rPr>
                <w:rtl/>
              </w:rPr>
              <w:t xml:space="preserve">450</w:t>
            </w:r>
          </w:p>
        </w:tc>
        <w:tc>
          <w:tcPr>
            <w:tcW w:w="544227" w:type="dxa"/>
          </w:tcPr>
          <w:p>
            <w:pPr>
              <w:pStyle w:val="Compact"/>
              <w:bidi/>
            </w:pPr>
            <w:r>
              <w:rPr>
                <w:rtl/>
              </w:rPr>
              <w:t xml:space="preserve">10%</w:t>
            </w:r>
          </w:p>
        </w:tc>
        <w:tc>
          <w:tcPr>
            <w:tcW w:w="710910" w:type="dxa"/>
          </w:tcPr>
          <w:p>
            <w:pPr>
              <w:pStyle w:val="Compact"/>
              <w:bidi/>
            </w:pPr>
            <w:r>
              <w:rPr>
                <w:rtl/>
              </w:rPr>
              <w:t xml:space="preserve">79</w:t>
            </w:r>
          </w:p>
        </w:tc>
        <w:tc>
          <w:tcPr>
            <w:tcW w:w="682794" w:type="dxa"/>
          </w:tcPr>
          <w:p>
            <w:pPr>
              <w:pStyle w:val="Compact"/>
              <w:bidi/>
            </w:pPr>
            <w:r>
              <w:rPr>
                <w:rtl/>
              </w:rPr>
              <w:t xml:space="preserve">23.2</w:t>
            </w:r>
          </w:p>
        </w:tc>
        <w:tc>
          <w:tcPr>
            <w:tcW w:w="530170" w:type="dxa"/>
          </w:tcPr>
          <w:p>
            <w:pPr>
              <w:pStyle w:val="Compact"/>
              <w:bidi/>
            </w:pPr>
            <w:r>
              <w:rPr>
                <w:rtl/>
              </w:rPr>
              <w:t xml:space="preserve">20</w:t>
            </w:r>
          </w:p>
        </w:tc>
      </w:tr>
      <w:tr>
        <w:tc>
          <w:tcPr>
            <w:tcW w:w="596441" w:type="dxa"/>
          </w:tcPr>
          <w:p>
            <w:pPr>
              <w:pStyle w:val="Compact"/>
              <w:bidi/>
            </w:pPr>
            <w:r>
              <w:rPr>
                <w:rtl/>
              </w:rPr>
              <w:t xml:space="preserve">ART-005 دباسة مكتبية</w:t>
            </w:r>
          </w:p>
        </w:tc>
        <w:tc>
          <w:tcPr>
            <w:tcW w:w="508079" w:type="dxa"/>
          </w:tcPr>
          <w:p>
            <w:pPr>
              <w:pStyle w:val="Compact"/>
              <w:bidi/>
            </w:pPr>
            <w:r>
              <w:rPr>
                <w:rtl/>
              </w:rPr>
              <w:t xml:space="preserve">300</w:t>
            </w:r>
          </w:p>
        </w:tc>
        <w:tc>
          <w:tcPr>
            <w:tcW w:w="493687" w:type="dxa"/>
          </w:tcPr>
          <w:p>
            <w:pPr>
              <w:pStyle w:val="Compact"/>
              <w:bidi/>
            </w:pPr>
            <w:r>
              <w:rPr>
                <w:rtl/>
              </w:rPr>
              <w:t xml:space="preserve">200</w:t>
            </w:r>
          </w:p>
        </w:tc>
        <w:tc>
          <w:tcPr>
            <w:tcW w:w="493687" w:type="dxa"/>
          </w:tcPr>
          <w:p>
            <w:pPr>
              <w:pStyle w:val="Compact"/>
              <w:bidi/>
            </w:pPr>
            <w:r>
              <w:rPr>
                <w:rtl/>
              </w:rPr>
              <w:t xml:space="preserve">1,800</w:t>
            </w:r>
          </w:p>
        </w:tc>
        <w:tc>
          <w:tcPr>
            <w:tcW w:w="544227" w:type="dxa"/>
          </w:tcPr>
          <w:p>
            <w:pPr>
              <w:pStyle w:val="Compact"/>
              <w:bidi/>
            </w:pPr>
            <w:r>
              <w:rPr>
                <w:rtl/>
              </w:rPr>
              <w:t xml:space="preserve">10%</w:t>
            </w:r>
          </w:p>
        </w:tc>
        <w:tc>
          <w:tcPr>
            <w:tcW w:w="710910" w:type="dxa"/>
          </w:tcPr>
          <w:p>
            <w:pPr>
              <w:pStyle w:val="Compact"/>
              <w:bidi/>
            </w:pPr>
            <w:r>
              <w:rPr>
                <w:rtl/>
              </w:rPr>
              <w:t xml:space="preserve">26</w:t>
            </w:r>
          </w:p>
        </w:tc>
        <w:tc>
          <w:tcPr>
            <w:tcW w:w="682794" w:type="dxa"/>
          </w:tcPr>
          <w:p>
            <w:pPr>
              <w:pStyle w:val="Compact"/>
              <w:bidi/>
            </w:pPr>
            <w:r>
              <w:rPr>
                <w:rtl/>
              </w:rPr>
              <w:t xml:space="preserve">12.4</w:t>
            </w:r>
          </w:p>
        </w:tc>
        <w:tc>
          <w:tcPr>
            <w:tcW w:w="530170" w:type="dxa"/>
          </w:tcPr>
          <w:p>
            <w:pPr>
              <w:pStyle w:val="Compact"/>
              <w:bidi/>
            </w:pPr>
            <w:r>
              <w:rPr>
                <w:rtl/>
              </w:rPr>
              <w:t xml:space="preserve">10</w:t>
            </w:r>
          </w:p>
        </w:tc>
      </w:tr>
    </w:tbl>
    <w:bookmarkStart w:id="87" w:name="ثانيا-تحليل-النتائج-ودلالاتها-التشغيلية"/>
    <w:p>
      <w:pPr>
        <w:pStyle w:val="Heading4"/>
        <w:bidi/>
      </w:pPr>
      <w:r>
        <w:rPr>
          <w:rtl/>
        </w:rPr>
        <w:t xml:space="preserve">ثانياً: تحليل النتائج ودلالاتها التشغيلية</w:t>
      </w:r>
    </w:p>
    <w:p>
      <w:pPr>
        <w:bidi/>
        <w:spacing w:line="360" w:lineRule="auto"/>
        <w:jc w:val="right"/>
      </w:pPr>
      <w:r>
        <w:rPr>
          <w:rFonts w:ascii="Traditional Arabic" w:hAnsi="Traditional Arabic"/>
          <w:sz w:val="28"/>
          <w:rtl/>
        </w:rPr>
        <w:t xml:space="preserve">يُظهر التحليل النتائج التالية: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تباين الاحتياجات: التباين بين احتياجات الصنف AX (Toner G030) الذي يتطلب رقابة يومية ومخزون أمان مرتفع (200 وحدة)، والصنف CZ (الدباسة) الذي يكفي فيه مخزون أمان ضئيل (10 وحدات).</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خطر التقدير الذاتي: في النظام اليدوي الحالي، يتم طلب جميع هذه الأصناف بناءً على</w:t>
      </w:r>
      <w:r>
        <w:rPr>
          <w:rFonts w:ascii="Traditional Arabic" w:hAnsi="Traditional Arabic"/>
          <w:b/>
          <w:bCs/>
          <w:sz w:val="28"/>
          <w:rtl/>
        </w:rPr>
        <w:t xml:space="preserve"> </w:t>
      </w:r>
      <w:r>
        <w:rPr>
          <w:rFonts w:ascii="Traditional Arabic" w:hAnsi="Traditional Arabic"/>
          <w:b/>
          <w:bCs/>
          <w:sz w:val="28"/>
          <w:rtl/>
        </w:rPr>
        <w:t xml:space="preserve">“تقدير تقريبي”</w:t>
      </w:r>
      <w:r>
        <w:rPr>
          <w:rFonts w:ascii="Traditional Arabic" w:hAnsi="Traditional Arabic"/>
          <w:b/>
          <w:bCs/>
          <w:sz w:val="28"/>
          <w:rtl/>
        </w:rPr>
        <w:t xml:space="preserve"> </w:t>
      </w:r>
      <w:r>
        <w:rPr>
          <w:rFonts w:ascii="Traditional Arabic" w:hAnsi="Traditional Arabic"/>
          <w:b/>
          <w:bCs/>
          <w:sz w:val="28"/>
          <w:rtl/>
        </w:rPr>
        <w:t xml:space="preserve">للمسير، مما يؤدي إما إلى تكديس أصناف الفئة C (هدر مالي) أو نفاد أصناف الفئة A (تعطيل إداري).</w:t>
      </w:r>
    </w:p>
    <w:bookmarkEnd w:id="87"/>
    <w:bookmarkEnd w:id="88"/>
    <w:bookmarkStart w:id="89" w:name="X1bb33ba9224f587193ff19f2f46f26887b562eb"/>
    <w:p>
      <w:pPr>
        <w:pStyle w:val="Heading3"/>
        <w:bidi/>
      </w:pPr>
      <w:r>
        <w:rPr>
          <w:b/>
          <w:sz w:val="32"/>
          <w:rtl/>
        </w:rPr>
        <w:t xml:space="preserve">المطلب الثاني: مصفوفة تحليل الفجوات — جدول رقم 05</w:t>
      </w:r>
    </w:p>
    <w:p>
      <w:pPr>
        <w:bidi/>
        <w:spacing w:line="360" w:lineRule="auto"/>
        <w:jc w:val="right"/>
      </w:pPr>
      <w:r>
        <w:rPr>
          <w:rFonts w:ascii="Traditional Arabic" w:hAnsi="Traditional Arabic"/>
          <w:sz w:val="28"/>
          <w:rtl/>
        </w:rPr>
        <w:t xml:space="preserve">تُقارن المصفوفة التالية (جدول رقم 05) بين التسيير اليدوي والنظام الرقمي المقترح.</w:t>
      </w:r>
      <w:r>
        <w:rPr>
          <w:rFonts w:ascii="Traditional Arabic" w:hAnsi="Traditional Arabic"/>
          <w:sz w:val="28"/>
          <w:rtl/>
        </w:rPr>
        <w:t xml:space="preserve"> </w:t>
      </w:r>
      <w:r>
        <w:rPr>
          <w:rFonts w:ascii="Traditional Arabic" w:hAnsi="Traditional Arabic"/>
          <w:b/>
          <w:bCs/>
          <w:sz w:val="28"/>
          <w:rtl/>
        </w:rPr>
        <w:t xml:space="preserve">جدول رقم 05: تحليل الفجوة التشغيلية بين التسيير اليدوي ونظام دعم القرار</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179577" w:type="dxa"/>
          </w:tcPr>
          <w:p>
            <w:pPr>
              <w:pStyle w:val="Compact"/>
              <w:bidi/>
            </w:pPr>
            <w:r>
              <w:rPr>
                <w:rtl/>
              </w:rPr>
              <w:t xml:space="preserve">المعيار</w:t>
            </w:r>
          </w:p>
        </w:tc>
        <w:tc>
          <w:tcPr>
            <w:tcW w:w="1148398" w:type="dxa"/>
          </w:tcPr>
          <w:p>
            <w:pPr>
              <w:pStyle w:val="Compact"/>
              <w:bidi/>
            </w:pPr>
            <w:r>
              <w:rPr>
                <w:rtl/>
              </w:rPr>
              <w:t xml:space="preserve">يدوياً</w:t>
            </w:r>
          </w:p>
        </w:tc>
        <w:tc>
          <w:tcPr>
            <w:tcW w:w="1371842" w:type="dxa"/>
          </w:tcPr>
          <w:p>
            <w:pPr>
              <w:pStyle w:val="Compact"/>
              <w:bidi/>
            </w:pPr>
            <w:r>
              <w:rPr>
                <w:rtl/>
              </w:rPr>
              <w:t xml:space="preserve">DSS</w:t>
            </w:r>
          </w:p>
        </w:tc>
        <w:tc>
          <w:tcPr>
            <w:tcW w:w="1460181" w:type="dxa"/>
          </w:tcPr>
          <w:p>
            <w:pPr>
              <w:pStyle w:val="Compact"/>
              <w:bidi/>
            </w:pPr>
            <w:r>
              <w:rPr>
                <w:rtl/>
              </w:rPr>
              <w:t xml:space="preserve">الفجوة</w:t>
            </w:r>
          </w:p>
        </w:tc>
      </w:tr>
      <w:tr>
        <w:tc>
          <w:tcPr>
            <w:tcW w:w="1179577" w:type="dxa"/>
          </w:tcPr>
          <w:p>
            <w:pPr>
              <w:pStyle w:val="Compact"/>
              <w:bidi/>
            </w:pPr>
            <w:r>
              <w:rPr>
                <w:rtl/>
              </w:rPr>
              <w:t xml:space="preserve">ROP trigger</w:t>
            </w:r>
          </w:p>
        </w:tc>
        <w:tc>
          <w:tcPr>
            <w:tcW w:w="1148398" w:type="dxa"/>
          </w:tcPr>
          <w:p>
            <w:pPr>
              <w:pStyle w:val="Compact"/>
              <w:bidi/>
            </w:pPr>
            <w:r>
              <w:rPr>
                <w:rtl/>
              </w:rPr>
              <w:t xml:space="preserve">تقدير بصري</w:t>
            </w:r>
          </w:p>
        </w:tc>
        <w:tc>
          <w:tcPr>
            <w:tcW w:w="1371842" w:type="dxa"/>
          </w:tcPr>
          <w:p>
            <w:pPr>
              <w:pStyle w:val="Compact"/>
              <w:bidi/>
            </w:pPr>
            <w:r>
              <w:rPr>
                <w:rtl/>
              </w:rPr>
              <w:t xml:space="preserve">تنبيه آلي عند ROP</w:t>
            </w:r>
          </w:p>
        </w:tc>
        <w:tc>
          <w:tcPr>
            <w:tcW w:w="1460181" w:type="dxa"/>
          </w:tcPr>
          <w:p>
            <w:pPr>
              <w:pStyle w:val="Compact"/>
              <w:bidi/>
            </w:pPr>
            <w:r>
              <w:rPr>
                <w:rtl/>
              </w:rPr>
              <w:t xml:space="preserve">تفاعلي ← استباقي</w:t>
            </w:r>
          </w:p>
        </w:tc>
      </w:tr>
      <w:tr>
        <w:tc>
          <w:tcPr>
            <w:tcW w:w="1179577" w:type="dxa"/>
          </w:tcPr>
          <w:p>
            <w:pPr>
              <w:pStyle w:val="Compact"/>
              <w:bidi/>
            </w:pPr>
            <w:r>
              <w:rPr>
                <w:rtl/>
              </w:rPr>
              <w:t xml:space="preserve">دقة البيانات</w:t>
            </w:r>
          </w:p>
        </w:tc>
        <w:tc>
          <w:tcPr>
            <w:tcW w:w="1148398" w:type="dxa"/>
          </w:tcPr>
          <w:p>
            <w:pPr>
              <w:pStyle w:val="Compact"/>
              <w:bidi/>
            </w:pPr>
            <w:r>
              <w:rPr>
                <w:rtl/>
              </w:rPr>
              <w:t xml:space="preserve">15% تباين</w:t>
            </w:r>
          </w:p>
        </w:tc>
        <w:tc>
          <w:tcPr>
            <w:tcW w:w="1371842" w:type="dxa"/>
          </w:tcPr>
          <w:p>
            <w:pPr>
              <w:pStyle w:val="Compact"/>
              <w:bidi/>
            </w:pPr>
            <w:r>
              <w:rPr>
                <w:rtl/>
              </w:rPr>
              <w:t xml:space="preserve">مزامنة آنية</w:t>
            </w:r>
          </w:p>
        </w:tc>
        <w:tc>
          <w:tcPr>
            <w:tcW w:w="1460181" w:type="dxa"/>
          </w:tcPr>
          <w:p>
            <w:pPr>
              <w:pStyle w:val="Compact"/>
              <w:bidi/>
            </w:pPr>
            <w:r>
              <w:rPr>
                <w:rtl/>
              </w:rPr>
              <w:t xml:space="preserve">إلغاء الأخطاء</w:t>
            </w:r>
          </w:p>
        </w:tc>
      </w:tr>
      <w:tr>
        <w:tc>
          <w:tcPr>
            <w:tcW w:w="1179577" w:type="dxa"/>
          </w:tcPr>
          <w:p>
            <w:pPr>
              <w:pStyle w:val="Compact"/>
              <w:bidi/>
            </w:pPr>
            <w:r>
              <w:rPr>
                <w:rtl/>
              </w:rPr>
              <w:t xml:space="preserve">زمن المعالجة</w:t>
            </w:r>
          </w:p>
        </w:tc>
        <w:tc>
          <w:tcPr>
            <w:tcW w:w="1148398" w:type="dxa"/>
          </w:tcPr>
          <w:p>
            <w:pPr>
              <w:pStyle w:val="Compact"/>
              <w:bidi/>
            </w:pPr>
            <w:r>
              <w:rPr>
                <w:rtl/>
              </w:rPr>
              <w:t xml:space="preserve">20-30 دقيقة/أمر</w:t>
            </w:r>
          </w:p>
        </w:tc>
        <w:tc>
          <w:tcPr>
            <w:tcW w:w="1371842" w:type="dxa"/>
          </w:tcPr>
          <w:p>
            <w:pPr>
              <w:pStyle w:val="Compact"/>
              <w:bidi/>
            </w:pPr>
            <w:r>
              <w:rPr>
                <w:rtl/>
              </w:rPr>
              <w:t xml:space="preserve">&lt;5 ثوان</w:t>
            </w:r>
          </w:p>
        </w:tc>
        <w:tc>
          <w:tcPr>
            <w:tcW w:w="1460181" w:type="dxa"/>
          </w:tcPr>
          <w:p>
            <w:pPr>
              <w:pStyle w:val="Compact"/>
              <w:bidi/>
            </w:pPr>
            <w:r>
              <w:rPr>
                <w:rtl/>
              </w:rPr>
              <w:t xml:space="preserve">تحسن 99.7%</w:t>
            </w:r>
          </w:p>
        </w:tc>
      </w:tr>
      <w:tr>
        <w:tc>
          <w:tcPr>
            <w:tcW w:w="1179577" w:type="dxa"/>
          </w:tcPr>
          <w:p>
            <w:pPr>
              <w:pStyle w:val="Compact"/>
              <w:bidi/>
            </w:pPr>
            <w:r>
              <w:rPr>
                <w:rtl/>
              </w:rPr>
              <w:t xml:space="preserve">حساب التكاليف</w:t>
            </w:r>
          </w:p>
        </w:tc>
        <w:tc>
          <w:tcPr>
            <w:tcW w:w="1148398" w:type="dxa"/>
          </w:tcPr>
          <w:p>
            <w:pPr>
              <w:pStyle w:val="Compact"/>
              <w:bidi/>
            </w:pPr>
            <w:r>
              <w:rPr>
                <w:rtl/>
              </w:rPr>
              <w:t xml:space="preserve">تقدير يدوي</w:t>
            </w:r>
          </w:p>
        </w:tc>
        <w:tc>
          <w:tcPr>
            <w:tcW w:w="1371842" w:type="dxa"/>
          </w:tcPr>
          <w:p>
            <w:pPr>
              <w:pStyle w:val="Compact"/>
              <w:bidi/>
            </w:pPr>
            <w:r>
              <w:rPr>
                <w:rtl/>
              </w:rPr>
              <w:t xml:space="preserve">CMUP + Q* آلي</w:t>
            </w:r>
          </w:p>
        </w:tc>
        <w:tc>
          <w:tcPr>
            <w:tcW w:w="1460181" w:type="dxa"/>
          </w:tcPr>
          <w:p>
            <w:pPr>
              <w:pStyle w:val="Compact"/>
              <w:bidi/>
            </w:pPr>
            <w:r>
              <w:rPr>
                <w:rtl/>
              </w:rPr>
              <w:t xml:space="preserve">دقة مطلقة</w:t>
            </w:r>
          </w:p>
        </w:tc>
      </w:tr>
      <w:tr>
        <w:tc>
          <w:tcPr>
            <w:tcW w:w="1179577" w:type="dxa"/>
          </w:tcPr>
          <w:p>
            <w:pPr>
              <w:pStyle w:val="Compact"/>
              <w:bidi/>
            </w:pPr>
            <w:r>
              <w:rPr>
                <w:rtl/>
              </w:rPr>
              <w:t xml:space="preserve">إدارة المخاطر</w:t>
            </w:r>
          </w:p>
        </w:tc>
        <w:tc>
          <w:tcPr>
            <w:tcW w:w="1148398" w:type="dxa"/>
          </w:tcPr>
          <w:p>
            <w:pPr>
              <w:pStyle w:val="Compact"/>
              <w:bidi/>
            </w:pPr>
            <w:r>
              <w:rPr>
                <w:rtl/>
              </w:rPr>
              <w:t xml:space="preserve">نفاد متكرر</w:t>
            </w:r>
          </w:p>
        </w:tc>
        <w:tc>
          <w:tcPr>
            <w:tcW w:w="1371842" w:type="dxa"/>
          </w:tcPr>
          <w:p>
            <w:pPr>
              <w:pStyle w:val="Compact"/>
              <w:bidi/>
            </w:pPr>
            <w:r>
              <w:rPr>
                <w:rtl/>
              </w:rPr>
              <w:t xml:space="preserve">صفر نفاد (SS)</w:t>
            </w:r>
          </w:p>
        </w:tc>
        <w:tc>
          <w:tcPr>
            <w:tcW w:w="1460181" w:type="dxa"/>
          </w:tcPr>
          <w:p>
            <w:pPr>
              <w:pStyle w:val="Compact"/>
              <w:bidi/>
            </w:pPr>
            <w:r>
              <w:rPr>
                <w:rtl/>
              </w:rPr>
              <w:t xml:space="preserve">استمرارية الخدمة</w:t>
            </w:r>
          </w:p>
        </w:tc>
      </w:tr>
    </w:tbl>
    <w:bookmarkEnd w:id="89"/>
    <w:bookmarkStart w:id="97" w:name="Xf44bb1cbb1fbf8d3786fd5660f5e5e712de4010"/>
    <w:p>
      <w:pPr>
        <w:pStyle w:val="Heading3"/>
        <w:bidi/>
      </w:pPr>
      <w:r>
        <w:rPr>
          <w:b/>
          <w:sz w:val="32"/>
          <w:rtl/>
        </w:rPr>
        <w:t xml:space="preserve">المطلب الثالث: تصنيف ABC-XYZ كأداة لتوجيه القرار</w:t>
      </w:r>
    </w:p>
    <w:p>
      <w:pPr>
        <w:bidi/>
        <w:spacing w:line="360" w:lineRule="auto"/>
        <w:jc w:val="right"/>
      </w:pPr>
      <w:r>
        <w:rPr>
          <w:rFonts w:ascii="Traditional Arabic" w:hAnsi="Traditional Arabic"/>
          <w:sz w:val="28"/>
          <w:rtl/>
        </w:rPr>
        <w:t xml:space="preserve">تتويجاً لهذا التشخيص، اعتمدنا مصفوفة القرار المزدوجة (ABC-XYZ) لتصنيف كافة أصناف المخزن، حيث يمثل المحور (ABC) القيمة المالية، والمحور (XYZ) استقرار الطلب.</w:t>
      </w:r>
    </w:p>
    <w:bookmarkStart w:id="90" w:name="أولا-منطق-التصنيف-المعتمد"/>
    <w:p>
      <w:pPr>
        <w:pStyle w:val="Heading4"/>
        <w:bidi/>
      </w:pPr>
      <w:r>
        <w:rPr>
          <w:rtl/>
        </w:rPr>
        <w:t xml:space="preserve">أولاً: منطق التصنيف المعتمد</w:t>
      </w:r>
    </w:p>
    <w:p>
      <w:pPr>
        <w:pStyle w:val="Compact"/>
        <w:numPr>
          <w:ilvl w:val="0"/>
          <w:numId w:val="1003"/>
        </w:numPr>
        <w:bidi/>
        <w:spacing w:line="360" w:lineRule="auto"/>
        <w:jc w:val="right"/>
      </w:pPr>
      <w:r>
        <w:rPr>
          <w:rFonts w:ascii="Traditional Arabic" w:hAnsi="Traditional Arabic"/>
          <w:b/>
          <w:bCs/>
          <w:sz w:val="28"/>
          <w:rtl/>
        </w:rPr>
        <w:t xml:space="preserve">المحور A-B-C (القيمة): يتم تحديد الفئة بناءً على الوزن التراكمي للقيمة الاستهلاكية السنوية.</w:t>
      </w:r>
    </w:p>
    <w:p>
      <w:pPr>
        <w:pStyle w:val="Compact"/>
        <w:numPr>
          <w:ilvl w:val="0"/>
          <w:numId w:val="1003"/>
        </w:numPr>
        <w:bidi/>
        <w:spacing w:line="360" w:lineRule="auto"/>
        <w:jc w:val="right"/>
      </w:pPr>
      <w:r>
        <w:rPr>
          <w:rFonts w:ascii="Traditional Arabic" w:hAnsi="Traditional Arabic"/>
          <w:b/>
          <w:bCs/>
          <w:sz w:val="28"/>
          <w:rtl/>
        </w:rPr>
        <w:t xml:space="preserve">المحور X-Y-Z (الاستقرار): يتم تحديد الفئة بناءً على معامل التباين (CV) للطلب الدوري.</w:t>
      </w:r>
    </w:p>
    <w:bookmarkEnd w:id="90"/>
    <w:bookmarkStart w:id="96" w:name="ثانيا-استراتيجية-التسيير-الموجهة"/>
    <w:p>
      <w:pPr>
        <w:pStyle w:val="Heading4"/>
        <w:bidi/>
      </w:pPr>
      <w:r>
        <w:rPr>
          <w:rtl/>
        </w:rPr>
        <w:t xml:space="preserve">ثانياً: استراتيجية التسيير الموجهة</w:t>
      </w:r>
    </w:p>
    <w:p>
      <w:pPr>
        <w:bidi/>
        <w:spacing w:line="360" w:lineRule="auto"/>
        <w:jc w:val="right"/>
      </w:pPr>
      <w:r>
        <w:rPr>
          <w:rFonts w:ascii="Traditional Arabic" w:hAnsi="Traditional Arabic"/>
          <w:sz w:val="28"/>
          <w:rtl/>
        </w:rPr>
        <w:t xml:space="preserve">بناءً على هذا التصنيف، يتبنى نظام دعم القرار الاستراتيجيات التالية: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الأصناف AX (عالية القيمة/مستقرة): تطبيق صارم لنموذج ويلسون مع تحديث يومي للأرصدة.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الأصناف BY (متوسطة القيمة/موسمية): تطبيق هوامش أمان مرنة تتكيف مع فترات الذروة (مثل بداية السنة الدراسية).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الأصناف CZ (منخفضة القيمة/غير منتظمة): تبسيط إجراءات التموين مع الاعتماد على الطلب عند الحاجة (Just-in-Time).</w:t>
      </w:r>
      <w:r>
        <w:rPr>
          <w:rFonts w:ascii="Traditional Arabic" w:hAnsi="Traditional Arabic"/>
          <w:sz w:val="28"/>
          <w:rtl/>
        </w:rPr>
        <w:t xml:space="preserve"> </w:t>
      </w:r>
      <w:r>
        <w:rPr>
          <w:rFonts w:ascii="Traditional Arabic" w:hAnsi="Traditional Arabic"/>
          <w:sz w:val="28"/>
          <w:rtl/>
        </w:rPr>
        <w:t xml:space="preserve">هذا التصنيف هو الذي يمنح النظام</w:t>
      </w:r>
      <w:r>
        <w:rPr>
          <w:rFonts w:ascii="Traditional Arabic" w:hAnsi="Traditional Arabic"/>
          <w:sz w:val="28"/>
          <w:rtl/>
        </w:rPr>
        <w:t xml:space="preserve"> </w:t>
      </w:r>
      <w:r>
        <w:rPr>
          <w:rFonts w:ascii="Traditional Arabic" w:hAnsi="Traditional Arabic"/>
          <w:sz w:val="28"/>
          <w:rtl/>
        </w:rPr>
        <w:t xml:space="preserve">“ذكاءً تشغيلياً”</w:t>
      </w:r>
      <w:r>
        <w:rPr>
          <w:rFonts w:ascii="Traditional Arabic" w:hAnsi="Traditional Arabic"/>
          <w:sz w:val="28"/>
          <w:rtl/>
        </w:rPr>
        <w:t xml:space="preserve">، حيث لا يعامل جميع الأصناف بنفس الطريقة، بل يوجه موارد الرقابة نحو الأصناف التي تشكل الخطر الأكبر على سير العمل.</w:t>
      </w:r>
    </w:p>
    <w:p>
      <w:pPr>
        <w:bidi/>
        <w:spacing w:line="360" w:lineRule="auto"/>
        <w:jc w:val="right"/>
      </w:pPr>
      <w:r>
        <w:rPr>
          <w:rFonts w:ascii="Traditional Arabic" w:hAnsi="Traditional Arabic"/>
          <w:b/>
          <w:bCs/>
          <w:sz w:val="28"/>
          <w:rtl/>
        </w:rPr>
        <w:t xml:space="preserve">خلاصة الفصل الثاني</w:t>
      </w:r>
      <w:r>
        <w:rPr>
          <w:rFonts w:ascii="Traditional Arabic" w:hAnsi="Traditional Arabic"/>
          <w:sz w:val="28"/>
          <w:rtl/>
        </w:rPr>
        <w:t xml:space="preserve"> </w:t>
      </w:r>
      <w:r>
        <w:rPr>
          <w:rFonts w:ascii="Traditional Arabic" w:hAnsi="Traditional Arabic"/>
          <w:sz w:val="28"/>
          <w:rtl/>
        </w:rPr>
        <w:t xml:space="preserve">كشف هذا الفصل عن الهوَّة القائمة بين ما تستوجبه النماذج الرياضية من دقة كمية (37 وحدة، ROP = 206،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v13.3 وإنجازه.</w:t>
      </w:r>
      <w:r>
        <w:rPr>
          <w:rFonts w:ascii="Traditional Arabic" w:hAnsi="Traditional Arabic"/>
          <w:sz w:val="28"/>
          <w:rtl/>
        </w:rPr>
        <w:t xml:space="preserve"> </w:t>
      </w:r>
      <w:r>
        <w:rPr>
          <w:rFonts w:ascii="Traditional Arabic" w:hAnsi="Traditional Arabic"/>
          <w:sz w:val="28"/>
          <w:rtl/>
        </w:rPr>
        <w:t xml:space="preserve">— نهاية الفصل الثاني —</w:t>
      </w:r>
      <w:r>
        <w:rPr>
          <w:rFonts w:ascii="Traditional Arabic" w:hAnsi="Traditional Arabic"/>
          <w:sz w:val="28"/>
          <w:rtl/>
        </w:rPr>
        <w:t xml:space="preserve"> </w:t>
      </w:r>
      <w:r>
        <w:rPr>
          <w:rStyle w:val="FootnoteReference"/>
          <w:rFonts w:ascii="Traditional Arabic" w:hAnsi="Traditional Arabic"/>
          <w:sz w:val="28"/>
        </w:rPr>
        <w:footnoteReference w:id="91"/>
      </w:r>
      <w:r>
        <w:rPr>
          <w:rFonts w:ascii="Traditional Arabic" w:hAnsi="Traditional Arabic"/>
          <w:sz w:val="28"/>
          <w:rtl/>
        </w:rPr>
        <w:t xml:space="preserve"> </w:t>
      </w:r>
      <w:r>
        <w:rPr>
          <w:rStyle w:val="FootnoteReference"/>
          <w:rFonts w:ascii="Traditional Arabic" w:hAnsi="Traditional Arabic"/>
          <w:sz w:val="28"/>
        </w:rPr>
        <w:footnoteReference w:id="92"/>
      </w:r>
      <w:r>
        <w:rPr>
          <w:rFonts w:ascii="Traditional Arabic" w:hAnsi="Traditional Arabic"/>
          <w:sz w:val="28"/>
          <w:rtl/>
        </w:rPr>
        <w:t xml:space="preserve"> </w:t>
      </w:r>
      <w:r>
        <w:rPr>
          <w:rStyle w:val="FootnoteReference"/>
          <w:rFonts w:ascii="Traditional Arabic" w:hAnsi="Traditional Arabic"/>
          <w:sz w:val="28"/>
        </w:rPr>
        <w:footnoteReference w:id="93"/>
      </w:r>
      <w:r>
        <w:rPr>
          <w:rFonts w:ascii="Traditional Arabic" w:hAnsi="Traditional Arabic"/>
          <w:sz w:val="28"/>
          <w:rtl/>
        </w:rPr>
        <w:t xml:space="preserve"> </w:t>
      </w:r>
      <w:r>
        <w:rPr>
          <w:rStyle w:val="FootnoteReference"/>
          <w:rFonts w:ascii="Traditional Arabic" w:hAnsi="Traditional Arabic"/>
          <w:sz w:val="28"/>
        </w:rPr>
        <w:footnoteReference w:id="94"/>
      </w:r>
      <w:r>
        <w:rPr>
          <w:rFonts w:ascii="Traditional Arabic" w:hAnsi="Traditional Arabic"/>
          <w:sz w:val="28"/>
          <w:rtl/>
        </w:rPr>
        <w:t xml:space="preserve"> </w:t>
      </w:r>
      <w:r>
        <w:rPr>
          <w:rStyle w:val="FootnoteReference"/>
          <w:rFonts w:ascii="Traditional Arabic" w:hAnsi="Traditional Arabic"/>
          <w:sz w:val="28"/>
        </w:rPr>
        <w:footnoteReference w:id="95"/>
      </w:r>
    </w:p>
    <w:bookmarkEnd w:id="96"/>
    <w:bookmarkEnd w:id="97"/>
    <w:bookmarkEnd w:id="98"/>
    <w:bookmarkEnd w:id="99"/>
    <w:bookmarkStart w:id="131" w:name="X425548a444476a4a4f36373e56e022eba81766a"/>
    <w:p>
      <w:pPr>
        <w:pStyle w:val="Heading1"/>
        <w:bidi/>
      </w:pPr>
      <w:r>
        <w:rPr>
          <w:b/>
          <w:sz w:val="44"/>
          <w:rtl/>
        </w:rPr>
        <w:t xml:space="preserve">الفصل الثالث: تصميم وإنجاز نظام دعم القرار</w:t>
      </w:r>
    </w:p>
    <w:p>
      <w:pPr>
        <w:bidi/>
        <w:spacing w:line="360" w:lineRule="auto"/>
        <w:jc w:val="right"/>
      </w:pPr>
      <w:r>
        <w:rPr>
          <w:rFonts w:ascii="Traditional Arabic" w:hAnsi="Traditional Arabic"/>
          <w:sz w:val="28"/>
          <w:rtl/>
        </w:rPr>
        <w:t xml:space="preserve">تمهيد الفصل</w:t>
      </w:r>
      <w:r>
        <w:rPr>
          <w:rFonts w:ascii="Traditional Arabic" w:hAnsi="Traditional Arabic"/>
          <w:sz w:val="28"/>
          <w:rtl/>
        </w:rPr>
        <w:t xml:space="preserve"> </w:t>
      </w:r>
      <w:r>
        <w:rPr>
          <w:rFonts w:ascii="Traditional Arabic" w:hAnsi="Traditional Arabic"/>
          <w:sz w:val="28"/>
          <w:rtl/>
        </w:rPr>
        <w:t xml:space="preserve">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bookmarkStart w:id="106" w:name="Xa676c4e96c951c611f1581966c5cca345efded0"/>
    <w:p>
      <w:pPr>
        <w:pStyle w:val="Heading2"/>
        <w:bidi/>
      </w:pPr>
      <w:r>
        <w:rPr>
          <w:b/>
          <w:sz w:val="36"/>
          <w:rtl/>
        </w:rPr>
        <w:t xml:space="preserve">المبحث الأول: الهندسة المتكاملة لنظام دعم القرار</w:t>
      </w:r>
    </w:p>
    <w:p>
      <w:pPr>
        <w:bidi/>
        <w:spacing w:line="360" w:lineRule="auto"/>
        <w:jc w:val="right"/>
      </w:pPr>
      <w:r>
        <w:rPr>
          <w:rFonts w:ascii="Traditional Arabic" w:hAnsi="Traditional Arabic"/>
          <w:sz w:val="28"/>
          <w:rtl/>
        </w:rPr>
        <w:t xml:space="preserve">يستهدف هذا المبحث تفكيك البنية الهندسية للنظام المقترح، موضحاً كيف تحول من مجرد</w:t>
      </w:r>
      <w:r>
        <w:rPr>
          <w:rFonts w:ascii="Traditional Arabic" w:hAnsi="Traditional Arabic"/>
          <w:sz w:val="28"/>
          <w:rtl/>
        </w:rPr>
        <w:t xml:space="preserve"> </w:t>
      </w:r>
      <w:r>
        <w:rPr>
          <w:rFonts w:ascii="Traditional Arabic" w:hAnsi="Traditional Arabic"/>
          <w:sz w:val="28"/>
          <w:rtl/>
        </w:rPr>
        <w:t xml:space="preserve">“أداة تسجيل”</w:t>
      </w:r>
      <w:r>
        <w:rPr>
          <w:rFonts w:ascii="Traditional Arabic" w:hAnsi="Traditional Arabic"/>
          <w:sz w:val="28"/>
          <w:rtl/>
        </w:rPr>
        <w:t xml:space="preserve"> </w:t>
      </w:r>
      <w:r>
        <w:rPr>
          <w:rFonts w:ascii="Traditional Arabic" w:hAnsi="Traditional Arabic"/>
          <w:sz w:val="28"/>
          <w:rtl/>
        </w:rPr>
        <w:t xml:space="preserve">إلى</w:t>
      </w:r>
      <w:r>
        <w:rPr>
          <w:rFonts w:ascii="Traditional Arabic" w:hAnsi="Traditional Arabic"/>
          <w:sz w:val="28"/>
          <w:rtl/>
        </w:rPr>
        <w:t xml:space="preserve"> </w:t>
      </w:r>
      <w:r>
        <w:rPr>
          <w:rFonts w:ascii="Traditional Arabic" w:hAnsi="Traditional Arabic"/>
          <w:sz w:val="28"/>
          <w:rtl/>
        </w:rPr>
        <w:t xml:space="preserve">“نظام دعم قرار”</w:t>
      </w:r>
      <w:r>
        <w:rPr>
          <w:rFonts w:ascii="Traditional Arabic" w:hAnsi="Traditional Arabic"/>
          <w:sz w:val="28"/>
          <w:rtl/>
        </w:rPr>
        <w:t xml:space="preserve"> </w:t>
      </w:r>
      <w:r>
        <w:rPr>
          <w:rFonts w:ascii="Traditional Arabic" w:hAnsi="Traditional Arabic"/>
          <w:sz w:val="28"/>
          <w:rtl/>
        </w:rPr>
        <w:t xml:space="preserve">متكامل. لا تكمن قيمة النظام في استخدام لغة VBA فحسب، بل في فلسفة التصميم التي تدمج بين الدقة المحاسبية، والسرعة اللوجيستية، وبساطة التشغيل.</w:t>
      </w:r>
    </w:p>
    <w:bookmarkStart w:id="103" w:name="X50eda9fd44e4b29eb77e7e9ee21c27f44b1ac92"/>
    <w:p>
      <w:pPr>
        <w:pStyle w:val="Heading3"/>
        <w:bidi/>
      </w:pPr>
      <w:r>
        <w:rPr>
          <w:b/>
          <w:sz w:val="32"/>
          <w:rtl/>
        </w:rPr>
        <w:t xml:space="preserve">المطلب الأول: فلسفة التصميم والتحول من الأنظمة أحادية الطبقة</w:t>
      </w:r>
    </w:p>
    <w:p>
      <w:pPr>
        <w:bidi/>
        <w:spacing w:line="360" w:lineRule="auto"/>
        <w:jc w:val="right"/>
      </w:pPr>
      <w:r>
        <w:rPr>
          <w:rFonts w:ascii="Traditional Arabic" w:hAnsi="Traditional Arabic"/>
          <w:sz w:val="28"/>
          <w:rtl/>
        </w:rPr>
        <w:t xml:space="preserve">تعتمد معظم الحلول البرمجية التقليدية الموجهة للمؤسسات الصغيرة على</w:t>
      </w:r>
      <w:r>
        <w:rPr>
          <w:rFonts w:ascii="Traditional Arabic" w:hAnsi="Traditional Arabic"/>
          <w:sz w:val="28"/>
          <w:rtl/>
        </w:rPr>
        <w:t xml:space="preserve"> </w:t>
      </w:r>
      <w:r>
        <w:rPr>
          <w:rFonts w:ascii="Traditional Arabic" w:hAnsi="Traditional Arabic"/>
          <w:sz w:val="28"/>
          <w:rtl/>
        </w:rPr>
        <w:t xml:space="preserve">“الأنظمة أحادية الطبقة”</w:t>
      </w:r>
      <w:r>
        <w:rPr>
          <w:rFonts w:ascii="Traditional Arabic" w:hAnsi="Traditional Arabic"/>
          <w:sz w:val="28"/>
          <w:rtl/>
        </w:rPr>
        <w:t xml:space="preserve"> </w:t>
      </w:r>
      <w:r>
        <w:rPr>
          <w:rFonts w:ascii="Traditional Arabic" w:hAnsi="Traditional Arabic"/>
          <w:sz w:val="28"/>
          <w:rtl/>
        </w:rPr>
        <w:t xml:space="preserve">(Single-Layer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تشتت البيانات (Data Fragmentation): حيث يتم تسجيل المداخل في ورقة والمخارج في أخرى، مما يجعل عملية المطابقة (Reconciliation) عملية يدوية مجهدة وعرضة للخطأ.</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الافتقار إلى الربط الآلي بين الحركة والتكلفة: غياب العلاقة الآلية بين حركة المخزون وتحديث تكلفة الوحدة، مما يضطر المسير لإعادة حساب المتوسط المرجح (CMUP) يدوياً عند كل عملية دخول.</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ضعف الرقابة (Control Gap): انعدام القدرة على فرض قيود إدخال (Input Constraints)، مما يسمح بتسجيل كميات سالبة أو أكواد أصناف غير موجودة.</w:t>
      </w:r>
      <w:r>
        <w:rPr>
          <w:rFonts w:ascii="Traditional Arabic" w:hAnsi="Traditional Arabic"/>
          <w:sz w:val="28"/>
          <w:rtl/>
        </w:rPr>
        <w:t xml:space="preserve"> </w:t>
      </w:r>
      <w:r>
        <w:rPr>
          <w:rFonts w:ascii="Traditional Arabic" w:hAnsi="Traditional Arabic"/>
          <w:sz w:val="28"/>
          <w:rtl/>
        </w:rPr>
        <w:t xml:space="preserve">يُشار إلى أن عدة دراسات جزائرية سابقة تناولت هذا الإشكال، منها أعمال Sebti حول أدوات دعم القرار لتسيير المخزون</w:t>
      </w:r>
      <w:r>
        <w:rPr>
          <w:rFonts w:ascii="Traditional Arabic" w:hAnsi="Traditional Arabic"/>
          <w:sz w:val="28"/>
          <w:rtl/>
        </w:rPr>
        <w:t xml:space="preserve"> </w:t>
      </w:r>
      <w:r>
        <w:rPr>
          <w:rStyle w:val="FootnoteReference"/>
          <w:rFonts w:ascii="Traditional Arabic" w:hAnsi="Traditional Arabic"/>
          <w:sz w:val="28"/>
        </w:rPr>
        <w:footnoteReference w:id="100"/>
      </w:r>
      <w:r>
        <w:rPr>
          <w:rFonts w:ascii="Traditional Arabic" w:hAnsi="Traditional Arabic"/>
          <w:sz w:val="28"/>
          <w:rtl/>
        </w:rPr>
        <w:t xml:space="preserve">، وYahi حول برمجيات تسيير مخزون قطع الغيار</w:t>
      </w:r>
      <w:r>
        <w:rPr>
          <w:rFonts w:ascii="Traditional Arabic" w:hAnsi="Traditional Arabic"/>
          <w:sz w:val="28"/>
          <w:rtl/>
        </w:rPr>
        <w:t xml:space="preserve"> </w:t>
      </w:r>
      <w:r>
        <w:rPr>
          <w:rStyle w:val="FootnoteReference"/>
          <w:rFonts w:ascii="Traditional Arabic" w:hAnsi="Traditional Arabic"/>
          <w:sz w:val="28"/>
        </w:rPr>
        <w:footnoteReference w:id="101"/>
      </w:r>
      <w:r>
        <w:rPr>
          <w:rFonts w:ascii="Traditional Arabic" w:hAnsi="Traditional Arabic"/>
          <w:sz w:val="28"/>
          <w:rtl/>
        </w:rPr>
        <w:t xml:space="preserve">، وبشكل أحدث Bouchahlata الذي جمع بين بيئة VBA وذكاء الأعمال في سياق Ericsson Algérie</w:t>
      </w:r>
      <w:r>
        <w:rPr>
          <w:rFonts w:ascii="Traditional Arabic" w:hAnsi="Traditional Arabic"/>
          <w:sz w:val="28"/>
          <w:rtl/>
        </w:rPr>
        <w:t xml:space="preserve"> </w:t>
      </w:r>
      <w:r>
        <w:rPr>
          <w:rStyle w:val="FootnoteReference"/>
          <w:rFonts w:ascii="Traditional Arabic" w:hAnsi="Traditional Arabic"/>
          <w:sz w:val="28"/>
        </w:rPr>
        <w:footnoteReference w:id="102"/>
      </w:r>
      <w:r>
        <w:rPr>
          <w:rFonts w:ascii="Traditional Arabic" w:hAnsi="Traditional Arabic"/>
          <w:sz w:val="28"/>
          <w:rtl/>
        </w:rPr>
        <w:t xml:space="preserve">.</w:t>
      </w:r>
    </w:p>
    <w:bookmarkEnd w:id="103"/>
    <w:bookmarkStart w:id="104" w:name="Xd01ba28ceb43c2aafcfa279441271082bf35e79"/>
    <w:p>
      <w:pPr>
        <w:pStyle w:val="Heading3"/>
        <w:bidi/>
      </w:pPr>
      <w:r>
        <w:rPr>
          <w:b/>
          <w:sz w:val="32"/>
          <w:rtl/>
        </w:rPr>
        <w:t xml:space="preserve">المطلب الثاني: مبدأ التكامل الوظيفي في بيئة Excel/VBA</w:t>
      </w:r>
    </w:p>
    <w:p>
      <w:pPr>
        <w:bidi/>
        <w:spacing w:line="360" w:lineRule="auto"/>
        <w:jc w:val="right"/>
      </w:pPr>
      <w:r>
        <w:rPr>
          <w:rFonts w:ascii="Traditional Arabic" w:hAnsi="Traditional Arabic"/>
          <w:b/>
          <w:bCs/>
          <w:sz w:val="28"/>
          <w:rtl/>
        </w:rPr>
        <w:t xml:space="preserve">يقوم نظام دعم القرار v13.3 على مبدأ</w:t>
      </w:r>
      <w:r>
        <w:rPr>
          <w:rFonts w:ascii="Traditional Arabic" w:hAnsi="Traditional Arabic"/>
          <w:b/>
          <w:bCs/>
          <w:sz w:val="28"/>
          <w:rtl/>
        </w:rPr>
        <w:t xml:space="preserve"> </w:t>
      </w:r>
      <w:r>
        <w:rPr>
          <w:rFonts w:ascii="Traditional Arabic" w:hAnsi="Traditional Arabic"/>
          <w:b/>
          <w:bCs/>
          <w:sz w:val="28"/>
          <w:rtl/>
        </w:rPr>
        <w:t xml:space="preserve">“التكامل الوظيفي”</w:t>
      </w:r>
      <w:r>
        <w:rPr>
          <w:rFonts w:ascii="Traditional Arabic" w:hAnsi="Traditional Arabic"/>
          <w:b/>
          <w:bCs/>
          <w:sz w:val="28"/>
          <w:rtl/>
        </w:rPr>
        <w:t xml:space="preserve"> </w:t>
      </w:r>
      <w:r>
        <w:rPr>
          <w:rFonts w:ascii="Traditional Arabic" w:hAnsi="Traditional Arabic"/>
          <w:b/>
          <w:bCs/>
          <w:sz w:val="28"/>
          <w:rtl/>
        </w:rPr>
        <w:t xml:space="preserve">(Functional Integration)، حيث يتم تحويل أوراق العمل من</w:t>
      </w:r>
      <w:r>
        <w:rPr>
          <w:rFonts w:ascii="Traditional Arabic" w:hAnsi="Traditional Arabic"/>
          <w:b/>
          <w:bCs/>
          <w:sz w:val="28"/>
          <w:rtl/>
        </w:rPr>
        <w:t xml:space="preserve"> </w:t>
      </w:r>
      <w:r>
        <w:rPr>
          <w:rFonts w:ascii="Traditional Arabic" w:hAnsi="Traditional Arabic"/>
          <w:b/>
          <w:bCs/>
          <w:sz w:val="28"/>
          <w:rtl/>
        </w:rPr>
        <w:t xml:space="preserve">“جزر معزولة”</w:t>
      </w:r>
      <w:r>
        <w:rPr>
          <w:rFonts w:ascii="Traditional Arabic" w:hAnsi="Traditional Arabic"/>
          <w:b/>
          <w:bCs/>
          <w:sz w:val="28"/>
          <w:rtl/>
        </w:rPr>
        <w:t xml:space="preserve"> </w:t>
      </w:r>
      <w:r>
        <w:rPr>
          <w:rFonts w:ascii="Traditional Arabic" w:hAnsi="Traditional Arabic"/>
          <w:b/>
          <w:bCs/>
          <w:sz w:val="28"/>
          <w:rtl/>
        </w:rPr>
        <w:t xml:space="preserve">إلى</w:t>
      </w:r>
      <w:r>
        <w:rPr>
          <w:rFonts w:ascii="Traditional Arabic" w:hAnsi="Traditional Arabic"/>
          <w:b/>
          <w:bCs/>
          <w:sz w:val="28"/>
          <w:rtl/>
        </w:rPr>
        <w:t xml:space="preserve"> </w:t>
      </w:r>
      <w:r>
        <w:rPr>
          <w:rFonts w:ascii="Traditional Arabic" w:hAnsi="Traditional Arabic"/>
          <w:b/>
          <w:bCs/>
          <w:sz w:val="28"/>
          <w:rtl/>
        </w:rPr>
        <w:t xml:space="preserve">“وحدات مترابطة”</w:t>
      </w:r>
      <w:r>
        <w:rPr>
          <w:rFonts w:ascii="Traditional Arabic" w:hAnsi="Traditional Arabic"/>
          <w:b/>
          <w:bCs/>
          <w:sz w:val="28"/>
          <w:rtl/>
        </w:rPr>
        <w:t xml:space="preserve"> </w:t>
      </w:r>
      <w:r>
        <w:rPr>
          <w:rFonts w:ascii="Traditional Arabic" w:hAnsi="Traditional Arabic"/>
          <w:b/>
          <w:bCs/>
          <w:sz w:val="28"/>
          <w:rtl/>
        </w:rPr>
        <w:t xml:space="preserve">تعمل ككيان واحد. يتم تحقيق هذا التكامل عبر مسارين:</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التحديث اللحظي المتسلسل: تؤدي أي حركة مخزنية (دخول أو خروج) إلى إطلاق سلسلة من التحديثات الآلية التي تشمل: (تحديث الرصيد الحالي إعادة حساب التكلفة المرجحة تحديث مؤشرات التنبيه ROP).</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وحدة الحقيقة (Single Source of Truth): يتم ربط كافة البيانات المالية واللوجيستية بقاعدة بيانات مركزية واحدة (Sجل الأصناف)، مما يضمن عدم تضارب المعلومات بين لوحة القيادة وسجلات الحركة.</w:t>
      </w:r>
    </w:p>
    <w:bookmarkEnd w:id="104"/>
    <w:bookmarkStart w:id="105" w:name="Xb3cd0739dd5a83bd5baa46bdafa673a7ae7a4aa"/>
    <w:p>
      <w:pPr>
        <w:pStyle w:val="Heading3"/>
        <w:bidi/>
      </w:pPr>
      <w:r>
        <w:rPr>
          <w:b/>
          <w:sz w:val="32"/>
          <w:rtl/>
        </w:rPr>
        <w:t xml:space="preserve">المطلب الثالث: معايير الاستقلالية التشغيلية والانتشار</w:t>
      </w:r>
    </w:p>
    <w:p>
      <w:pPr>
        <w:bidi/>
        <w:spacing w:line="360" w:lineRule="auto"/>
        <w:jc w:val="right"/>
      </w:pPr>
      <w:r>
        <w:rPr>
          <w:rFonts w:ascii="Traditional Arabic" w:hAnsi="Traditional Arabic"/>
          <w:sz w:val="28"/>
          <w:rtl/>
        </w:rPr>
        <w:t xml:space="preserve">لضمان استدامة النظام في بيئة العمل العمومية، تم تبني معايير</w:t>
      </w:r>
      <w:r>
        <w:rPr>
          <w:rFonts w:ascii="Traditional Arabic" w:hAnsi="Traditional Arabic"/>
          <w:sz w:val="28"/>
          <w:rtl/>
        </w:rPr>
        <w:t xml:space="preserve"> </w:t>
      </w:r>
      <w:r>
        <w:rPr>
          <w:rFonts w:ascii="Traditional Arabic" w:hAnsi="Traditional Arabic"/>
          <w:sz w:val="28"/>
          <w:rtl/>
        </w:rPr>
        <w:t xml:space="preserve">“الاستقلالية التامة”</w:t>
      </w:r>
      <w:r>
        <w:rPr>
          <w:rFonts w:ascii="Traditional Arabic" w:hAnsi="Traditional Arabic"/>
          <w:sz w:val="28"/>
          <w:rtl/>
        </w:rPr>
        <w:t xml:space="preserve"> </w:t>
      </w:r>
      <w:r>
        <w:rPr>
          <w:rFonts w:ascii="Traditional Arabic" w:hAnsi="Traditional Arabic"/>
          <w:sz w:val="28"/>
          <w:rtl/>
        </w:rPr>
        <w:t xml:space="preserve">(Operational Autonomy)، والتي تتجلى في ثلاثة أبعاد:</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الاستقلال عن البنية التحتية: لا يتطلب النظام اتصالاً بالإنترنت أو خوادم مركزية (Serverless Architecture)، مما يضمن استمرارية العمل في جميع الظروف الجغرافية والمناخية لولاية البيض.</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الاستقلال عن التكاليف البرمجية: تم تطوير النظام بالكامل باستخدام أدوات Microsoft Office المتاحة مسبقاً في المديرية، مما يجعل تكلفة التطبيق والتشغيل</w:t>
      </w:r>
      <w:r>
        <w:rPr>
          <w:rFonts w:ascii="Traditional Arabic" w:hAnsi="Traditional Arabic"/>
          <w:b/>
          <w:bCs/>
          <w:sz w:val="28"/>
          <w:rtl/>
        </w:rPr>
        <w:t xml:space="preserve"> </w:t>
      </w:r>
      <w:r>
        <w:rPr>
          <w:rFonts w:ascii="Traditional Arabic" w:hAnsi="Traditional Arabic"/>
          <w:b/>
          <w:bCs/>
          <w:sz w:val="28"/>
          <w:rtl/>
        </w:rPr>
        <w:t xml:space="preserve">“صفرية”</w:t>
      </w:r>
      <w:r>
        <w:rPr>
          <w:rFonts w:ascii="Traditional Arabic" w:hAnsi="Traditional Arabic"/>
          <w:b/>
          <w:bCs/>
          <w:sz w:val="28"/>
          <w:rtl/>
        </w:rPr>
        <w:t xml:space="preserve">.</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سهولة النقل والانتشار (Portability): بفضل تصميم النظام كملف واحد مدمج، يمكن نقله وتشغيله على أي حاسوب يحتوي على Excel دون الحاجة لعمليات تنصيب معقدة أو صلاحيات مدير نظام (Admin Rights).</w:t>
      </w:r>
    </w:p>
    <w:bookmarkEnd w:id="105"/>
    <w:bookmarkEnd w:id="106"/>
    <w:bookmarkStart w:id="112" w:name="Xfb30997312ec99a0ff92bdd7dc592fd161b34eb"/>
    <w:p>
      <w:pPr>
        <w:pStyle w:val="Heading2"/>
        <w:bidi/>
      </w:pPr>
      <w:r>
        <w:rPr>
          <w:b/>
          <w:sz w:val="36"/>
          <w:rtl/>
        </w:rPr>
        <w:t xml:space="preserve">المبحث الثاني: هندسة تدفق البيانات وآليات الرقابة</w:t>
      </w:r>
    </w:p>
    <w:p>
      <w:pPr>
        <w:bidi/>
        <w:spacing w:line="360" w:lineRule="auto"/>
        <w:jc w:val="right"/>
      </w:pPr>
      <w:r>
        <w:rPr>
          <w:rFonts w:ascii="Traditional Arabic" w:hAnsi="Traditional Arabic"/>
          <w:sz w:val="28"/>
          <w:rtl/>
        </w:rPr>
        <w:t xml:space="preserve">لا تكمن قوة أي نظام معلوماتي في واجهته الخارجية، بل في</w:t>
      </w:r>
      <w:r>
        <w:rPr>
          <w:rFonts w:ascii="Traditional Arabic" w:hAnsi="Traditional Arabic"/>
          <w:sz w:val="28"/>
          <w:rtl/>
        </w:rPr>
        <w:t xml:space="preserve"> </w:t>
      </w:r>
      <w:r>
        <w:rPr>
          <w:rFonts w:ascii="Traditional Arabic" w:hAnsi="Traditional Arabic"/>
          <w:sz w:val="28"/>
          <w:rtl/>
        </w:rPr>
        <w:t xml:space="preserve">“منطق التدفق”</w:t>
      </w:r>
      <w:r>
        <w:rPr>
          <w:rFonts w:ascii="Traditional Arabic" w:hAnsi="Traditional Arabic"/>
          <w:sz w:val="28"/>
          <w:rtl/>
        </w:rPr>
        <w:t xml:space="preserve"> </w:t>
      </w:r>
      <w:r>
        <w:rPr>
          <w:rFonts w:ascii="Traditional Arabic" w:hAnsi="Traditional Arabic"/>
          <w:sz w:val="28"/>
          <w:rtl/>
        </w:rPr>
        <w:t xml:space="preserve">(Data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bookmarkStart w:id="107" w:name="Xe1412b27e8b4694678434ce8a4f8b6f261fecdf"/>
    <w:p>
      <w:pPr>
        <w:pStyle w:val="Heading3"/>
        <w:bidi/>
      </w:pPr>
      <w:r>
        <w:rPr>
          <w:b/>
          <w:sz w:val="32"/>
          <w:rtl/>
        </w:rPr>
        <w:t xml:space="preserve">المطلب الأول: سلسلة الحراسة السداسية (Six-Guard Data Chain)</w:t>
      </w:r>
    </w:p>
    <w:p>
      <w:pPr>
        <w:bidi/>
        <w:spacing w:line="360" w:lineRule="auto"/>
        <w:jc w:val="right"/>
      </w:pPr>
      <w:r>
        <w:rPr>
          <w:rFonts w:ascii="Traditional Arabic" w:hAnsi="Traditional Arabic"/>
          <w:sz w:val="28"/>
          <w:rtl/>
        </w:rPr>
        <w:t xml:space="preserve">لضمان أعلى مستويات الدقة ومنع التلاعب أو الخطأ العفوي، تم ابتكار بروتوكول رقابي يُعرف بـ</w:t>
      </w:r>
      <w:r>
        <w:rPr>
          <w:rFonts w:ascii="Traditional Arabic" w:hAnsi="Traditional Arabic"/>
          <w:sz w:val="28"/>
          <w:rtl/>
        </w:rPr>
        <w:t xml:space="preserve"> </w:t>
      </w:r>
      <w:r>
        <w:rPr>
          <w:rFonts w:ascii="Traditional Arabic" w:hAnsi="Traditional Arabic"/>
          <w:sz w:val="28"/>
          <w:rtl/>
        </w:rPr>
        <w:t xml:space="preserve">“سلسلة الحراسة السداسية”</w:t>
      </w:r>
      <w:r>
        <w:rPr>
          <w:rFonts w:ascii="Traditional Arabic" w:hAnsi="Traditional Arabic"/>
          <w:sz w:val="28"/>
          <w:rtl/>
        </w:rPr>
        <w:t xml:space="preserve">. يعمل هذا البروتوكول كفلتر متسلسل يمر عبره كل إدخال قبل اعتماده نهائياً في السجلات:</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حراسة الكود (Code Guard): التحقق من أن رمز المادة مُسجل فعلياً في قاعدة البيانات لمنع خلق أصناف وهمية.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حراسة النوع (Type Guard): إلزام المستخدم بتحديد نوع الحركة (دخول/خروج) بشكل قطعي، مما يمنع الخلط بين التوريد والصرف.</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حراسة الكمية (Quantity Guard): تطبيق قيود رياضية تمنع إدخال كميات سالبة أو قيم غير منطقية تتجاوز السعة التخزينية.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حراسة التكلفة (Cost Guard): مطابقة سعر الوحدة مع آخر سعر مسجل أو السعر المعتمد في أمر الشراء لضمان دقة التقييم المالي.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حراسة المرجع (Reference Guard): ربط كل حركة برقم وثيقة مادية (وصل استلام أو أمر صرف)، مما يحول السجل الرقمي إلى مرآة للواقع المستندي.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حراسة المزامنة (Sync Guard): تحديث كافة المؤشرات (الرصيد، التكلفة، التنبيهات) في لحظة واحدة لضمان عدم وجود تضارب بين أوراق العمل.</w:t>
      </w:r>
    </w:p>
    <w:bookmarkEnd w:id="107"/>
    <w:bookmarkStart w:id="108" w:name="X790f7c97394d912e1af56ef75b8396a4139580d"/>
    <w:p>
      <w:pPr>
        <w:pStyle w:val="Heading3"/>
        <w:bidi/>
      </w:pPr>
      <w:r>
        <w:rPr>
          <w:b/>
          <w:sz w:val="32"/>
          <w:rtl/>
        </w:rPr>
        <w:t xml:space="preserve">المطلب الثاني: السجل الرقمي (Digital Ledger) كمرجع للمراجعة</w:t>
      </w:r>
    </w:p>
    <w:p>
      <w:pPr>
        <w:bidi/>
        <w:spacing w:line="360" w:lineRule="auto"/>
        <w:jc w:val="right"/>
      </w:pPr>
      <w:r>
        <w:rPr>
          <w:rFonts w:ascii="Traditional Arabic" w:hAnsi="Traditional Arabic"/>
          <w:sz w:val="28"/>
          <w:rtl/>
        </w:rPr>
        <w:t xml:space="preserve">تم استبدال السجلات الورقية التقليدية بـ</w:t>
      </w:r>
      <w:r>
        <w:rPr>
          <w:rFonts w:ascii="Traditional Arabic" w:hAnsi="Traditional Arabic"/>
          <w:sz w:val="28"/>
          <w:rtl/>
        </w:rPr>
        <w:t xml:space="preserve"> </w:t>
      </w:r>
      <w:r>
        <w:rPr>
          <w:rFonts w:ascii="Traditional Arabic" w:hAnsi="Traditional Arabic"/>
          <w:sz w:val="28"/>
          <w:rtl/>
        </w:rPr>
        <w:t xml:space="preserve">“سجل الحركات الرقمي”</w:t>
      </w:r>
      <w:r>
        <w:rPr>
          <w:rFonts w:ascii="Traditional Arabic" w:hAnsi="Traditional Arabic"/>
          <w:sz w:val="28"/>
          <w:rtl/>
        </w:rPr>
        <w:t xml:space="preserve"> </w:t>
      </w:r>
      <w:r>
        <w:rPr>
          <w:rFonts w:ascii="Traditional Arabic" w:hAnsi="Traditional Arabic"/>
          <w:sz w:val="28"/>
          <w:rtl/>
        </w:rPr>
        <w:t xml:space="preserve">(MOUVEMENTS Sheet)، والذي صُمِّم ليعمل وفق مبدأ</w:t>
      </w:r>
      <w:r>
        <w:rPr>
          <w:rFonts w:ascii="Traditional Arabic" w:hAnsi="Traditional Arabic"/>
          <w:sz w:val="28"/>
          <w:rtl/>
        </w:rPr>
        <w:t xml:space="preserve"> </w:t>
      </w:r>
      <w:r>
        <w:rPr>
          <w:rFonts w:ascii="Traditional Arabic" w:hAnsi="Traditional Arabic"/>
          <w:sz w:val="28"/>
          <w:rtl/>
        </w:rPr>
        <w:t xml:space="preserve">“سجل المراجعة غير القابل للتعديل”</w:t>
      </w:r>
      <w:r>
        <w:rPr>
          <w:rFonts w:ascii="Traditional Arabic" w:hAnsi="Traditional Arabic"/>
          <w:sz w:val="28"/>
          <w:rtl/>
        </w:rPr>
        <w:t xml:space="preserve"> </w:t>
      </w:r>
      <w:r>
        <w:rPr>
          <w:rFonts w:ascii="Traditional Arabic" w:hAnsi="Traditional Arabic"/>
          <w:sz w:val="28"/>
          <w:rtl/>
        </w:rPr>
        <w:t xml:space="preserve">(Immutable Audit Trail). يتميز هذا السجل بالخصائص الآتية: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التوثيق الزمني (Timestamping): تسجيل التاريخ والوقت الدقيق لكل حركة، مما يتيح تتبع تسلسل الأحداث بدقة ثانية.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المرجعية الموحدة: توحيد كافة الحركات (دخول، خروج، تعديل) في جدول واحد، مما يسهل عمليات الفلترة والبحث والتدقيق المالي.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الشفافية الرقابية: يتيح السجل للمراقب المالي أو المفتش تتبع مسار أي مادة من لحظة دخولها المخزن حتى صرفها للمصلحة المستفيدة، مما يلغي</w:t>
      </w:r>
      <w:r>
        <w:rPr>
          <w:rFonts w:ascii="Traditional Arabic" w:hAnsi="Traditional Arabic"/>
          <w:b/>
          <w:bCs/>
          <w:sz w:val="28"/>
          <w:rtl/>
        </w:rPr>
        <w:t xml:space="preserve"> </w:t>
      </w:r>
      <w:r>
        <w:rPr>
          <w:rFonts w:ascii="Traditional Arabic" w:hAnsi="Traditional Arabic"/>
          <w:b/>
          <w:bCs/>
          <w:sz w:val="28"/>
          <w:rtl/>
        </w:rPr>
        <w:t xml:space="preserve">“الثقوب السوداء”</w:t>
      </w:r>
      <w:r>
        <w:rPr>
          <w:rFonts w:ascii="Traditional Arabic" w:hAnsi="Traditional Arabic"/>
          <w:b/>
          <w:bCs/>
          <w:sz w:val="28"/>
          <w:rtl/>
        </w:rPr>
        <w:t xml:space="preserve"> </w:t>
      </w:r>
      <w:r>
        <w:rPr>
          <w:rFonts w:ascii="Traditional Arabic" w:hAnsi="Traditional Arabic"/>
          <w:b/>
          <w:bCs/>
          <w:sz w:val="28"/>
          <w:rtl/>
        </w:rPr>
        <w:t xml:space="preserve">المعلوماتية التي كانت تميز النظام اليدوي.</w:t>
      </w:r>
    </w:p>
    <w:bookmarkEnd w:id="108"/>
    <w:bookmarkStart w:id="111" w:name="X444a26c814394dcd7d1e55a55a610cb16854269"/>
    <w:p>
      <w:pPr>
        <w:pStyle w:val="Heading3"/>
        <w:bidi/>
      </w:pPr>
      <w:r>
        <w:rPr>
          <w:b/>
          <w:sz w:val="32"/>
          <w:rtl/>
        </w:rPr>
        <w:t xml:space="preserve">المطلب الثالث: دور محرك VBA في أتمتة الدورة المستندية</w:t>
      </w:r>
    </w:p>
    <w:p>
      <w:pPr>
        <w:bidi/>
        <w:spacing w:line="360" w:lineRule="auto"/>
        <w:jc w:val="right"/>
      </w:pPr>
      <w:r>
        <w:rPr>
          <w:rFonts w:ascii="Traditional Arabic" w:hAnsi="Traditional Arabic"/>
          <w:b/>
          <w:bCs/>
          <w:sz w:val="28"/>
          <w:rtl/>
        </w:rPr>
        <w:t xml:space="preserve">يعمل محرك VBA (Visual Basic for Applications) في النظام ليس كأداة مساعدة، بل كـ</w:t>
      </w:r>
      <w:r>
        <w:rPr>
          <w:rFonts w:ascii="Traditional Arabic" w:hAnsi="Traditional Arabic"/>
          <w:b/>
          <w:bCs/>
          <w:sz w:val="28"/>
          <w:rtl/>
        </w:rPr>
        <w:t xml:space="preserve"> </w:t>
      </w:r>
      <w:r>
        <w:rPr>
          <w:rFonts w:ascii="Traditional Arabic" w:hAnsi="Traditional Arabic"/>
          <w:b/>
          <w:bCs/>
          <w:sz w:val="28"/>
          <w:rtl/>
        </w:rPr>
        <w:t xml:space="preserve">“مايسترو”</w:t>
      </w:r>
      <w:r>
        <w:rPr>
          <w:rFonts w:ascii="Traditional Arabic" w:hAnsi="Traditional Arabic"/>
          <w:b/>
          <w:bCs/>
          <w:sz w:val="28"/>
          <w:rtl/>
        </w:rPr>
        <w:t xml:space="preserve"> </w:t>
      </w:r>
      <w:r>
        <w:rPr>
          <w:rFonts w:ascii="Traditional Arabic" w:hAnsi="Traditional Arabic"/>
          <w:b/>
          <w:bCs/>
          <w:sz w:val="28"/>
          <w:rtl/>
        </w:rPr>
        <w:t xml:space="preserve">يدير كافة العمليات. يتولى المحرك ثلاث مهام استراتيجية: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أتمتة الترحيل (Automated Posting): تحويل البيانات من نماذج الإدخال التفاعلية إلى السجلات الرقمية بنقرة واحدة، مما يلغي الحاجة لإعادة الكتابة اليدوية ويقلص زمن المعالجة بنسبة 99.7%.</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تنفيذ المنطق الحسابي المعقد: إجراء عمليات حسابية لحظية (مثل حساب CMUP المتحرك) التي يستحيل تنفيذها بدقة عبر معادلات Excel التقليدية عند التعامل مع كميات ضخمة من البيانات.</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عزل البيانات عن المستخدم: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r>
        <w:rPr>
          <w:rFonts w:ascii="Traditional Arabic" w:hAnsi="Traditional Arabic"/>
          <w:sz w:val="28"/>
          <w:rtl/>
        </w:rPr>
        <w:t xml:space="preserve"> </w:t>
      </w:r>
      <w:r>
        <w:rPr>
          <w:rFonts w:ascii="Traditional Arabic" w:hAnsi="Traditional Arabic"/>
          <w:sz w:val="28"/>
          <w:rtl/>
        </w:rPr>
        <w:t xml:space="preserve">يُستند في تطوير هذا المحرك إلى مرجعية Microsoft الرسمية لـ VBA</w:t>
      </w:r>
      <w:r>
        <w:rPr>
          <w:rFonts w:ascii="Traditional Arabic" w:hAnsi="Traditional Arabic"/>
          <w:sz w:val="28"/>
          <w:rtl/>
        </w:rPr>
        <w:t xml:space="preserve"> </w:t>
      </w:r>
      <w:r>
        <w:rPr>
          <w:rStyle w:val="FootnoteReference"/>
          <w:rFonts w:ascii="Traditional Arabic" w:hAnsi="Traditional Arabic"/>
          <w:sz w:val="28"/>
        </w:rPr>
        <w:footnoteReference w:id="109"/>
      </w:r>
      <w:r>
        <w:rPr>
          <w:rFonts w:ascii="Traditional Arabic" w:hAnsi="Traditional Arabic"/>
          <w:sz w:val="28"/>
          <w:rtl/>
        </w:rPr>
        <w:t xml:space="preserve"> </w:t>
      </w:r>
      <w:r>
        <w:rPr>
          <w:rFonts w:ascii="Traditional Arabic" w:hAnsi="Traditional Arabic"/>
          <w:sz w:val="28"/>
          <w:rtl/>
        </w:rPr>
        <w:t xml:space="preserve">ونموذج كائنات Excel</w:t>
      </w:r>
      <w:r>
        <w:rPr>
          <w:rFonts w:ascii="Traditional Arabic" w:hAnsi="Traditional Arabic"/>
          <w:sz w:val="28"/>
          <w:rtl/>
        </w:rPr>
        <w:t xml:space="preserve"> </w:t>
      </w:r>
      <w:r>
        <w:rPr>
          <w:rStyle w:val="FootnoteReference"/>
          <w:rFonts w:ascii="Traditional Arabic" w:hAnsi="Traditional Arabic"/>
          <w:sz w:val="28"/>
        </w:rPr>
        <w:footnoteReference w:id="110"/>
      </w:r>
      <w:r>
        <w:rPr>
          <w:rFonts w:ascii="Traditional Arabic" w:hAnsi="Traditional Arabic"/>
          <w:sz w:val="28"/>
          <w:rtl/>
        </w:rPr>
        <w:t xml:space="preserve">.</w:t>
      </w:r>
    </w:p>
    <w:bookmarkEnd w:id="111"/>
    <w:bookmarkEnd w:id="112"/>
    <w:bookmarkStart w:id="120" w:name="Xffbf1b46ecde0efcc86730acfd968fe379c5668"/>
    <w:p>
      <w:pPr>
        <w:pStyle w:val="Heading2"/>
        <w:bidi/>
      </w:pPr>
      <w:r>
        <w:rPr>
          <w:b/>
          <w:sz w:val="36"/>
          <w:rtl/>
        </w:rPr>
        <w:t xml:space="preserve">المبحث الثالث: محرك الذكاء المحلي (VBA Engine)</w:t>
      </w:r>
    </w:p>
    <w:p>
      <w:pPr>
        <w:bidi/>
        <w:spacing w:line="360" w:lineRule="auto"/>
        <w:jc w:val="right"/>
      </w:pPr>
      <w:r>
        <w:rPr>
          <w:rFonts w:ascii="Traditional Arabic" w:hAnsi="Traditional Arabic"/>
          <w:sz w:val="28"/>
          <w:rtl/>
        </w:rPr>
        <w:t xml:space="preserve">إذا كانت واجهة المستخدم هي</w:t>
      </w:r>
      <w:r>
        <w:rPr>
          <w:rFonts w:ascii="Traditional Arabic" w:hAnsi="Traditional Arabic"/>
          <w:sz w:val="28"/>
          <w:rtl/>
        </w:rPr>
        <w:t xml:space="preserve"> </w:t>
      </w:r>
      <w:r>
        <w:rPr>
          <w:rFonts w:ascii="Traditional Arabic" w:hAnsi="Traditional Arabic"/>
          <w:sz w:val="28"/>
          <w:rtl/>
        </w:rPr>
        <w:t xml:space="preserve">“جسد”</w:t>
      </w:r>
      <w:r>
        <w:rPr>
          <w:rFonts w:ascii="Traditional Arabic" w:hAnsi="Traditional Arabic"/>
          <w:sz w:val="28"/>
          <w:rtl/>
        </w:rPr>
        <w:t xml:space="preserve"> </w:t>
      </w:r>
      <w:r>
        <w:rPr>
          <w:rFonts w:ascii="Traditional Arabic" w:hAnsi="Traditional Arabic"/>
          <w:sz w:val="28"/>
          <w:rtl/>
        </w:rPr>
        <w:t xml:space="preserve">النظام، فإن محرك الـ VBA هو</w:t>
      </w:r>
      <w:r>
        <w:rPr>
          <w:rFonts w:ascii="Traditional Arabic" w:hAnsi="Traditional Arabic"/>
          <w:sz w:val="28"/>
          <w:rtl/>
        </w:rPr>
        <w:t xml:space="preserve"> </w:t>
      </w:r>
      <w:r>
        <w:rPr>
          <w:rFonts w:ascii="Traditional Arabic" w:hAnsi="Traditional Arabic"/>
          <w:sz w:val="28"/>
          <w:rtl/>
        </w:rPr>
        <w:t xml:space="preserve">“عقله”</w:t>
      </w:r>
      <w:r>
        <w:rPr>
          <w:rFonts w:ascii="Traditional Arabic" w:hAnsi="Traditional Arabic"/>
          <w:sz w:val="28"/>
          <w:rtl/>
        </w:rPr>
        <w:t xml:space="preserve"> </w:t>
      </w:r>
      <w:r>
        <w:rPr>
          <w:rFonts w:ascii="Traditional Arabic" w:hAnsi="Traditional Arabic"/>
          <w:sz w:val="28"/>
          <w:rtl/>
        </w:rPr>
        <w:t xml:space="preserve">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bookmarkStart w:id="113" w:name="X2b5683333895272df7448c3123c2d6911fb19dd"/>
    <w:p>
      <w:pPr>
        <w:pStyle w:val="Heading3"/>
        <w:bidi/>
      </w:pPr>
      <w:r>
        <w:rPr>
          <w:b/>
          <w:sz w:val="32"/>
          <w:rtl/>
        </w:rPr>
        <w:t xml:space="preserve">المطلب الأول: الهندسة البرمجية وبنية الوحدات النمطية</w:t>
      </w:r>
    </w:p>
    <w:p>
      <w:pPr>
        <w:bidi/>
        <w:spacing w:line="360" w:lineRule="auto"/>
        <w:jc w:val="right"/>
      </w:pPr>
      <w:r>
        <w:rPr>
          <w:rFonts w:ascii="Traditional Arabic" w:hAnsi="Traditional Arabic"/>
          <w:sz w:val="28"/>
          <w:rtl/>
        </w:rPr>
        <w:t xml:space="preserve">لضمان استدامة النظام وسهولة صيانته، تم اعتماد</w:t>
      </w:r>
      <w:r>
        <w:rPr>
          <w:rFonts w:ascii="Traditional Arabic" w:hAnsi="Traditional Arabic"/>
          <w:sz w:val="28"/>
          <w:rtl/>
        </w:rPr>
        <w:t xml:space="preserve"> </w:t>
      </w:r>
      <w:r>
        <w:rPr>
          <w:rFonts w:ascii="Traditional Arabic" w:hAnsi="Traditional Arabic"/>
          <w:sz w:val="28"/>
          <w:rtl/>
        </w:rPr>
        <w:t xml:space="preserve">“الهندسة النمطية”</w:t>
      </w:r>
      <w:r>
        <w:rPr>
          <w:rFonts w:ascii="Traditional Arabic" w:hAnsi="Traditional Arabic"/>
          <w:sz w:val="28"/>
          <w:rtl/>
        </w:rPr>
        <w:t xml:space="preserve"> </w:t>
      </w:r>
      <w:r>
        <w:rPr>
          <w:rFonts w:ascii="Traditional Arabic" w:hAnsi="Traditional Arabic"/>
          <w:sz w:val="28"/>
          <w:rtl/>
        </w:rPr>
        <w:t xml:space="preserve">(Modular Architecture). بدلاً من كتابة كود برمجي متصل، تم تقسيم منطق العمل إلى وحدات مستقلة وظيفياً، مما يمنع تداخل العمليات ويقلل من احتمالية ظهور الأخطاء البرمجية: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وحدة المحرك الأساسي (mod_StockEngine): تمثل النواة الحسابية للنظام، حيث تتركز فيها خوارزميات حساب EOQ و ROP و CMUP.</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وحدة منطق الإدخال (mod_StockEntry_Logic): تدير تدفق البيانات من واجهات المستخدم إلى السجلات، مع تفعيل بروتوكول</w:t>
      </w:r>
      <w:r>
        <w:rPr>
          <w:rFonts w:ascii="Traditional Arabic" w:hAnsi="Traditional Arabic"/>
          <w:b/>
          <w:bCs/>
          <w:sz w:val="28"/>
          <w:rtl/>
        </w:rPr>
        <w:t xml:space="preserve"> </w:t>
      </w:r>
      <w:r>
        <w:rPr>
          <w:rFonts w:ascii="Traditional Arabic" w:hAnsi="Traditional Arabic"/>
          <w:b/>
          <w:bCs/>
          <w:sz w:val="28"/>
          <w:rtl/>
        </w:rPr>
        <w:t xml:space="preserve">“سلسلة الحراسة”</w:t>
      </w:r>
      <w:r>
        <w:rPr>
          <w:rFonts w:ascii="Traditional Arabic" w:hAnsi="Traditional Arabic"/>
          <w:b/>
          <w:bCs/>
          <w:sz w:val="28"/>
          <w:rtl/>
        </w:rPr>
        <w:t xml:space="preserve">.</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وحدة جسر المزامنة (mod_SyncBridge): تضمن التطابق المطلق بين السجل الرقمي (Ledger) والعرض المرئي في أوراق العمل، مما يلغي أي تضارب في البيانات.</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وحدة التصدير والتقارير (mod_ExportEngine): تحول البيانات الرقمية إلى وثائق إدارية رسمية (PDF) تحاكي الدورة المستندية القانونية.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وحدة سلامة العمليات (mod_TransactionSafety): تضمن تنفيذ العمليات ككتلة واحدة غير قابلة للتجزئة، مما يحمي البيانات من التلف عند حدوث انقطاع مفاجئ.</w:t>
      </w:r>
    </w:p>
    <w:bookmarkEnd w:id="113"/>
    <w:bookmarkStart w:id="116" w:name="X9b60cd1fa0cbe72f7f71191beb861644b5c9805"/>
    <w:p>
      <w:pPr>
        <w:pStyle w:val="Heading3"/>
        <w:bidi/>
      </w:pPr>
      <w:r>
        <w:rPr>
          <w:b/>
          <w:sz w:val="32"/>
          <w:rtl/>
        </w:rPr>
        <w:t xml:space="preserve">المطلب الثاني: خوارزميات التموين والتحسين الكمي</w:t>
      </w:r>
    </w:p>
    <w:p>
      <w:pPr>
        <w:bidi/>
        <w:spacing w:line="360" w:lineRule="auto"/>
        <w:jc w:val="right"/>
      </w:pPr>
      <w:r>
        <w:rPr>
          <w:rFonts w:ascii="Traditional Arabic" w:hAnsi="Traditional Arabic"/>
          <w:sz w:val="28"/>
          <w:rtl/>
        </w:rPr>
        <w:t xml:space="preserve">يعتمد النظام في اتخاذ قرارات التموين على تحويل النماذج الرياضية إلى خوارزميات برمجية تعمل في الخلفية دون تدخل المستخدم:</w:t>
      </w:r>
    </w:p>
    <w:bookmarkStart w:id="114" w:name="أولا-أتمتة-نموذج-ويلسون-eoq-algorithm"/>
    <w:p>
      <w:pPr>
        <w:pStyle w:val="Heading4"/>
        <w:bidi/>
      </w:pPr>
      <w:r>
        <w:rPr>
          <w:rtl/>
        </w:rPr>
        <w:t xml:space="preserve">أولاً: أتمتة نموذج ويلسون (EOQ Algorithm)</w:t>
      </w:r>
    </w:p>
    <w:p>
      <w:pPr>
        <w:bidi/>
        <w:spacing w:line="360" w:lineRule="auto"/>
        <w:jc w:val="right"/>
      </w:pPr>
      <w:r>
        <w:rPr>
          <w:rFonts w:ascii="Traditional Arabic" w:hAnsi="Traditional Arabic"/>
          <w:sz w:val="28"/>
          <w:rtl/>
        </w:rPr>
        <w:t xml:space="preserve">يقوم المحرك بتنفيذ عملية</w:t>
      </w:r>
      <w:r>
        <w:rPr>
          <w:rFonts w:ascii="Traditional Arabic" w:hAnsi="Traditional Arabic"/>
          <w:sz w:val="28"/>
          <w:rtl/>
        </w:rPr>
        <w:t xml:space="preserve"> </w:t>
      </w:r>
      <w:r>
        <w:rPr>
          <w:rFonts w:ascii="Traditional Arabic" w:hAnsi="Traditional Arabic"/>
          <w:sz w:val="28"/>
          <w:rtl/>
        </w:rPr>
        <w:t xml:space="preserve">“التحسين المستمر”</w:t>
      </w:r>
      <w:r>
        <w:rPr>
          <w:rFonts w:ascii="Traditional Arabic" w:hAnsi="Traditional Arabic"/>
          <w:sz w:val="28"/>
          <w:rtl/>
        </w:rPr>
        <w:t xml:space="preserve"> </w:t>
      </w:r>
      <w:r>
        <w:rPr>
          <w:rFonts w:ascii="Traditional Arabic" w:hAnsi="Traditional Arabic"/>
          <w:sz w:val="28"/>
          <w:rtl/>
        </w:rPr>
        <w:t xml:space="preserve">للكمية الاقتصادية عبر تدفق منطقي يبدأ باسترداد الطلب السنوي () وتكلفة الطلب () ومعدل الاحتفاظ () وسعر الوحدة () من سجل الإعدادات، ثم تطبيق المعادلة: . يتم تحديث هذه القيمة تلقائياً عند تغير أي معامل، مما يضمن أن النظام يقترح دائماً الكمية التي تقلص التكاليف الإجمالية إلى حدها الأدنى.</w:t>
      </w:r>
    </w:p>
    <w:bookmarkEnd w:id="114"/>
    <w:bookmarkStart w:id="115" w:name="ثانيا-ديناميكية-نقطة-إعادة-الطلب-rop"/>
    <w:p>
      <w:pPr>
        <w:pStyle w:val="Heading4"/>
        <w:bidi/>
      </w:pPr>
      <w:r>
        <w:rPr>
          <w:rtl/>
        </w:rPr>
        <w:t xml:space="preserve">ثانياً: ديناميكية نقطة إعادة الطلب (ROP)</w:t>
      </w:r>
    </w:p>
    <w:p>
      <w:pPr>
        <w:bidi/>
        <w:spacing w:line="360" w:lineRule="auto"/>
        <w:jc w:val="right"/>
      </w:pPr>
      <w:r>
        <w:rPr>
          <w:rFonts w:ascii="Traditional Arabic" w:hAnsi="Traditional Arabic"/>
          <w:sz w:val="28"/>
          <w:rtl/>
        </w:rPr>
        <w:t xml:space="preserve">لا يتعامل النظام مع ROP كقيمة ثابتة، بل كمتغير ديناميكي يرتبط بأجل التزويد الفعلي () ومخزون الأمان (). يقوم المحرك بحساب بشكل لحظي، ويقوم بتفعيل التنبيهات اللونية (الأصفر/الأحمر) في واجهة المستخدم بمجرد ملامسة الرصيد لهذه القيمة، مما ينقل الإدارة من</w:t>
      </w:r>
      <w:r>
        <w:rPr>
          <w:rFonts w:ascii="Traditional Arabic" w:hAnsi="Traditional Arabic"/>
          <w:sz w:val="28"/>
          <w:rtl/>
        </w:rPr>
        <w:t xml:space="preserve"> </w:t>
      </w:r>
      <w:r>
        <w:rPr>
          <w:rFonts w:ascii="Traditional Arabic" w:hAnsi="Traditional Arabic"/>
          <w:sz w:val="28"/>
          <w:rtl/>
        </w:rPr>
        <w:t xml:space="preserve">“رد الفعل”</w:t>
      </w:r>
      <w:r>
        <w:rPr>
          <w:rFonts w:ascii="Traditional Arabic" w:hAnsi="Traditional Arabic"/>
          <w:sz w:val="28"/>
          <w:rtl/>
        </w:rPr>
        <w:t xml:space="preserve"> </w:t>
      </w:r>
      <w:r>
        <w:rPr>
          <w:rFonts w:ascii="Traditional Arabic" w:hAnsi="Traditional Arabic"/>
          <w:sz w:val="28"/>
          <w:rtl/>
        </w:rPr>
        <w:t xml:space="preserve">عند النفاد إلى</w:t>
      </w:r>
      <w:r>
        <w:rPr>
          <w:rFonts w:ascii="Traditional Arabic" w:hAnsi="Traditional Arabic"/>
          <w:sz w:val="28"/>
          <w:rtl/>
        </w:rPr>
        <w:t xml:space="preserve"> </w:t>
      </w:r>
      <w:r>
        <w:rPr>
          <w:rFonts w:ascii="Traditional Arabic" w:hAnsi="Traditional Arabic"/>
          <w:sz w:val="28"/>
          <w:rtl/>
        </w:rPr>
        <w:t xml:space="preserve">“الاستباقية”</w:t>
      </w:r>
      <w:r>
        <w:rPr>
          <w:rFonts w:ascii="Traditional Arabic" w:hAnsi="Traditional Arabic"/>
          <w:sz w:val="28"/>
          <w:rtl/>
        </w:rPr>
        <w:t xml:space="preserve"> </w:t>
      </w:r>
      <w:r>
        <w:rPr>
          <w:rFonts w:ascii="Traditional Arabic" w:hAnsi="Traditional Arabic"/>
          <w:sz w:val="28"/>
          <w:rtl/>
        </w:rPr>
        <w:t xml:space="preserve">في الطلب.</w:t>
      </w:r>
    </w:p>
    <w:bookmarkEnd w:id="115"/>
    <w:bookmarkEnd w:id="116"/>
    <w:bookmarkStart w:id="117" w:name="Xdb72e8c31238e5bc8bb35e9197d335bc848251d"/>
    <w:p>
      <w:pPr>
        <w:pStyle w:val="Heading3"/>
        <w:bidi/>
      </w:pPr>
      <w:r>
        <w:rPr>
          <w:b/>
          <w:sz w:val="32"/>
          <w:rtl/>
        </w:rPr>
        <w:t xml:space="preserve">المطلب الثالث: إدارة التكاليف والنزاهة المالية</w:t>
      </w:r>
    </w:p>
    <w:p>
      <w:pPr>
        <w:bidi/>
        <w:spacing w:line="360" w:lineRule="auto"/>
        <w:jc w:val="right"/>
      </w:pPr>
      <w:r>
        <w:rPr>
          <w:rFonts w:ascii="Traditional Arabic" w:hAnsi="Traditional Arabic"/>
          <w:sz w:val="28"/>
          <w:rtl/>
        </w:rPr>
        <w:t xml:space="preserve">يواجه التسيير اليدوي مشكلة كبرى في تقييم المخزون عند تذبذب الأسعار. عالج نظام دعم القرار هذه المشكلة عبر تطبيق</w:t>
      </w:r>
      <w:r>
        <w:rPr>
          <w:rFonts w:ascii="Traditional Arabic" w:hAnsi="Traditional Arabic"/>
          <w:sz w:val="28"/>
          <w:rtl/>
        </w:rPr>
        <w:t xml:space="preserve"> </w:t>
      </w:r>
      <w:r>
        <w:rPr>
          <w:rFonts w:ascii="Traditional Arabic" w:hAnsi="Traditional Arabic"/>
          <w:sz w:val="28"/>
          <w:rtl/>
        </w:rPr>
        <w:t xml:space="preserve">“منطق التكلفة المرجحة المتحركة”</w:t>
      </w:r>
      <w:r>
        <w:rPr>
          <w:rFonts w:ascii="Traditional Arabic" w:hAnsi="Traditional Arabic"/>
          <w:sz w:val="28"/>
          <w:rtl/>
        </w:rPr>
        <w:t xml:space="preserve"> </w:t>
      </w:r>
      <w:r>
        <w:rPr>
          <w:rFonts w:ascii="Traditional Arabic" w:hAnsi="Traditional Arabic"/>
          <w:sz w:val="28"/>
          <w:rtl/>
        </w:rPr>
        <w:t xml:space="preserve">(Moving Average Costing):</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خوارزمية CMUP: عند كل عملية دخول جديدة، يقوم المحرك بتحديث التكلفة الوحدوية وفق المعادلة: . (تُنفَّذ هذه المعادلة في النظام بصيغتها التراكمية المكافئة: CMUP = ΣValeur_IN / ΣQté_IN)</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الأثر المالي: يضمن هذا الإجراء أن تكون قيمة المخزون في لوحة القيادة مطابقة تماماً للواقع المالي، مما يلغي أخطاء التقييم التي كانت تحدث في السجلات الورقية.</w:t>
      </w:r>
    </w:p>
    <w:bookmarkEnd w:id="117"/>
    <w:bookmarkStart w:id="118" w:name="Xb42ed883f4a4d77c904837a9483548fc91a7185"/>
    <w:p>
      <w:pPr>
        <w:pStyle w:val="Heading3"/>
        <w:bidi/>
      </w:pPr>
      <w:r>
        <w:rPr>
          <w:b/>
          <w:sz w:val="32"/>
          <w:rtl/>
        </w:rPr>
        <w:t xml:space="preserve">المطلب الرابع: محاكاة مبادئ ACID لسلامة البيانات</w:t>
      </w:r>
    </w:p>
    <w:p>
      <w:pPr>
        <w:bidi/>
        <w:spacing w:line="360" w:lineRule="auto"/>
        <w:jc w:val="right"/>
      </w:pPr>
      <w:r>
        <w:rPr>
          <w:rFonts w:ascii="Traditional Arabic" w:hAnsi="Traditional Arabic"/>
          <w:sz w:val="28"/>
          <w:rtl/>
        </w:rPr>
        <w:t xml:space="preserve">بالرغم من عمل النظام في بيئة Excel، فقد تم دمج مبادئ قواعد البيانات الاحترافية (ACID) لضمان عدم ضياع أو تشوه البيانات:</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الذرية (Atomicity): تضمن وحدة mod_TransactionSafety أن عملية تسجيل الحركة (تحديث الرصيد + تسجيل السطر في السجل + تحديث التكلفة) إما أن تكتمل جميعها أو تُلغى بالكامل في حال حدوث خطأ، لمنع وجود</w:t>
      </w:r>
      <w:r>
        <w:rPr>
          <w:rFonts w:ascii="Traditional Arabic" w:hAnsi="Traditional Arabic"/>
          <w:b/>
          <w:bCs/>
          <w:sz w:val="28"/>
          <w:rtl/>
        </w:rPr>
        <w:t xml:space="preserve"> </w:t>
      </w:r>
      <w:r>
        <w:rPr>
          <w:rFonts w:ascii="Traditional Arabic" w:hAnsi="Traditional Arabic"/>
          <w:b/>
          <w:bCs/>
          <w:sz w:val="28"/>
          <w:rtl/>
        </w:rPr>
        <w:t xml:space="preserve">“أرصدة معلقة”</w:t>
      </w:r>
      <w:r>
        <w:rPr>
          <w:rFonts w:ascii="Traditional Arabic" w:hAnsi="Traditional Arabic"/>
          <w:b/>
          <w:bCs/>
          <w:sz w:val="28"/>
          <w:rtl/>
        </w:rPr>
        <w:t xml:space="preserve">.</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الاتساق (Consistency): يرفض النظام أي عملية تؤدي إلى كسر القواعد المنطقية (مثل صرف كمية أكبر من المتوفر في الرصيد الفعلي).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العزل (Isolation): يتم قفل السجلات برمجياً أثناء لحظة التحديث لمنع تداخل العمليات إذا تم استخدام النظام من قبل أكثر من مستخدم.</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الديمومة (Durability): يتم تفعيل أمر الحفظ القسري (Force Save) بعد كل عملية حرجة لضمان كتابة البيانات على القرص الصلب فوراً.</w:t>
      </w:r>
    </w:p>
    <w:bookmarkEnd w:id="118"/>
    <w:bookmarkStart w:id="119" w:name="X1c2ea8d86c4f45404ae3647941d3499fe8305c9"/>
    <w:p>
      <w:pPr>
        <w:pStyle w:val="Heading3"/>
        <w:bidi/>
      </w:pPr>
      <w:r>
        <w:rPr>
          <w:b/>
          <w:sz w:val="32"/>
          <w:rtl/>
        </w:rPr>
        <w:t xml:space="preserve">المطلب الخامس: محرك التصنيف الذكي (ABC-XYZ Engine)</w:t>
      </w:r>
    </w:p>
    <w:p>
      <w:pPr>
        <w:bidi/>
        <w:spacing w:line="360" w:lineRule="auto"/>
        <w:jc w:val="right"/>
      </w:pPr>
      <w:r>
        <w:rPr>
          <w:rFonts w:ascii="Traditional Arabic" w:hAnsi="Traditional Arabic"/>
          <w:sz w:val="28"/>
          <w:rtl/>
        </w:rPr>
        <w:t xml:space="preserve">يتوج المحرك عمله بدمج بُعدين للتحليل لتقديم استراتيجية تسيير مخصصة لكل صنف:</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البعد المادي (ABC): يصنف الأصناف بناءً على القيمة الاستهلاكية السنوية، حيث يوجه النظام الرقابة الصارمة نحو الفئة A (عالية القيمة).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البعد السلوكي (XYZ): يصنف الأصناف بناءً على معامل التباين () للطلب، حيث يحدد مدى استقرار أو تذبذب الاستهلاك.</w:t>
      </w:r>
      <w:r>
        <w:rPr>
          <w:rFonts w:ascii="Traditional Arabic" w:hAnsi="Traditional Arabic"/>
          <w:sz w:val="28"/>
          <w:rtl/>
        </w:rPr>
        <w:t xml:space="preserve"> </w:t>
      </w:r>
      <w:r>
        <w:rPr>
          <w:rFonts w:ascii="Traditional Arabic" w:hAnsi="Traditional Arabic"/>
          <w:b/>
          <w:bCs/>
          <w:sz w:val="28"/>
          <w:rtl/>
        </w:rPr>
        <w:t xml:space="preserve">ينتج عن هذا الدمج</w:t>
      </w:r>
      <w:r>
        <w:rPr>
          <w:rFonts w:ascii="Traditional Arabic" w:hAnsi="Traditional Arabic"/>
          <w:b/>
          <w:bCs/>
          <w:sz w:val="28"/>
          <w:rtl/>
        </w:rPr>
        <w:t xml:space="preserve"> </w:t>
      </w:r>
      <w:r>
        <w:rPr>
          <w:rFonts w:ascii="Traditional Arabic" w:hAnsi="Traditional Arabic"/>
          <w:b/>
          <w:bCs/>
          <w:sz w:val="28"/>
          <w:rtl/>
        </w:rPr>
        <w:t xml:space="preserve">“مصفوفة قرار”</w:t>
      </w:r>
      <w:r>
        <w:rPr>
          <w:rFonts w:ascii="Traditional Arabic" w:hAnsi="Traditional Arabic"/>
          <w:b/>
          <w:bCs/>
          <w:sz w:val="28"/>
          <w:rtl/>
        </w:rPr>
        <w:t xml:space="preserve"> </w:t>
      </w:r>
      <w:r>
        <w:rPr>
          <w:rFonts w:ascii="Traditional Arabic" w:hAnsi="Traditional Arabic"/>
          <w:b/>
          <w:bCs/>
          <w:sz w:val="28"/>
          <w:rtl/>
        </w:rPr>
        <w:t xml:space="preserve">توجه النظام لاتخاذ إجراءات متباينة؛ فالأصناف من فئة AX تخضع لرقابة يومية صارمة، بينما تُدار أصناف CZ بمرونة أكبر، مما يحقق التوازن الأمثل بين</w:t>
      </w:r>
      <w:r>
        <w:rPr>
          <w:rFonts w:ascii="Traditional Arabic" w:hAnsi="Traditional Arabic"/>
          <w:b/>
          <w:bCs/>
          <w:sz w:val="28"/>
          <w:rtl/>
        </w:rPr>
        <w:t xml:space="preserve"> </w:t>
      </w:r>
      <w:r>
        <w:rPr>
          <w:rFonts w:ascii="Traditional Arabic" w:hAnsi="Traditional Arabic"/>
          <w:b/>
          <w:bCs/>
          <w:sz w:val="28"/>
          <w:rtl/>
        </w:rPr>
        <w:t xml:space="preserve">“جهد الرقابة”</w:t>
      </w:r>
      <w:r>
        <w:rPr>
          <w:rFonts w:ascii="Traditional Arabic" w:hAnsi="Traditional Arabic"/>
          <w:b/>
          <w:bCs/>
          <w:sz w:val="28"/>
          <w:rtl/>
        </w:rPr>
        <w:t xml:space="preserve"> </w:t>
      </w:r>
      <w:r>
        <w:rPr>
          <w:rFonts w:ascii="Traditional Arabic" w:hAnsi="Traditional Arabic"/>
          <w:b/>
          <w:bCs/>
          <w:sz w:val="28"/>
          <w:rtl/>
        </w:rPr>
        <w:t xml:space="preserve">و”قيمة المخزون”.</w:t>
      </w:r>
    </w:p>
    <w:bookmarkEnd w:id="119"/>
    <w:bookmarkEnd w:id="120"/>
    <w:bookmarkStart w:id="130" w:name="Xc6e18aa2af3011a1373a5d4857df80b39c98584"/>
    <w:p>
      <w:pPr>
        <w:pStyle w:val="Heading2"/>
        <w:bidi/>
      </w:pPr>
      <w:r>
        <w:rPr>
          <w:b/>
          <w:sz w:val="36"/>
          <w:rtl/>
        </w:rPr>
        <w:t xml:space="preserve">المبحث الرابع: هندسة واجهة المستخدم والأصالة الابتكارية</w:t>
      </w:r>
    </w:p>
    <w:p>
      <w:pPr>
        <w:bidi/>
        <w:spacing w:line="360" w:lineRule="auto"/>
        <w:jc w:val="right"/>
      </w:pPr>
      <w:r>
        <w:rPr>
          <w:rFonts w:ascii="Traditional Arabic" w:hAnsi="Traditional Arabic"/>
          <w:sz w:val="28"/>
          <w:rtl/>
        </w:rPr>
        <w:t xml:space="preserve">لا تقتصر قيمة نظام دعم القرار على قوته الحسابية فحسب، بل تمتد لتشمل كيفية عرض هذه البيانات للمستخدم النهائي. فقد تم تصميم الواجهة وفق مبادئ</w:t>
      </w:r>
      <w:r>
        <w:rPr>
          <w:rFonts w:ascii="Traditional Arabic" w:hAnsi="Traditional Arabic"/>
          <w:sz w:val="28"/>
          <w:rtl/>
        </w:rPr>
        <w:t xml:space="preserve"> </w:t>
      </w:r>
      <w:r>
        <w:rPr>
          <w:rFonts w:ascii="Traditional Arabic" w:hAnsi="Traditional Arabic"/>
          <w:sz w:val="28"/>
          <w:rtl/>
        </w:rPr>
        <w:t xml:space="preserve">“تجربة المستخدم”</w:t>
      </w:r>
      <w:r>
        <w:rPr>
          <w:rFonts w:ascii="Traditional Arabic" w:hAnsi="Traditional Arabic"/>
          <w:sz w:val="28"/>
          <w:rtl/>
        </w:rPr>
        <w:t xml:space="preserve"> </w:t>
      </w:r>
      <w:r>
        <w:rPr>
          <w:rFonts w:ascii="Traditional Arabic" w:hAnsi="Traditional Arabic"/>
          <w:sz w:val="28"/>
          <w:rtl/>
        </w:rPr>
        <w:t xml:space="preserve">(UX Design) لضمان تحويل البيانات المعقدة إلى مؤشرات بصرية بسيطة تدعم اتخاذ القرار السريع والدقيق.</w:t>
      </w:r>
    </w:p>
    <w:bookmarkStart w:id="121" w:name="Xdcbed4a529f139898c76cbbdb64bb8c1a119adb"/>
    <w:p>
      <w:pPr>
        <w:pStyle w:val="Heading3"/>
        <w:bidi/>
      </w:pPr>
      <w:r>
        <w:rPr>
          <w:b/>
          <w:sz w:val="32"/>
          <w:rtl/>
        </w:rPr>
        <w:t xml:space="preserve">المطلب الأول: الهندسة البنيوية لأوراق العمل (Sheet Architecture)</w:t>
      </w:r>
    </w:p>
    <w:p>
      <w:pPr>
        <w:bidi/>
        <w:spacing w:line="360" w:lineRule="auto"/>
        <w:jc w:val="right"/>
      </w:pPr>
      <w:r>
        <w:rPr>
          <w:rFonts w:ascii="Traditional Arabic" w:hAnsi="Traditional Arabic"/>
          <w:sz w:val="28"/>
          <w:rtl/>
        </w:rPr>
        <w:t xml:space="preserve">تم تصميم هيكلية النظام بناءً على</w:t>
      </w:r>
      <w:r>
        <w:rPr>
          <w:rFonts w:ascii="Traditional Arabic" w:hAnsi="Traditional Arabic"/>
          <w:sz w:val="28"/>
          <w:rtl/>
        </w:rPr>
        <w:t xml:space="preserve"> </w:t>
      </w:r>
      <w:r>
        <w:rPr>
          <w:rFonts w:ascii="Traditional Arabic" w:hAnsi="Traditional Arabic"/>
          <w:sz w:val="28"/>
          <w:rtl/>
        </w:rPr>
        <w:t xml:space="preserve">“خريطة تدفق الوظائف”</w:t>
      </w:r>
      <w:r>
        <w:rPr>
          <w:rFonts w:ascii="Traditional Arabic" w:hAnsi="Traditional Arabic"/>
          <w:sz w:val="28"/>
          <w:rtl/>
        </w:rPr>
        <w:t xml:space="preserve">، حيث تمثل كل ورقة عمل مرحلة محددة من دورة حياة المادة المخزنية، مما يضمن تنظيماً منطقياً يمنع تشتت البيانات:</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واجهة الانطلاق (ACCUEIL): تمثل</w:t>
      </w:r>
      <w:r>
        <w:rPr>
          <w:rFonts w:ascii="Traditional Arabic" w:hAnsi="Traditional Arabic"/>
          <w:b/>
          <w:bCs/>
          <w:sz w:val="28"/>
          <w:rtl/>
        </w:rPr>
        <w:t xml:space="preserve"> </w:t>
      </w:r>
      <w:r>
        <w:rPr>
          <w:rFonts w:ascii="Traditional Arabic" w:hAnsi="Traditional Arabic"/>
          <w:b/>
          <w:bCs/>
          <w:sz w:val="28"/>
          <w:rtl/>
        </w:rPr>
        <w:t xml:space="preserve">“مركز القيادة”</w:t>
      </w:r>
      <w:r>
        <w:rPr>
          <w:rFonts w:ascii="Traditional Arabic" w:hAnsi="Traditional Arabic"/>
          <w:b/>
          <w:bCs/>
          <w:sz w:val="28"/>
          <w:rtl/>
        </w:rPr>
        <w:t xml:space="preserve"> </w:t>
      </w:r>
      <w:r>
        <w:rPr>
          <w:rFonts w:ascii="Traditional Arabic" w:hAnsi="Traditional Arabic"/>
          <w:b/>
          <w:bCs/>
          <w:sz w:val="28"/>
          <w:rtl/>
        </w:rPr>
        <w:t xml:space="preserve">الذي يوفر وصولاً سريعاً لكافة وظائف النظام وملخصات تنفيذية فورية.</w:t>
      </w:r>
      <w:r>
        <w:rPr>
          <w:rFonts w:ascii="Traditional Arabic" w:hAnsi="Traditional Arabic"/>
          <w:sz w:val="28"/>
          <w:rtl/>
        </w:rPr>
        <w:t xml:space="preserve"> </w:t>
      </w:r>
      <w:r>
        <w:rPr>
          <w:rFonts w:ascii="Traditional Arabic" w:hAnsi="Traditional Arabic"/>
          <w:sz w:val="28"/>
          <w:rtl/>
        </w:rPr>
        <w:t xml:space="preserve">- **قاعدة البيانات المركزية (ARTICLES): المستودع الرقمي لكافة بيانات الأصناف، حيث يتم تخزين الأكواد، الأسماء، والمؤشرات الحسابية (Q*, ROP, SS) التي يغذيها محرك الـ VBA.</w:t>
      </w:r>
      <w:r>
        <w:rPr>
          <w:rFonts w:ascii="Traditional Arabic" w:hAnsi="Traditional Arabic"/>
          <w:b/>
          <w:bCs/>
          <w:sz w:val="28"/>
          <w:rtl/>
        </w:rPr>
        <w:t xml:space="preserve"> </w:t>
      </w:r>
      <w:r>
        <w:rPr>
          <w:rFonts w:ascii="Traditional Arabic" w:hAnsi="Traditional Arabic"/>
          <w:b/>
          <w:bCs/>
          <w:sz w:val="28"/>
          <w:rtl/>
        </w:rPr>
        <w:t xml:space="preserve">-</w:t>
      </w:r>
      <w:r>
        <w:rPr>
          <w:rFonts w:ascii="Traditional Arabic" w:hAnsi="Traditional Arabic"/>
          <w:b/>
          <w:bCs/>
          <w:sz w:val="28"/>
          <w:rtl/>
        </w:rPr>
        <w:t xml:space="preserve"> </w:t>
      </w:r>
      <w:r>
        <w:rPr>
          <w:rFonts w:ascii="Traditional Arabic" w:hAnsi="Traditional Arabic"/>
          <w:sz w:val="28"/>
          <w:rtl/>
        </w:rPr>
        <w:t xml:space="preserve">سجل الحركات الرقمي (MOUVEMENTS): يمثل</w:t>
      </w:r>
      <w:r>
        <w:rPr>
          <w:rFonts w:ascii="Traditional Arabic" w:hAnsi="Traditional Arabic"/>
          <w:sz w:val="28"/>
          <w:rtl/>
        </w:rPr>
        <w:t xml:space="preserve"> </w:t>
      </w:r>
      <w:r>
        <w:rPr>
          <w:rFonts w:ascii="Traditional Arabic" w:hAnsi="Traditional Arabic"/>
          <w:sz w:val="28"/>
          <w:rtl/>
        </w:rPr>
        <w:t xml:space="preserve">“الذاكرة التاريخية”</w:t>
      </w:r>
      <w:r>
        <w:rPr>
          <w:rFonts w:ascii="Traditional Arabic" w:hAnsi="Traditional Arabic"/>
          <w:sz w:val="28"/>
          <w:rtl/>
        </w:rPr>
        <w:t xml:space="preserve"> </w:t>
      </w:r>
      <w:r>
        <w:rPr>
          <w:rFonts w:ascii="Traditional Arabic" w:hAnsi="Traditional Arabic"/>
          <w:sz w:val="28"/>
          <w:rtl/>
        </w:rPr>
        <w:t xml:space="preserve">للنظام، حيث تُسجَّل كافة التدفقات الواردة والصادرة كـ Audit Trail غير قابل للتعديل.</w:t>
      </w:r>
      <w:r>
        <w:rPr>
          <w:rFonts w:ascii="Traditional Arabic" w:hAnsi="Traditional Arabic"/>
          <w:b/>
          <w:bCs/>
          <w:sz w:val="28"/>
          <w:rtl/>
        </w:rPr>
        <w:t xml:space="preserve"> </w:t>
      </w:r>
      <w:r>
        <w:rPr>
          <w:rFonts w:ascii="Traditional Arabic" w:hAnsi="Traditional Arabic"/>
          <w:b/>
          <w:bCs/>
          <w:sz w:val="28"/>
          <w:rtl/>
        </w:rPr>
        <w:t xml:space="preserve">-</w:t>
      </w:r>
      <w:r>
        <w:rPr>
          <w:rFonts w:ascii="Traditional Arabic" w:hAnsi="Traditional Arabic"/>
          <w:b/>
          <w:bCs/>
          <w:sz w:val="28"/>
          <w:rtl/>
        </w:rPr>
        <w:t xml:space="preserve"> </w:t>
      </w:r>
      <w:r>
        <w:rPr>
          <w:rFonts w:ascii="Traditional Arabic" w:hAnsi="Traditional Arabic"/>
          <w:sz w:val="28"/>
          <w:rtl/>
        </w:rPr>
        <w:t xml:space="preserve">لوحة القيادة الاستراتيجية (TABLEAU DE BORD): تحول البيانات الخام إلى رؤى بصرية عبر رسوم بيانية ومؤشرات أداء (KPIs) تتيح للمسؤول مراقبة حالة المخزن في ثوانٍ.</w:t>
      </w:r>
      <w:r>
        <w:rPr>
          <w:rFonts w:ascii="Traditional Arabic" w:hAnsi="Traditional Arabic"/>
          <w:b/>
          <w:bCs/>
          <w:sz w:val="28"/>
          <w:rtl/>
        </w:rPr>
        <w:t xml:space="preserve"> </w:t>
      </w:r>
      <w:r>
        <w:rPr>
          <w:rFonts w:ascii="Traditional Arabic" w:hAnsi="Traditional Arabic"/>
          <w:b/>
          <w:bCs/>
          <w:sz w:val="28"/>
          <w:rtl/>
        </w:rPr>
        <w:t xml:space="preserve">-</w:t>
      </w:r>
      <w:r>
        <w:rPr>
          <w:rFonts w:ascii="Traditional Arabic" w:hAnsi="Traditional Arabic"/>
          <w:b/>
          <w:bCs/>
          <w:sz w:val="28"/>
          <w:rtl/>
        </w:rPr>
        <w:t xml:space="preserve"> </w:t>
      </w:r>
      <w:r>
        <w:rPr>
          <w:rFonts w:ascii="Traditional Arabic" w:hAnsi="Traditional Arabic"/>
          <w:sz w:val="28"/>
          <w:rtl/>
        </w:rPr>
        <w:t xml:space="preserve">وحدة الإعدادات (PARAMETRES): تمنح النظام مرونة عالية عبر السماح بتعديل الثوابت (مثل تكلفة الطلب ومعدل الاحتفاظ) دون الحاجة لتعديل الكود البرمجي. وتجدر الإشارة إلى أن جميع الأسعار المُدرجة في هذه الوحدة هي أسعار صافية خالية من الرسم على القيمة المضافة، انسجاماً مع التعليمة رقم 09-2018 التي تُعفي مؤسسات التربية الوطنية من TVA في مشترياتها التربوية.**</w:t>
      </w:r>
    </w:p>
    <w:bookmarkEnd w:id="121"/>
    <w:bookmarkStart w:id="122" w:name="Xc3e868391841f7562f5d5b2b3c4438a8091e2eb"/>
    <w:p>
      <w:pPr>
        <w:pStyle w:val="Heading3"/>
        <w:bidi/>
      </w:pPr>
      <w:r>
        <w:rPr>
          <w:b/>
          <w:sz w:val="32"/>
          <w:rtl/>
        </w:rPr>
        <w:t xml:space="preserve">المطلب الثاني: نظام التنبيه اللوني والذكاء البصري</w:t>
      </w:r>
    </w:p>
    <w:p>
      <w:pPr>
        <w:bidi/>
        <w:spacing w:line="360" w:lineRule="auto"/>
        <w:jc w:val="right"/>
      </w:pPr>
      <w:r>
        <w:rPr>
          <w:rFonts w:ascii="Traditional Arabic" w:hAnsi="Traditional Arabic"/>
          <w:sz w:val="28"/>
          <w:rtl/>
        </w:rPr>
        <w:t xml:space="preserve">اعتمد النظام لغة بصرية فورية تعتمد على</w:t>
      </w:r>
      <w:r>
        <w:rPr>
          <w:rFonts w:ascii="Traditional Arabic" w:hAnsi="Traditional Arabic"/>
          <w:sz w:val="28"/>
          <w:rtl/>
        </w:rPr>
        <w:t xml:space="preserve"> </w:t>
      </w:r>
      <w:r>
        <w:rPr>
          <w:rFonts w:ascii="Traditional Arabic" w:hAnsi="Traditional Arabic"/>
          <w:sz w:val="28"/>
          <w:rtl/>
        </w:rPr>
        <w:t xml:space="preserve">“التدرج اللوني الوظيفي”</w:t>
      </w:r>
      <w:r>
        <w:rPr>
          <w:rFonts w:ascii="Traditional Arabic" w:hAnsi="Traditional Arabic"/>
          <w:sz w:val="28"/>
          <w:rtl/>
        </w:rPr>
        <w:t xml:space="preserve"> </w:t>
      </w:r>
      <w:r>
        <w:rPr>
          <w:rFonts w:ascii="Traditional Arabic" w:hAnsi="Traditional Arabic"/>
          <w:sz w:val="28"/>
          <w:rtl/>
        </w:rPr>
        <w:t xml:space="preserve">(Chromatic Logic)، وهي تقنية تهدف إلى تقليل الجهد الإدراكي للمستخدم وتحويل الرقابة من عملية</w:t>
      </w:r>
      <w:r>
        <w:rPr>
          <w:rFonts w:ascii="Traditional Arabic" w:hAnsi="Traditional Arabic"/>
          <w:sz w:val="28"/>
          <w:rtl/>
        </w:rPr>
        <w:t xml:space="preserve"> </w:t>
      </w:r>
      <w:r>
        <w:rPr>
          <w:rFonts w:ascii="Traditional Arabic" w:hAnsi="Traditional Arabic"/>
          <w:sz w:val="28"/>
          <w:rtl/>
        </w:rPr>
        <w:t xml:space="preserve">“بحث وتدقيق”</w:t>
      </w:r>
      <w:r>
        <w:rPr>
          <w:rFonts w:ascii="Traditional Arabic" w:hAnsi="Traditional Arabic"/>
          <w:sz w:val="28"/>
          <w:rtl/>
        </w:rPr>
        <w:t xml:space="preserve"> </w:t>
      </w:r>
      <w:r>
        <w:rPr>
          <w:rFonts w:ascii="Traditional Arabic" w:hAnsi="Traditional Arabic"/>
          <w:sz w:val="28"/>
          <w:rtl/>
        </w:rPr>
        <w:t xml:space="preserve">إلى عملية</w:t>
      </w:r>
      <w:r>
        <w:rPr>
          <w:rFonts w:ascii="Traditional Arabic" w:hAnsi="Traditional Arabic"/>
          <w:sz w:val="28"/>
          <w:rtl/>
        </w:rPr>
        <w:t xml:space="preserve"> </w:t>
      </w:r>
      <w:r>
        <w:rPr>
          <w:rFonts w:ascii="Traditional Arabic" w:hAnsi="Traditional Arabic"/>
          <w:sz w:val="28"/>
          <w:rtl/>
        </w:rPr>
        <w:t xml:space="preserve">“رؤية واستجابة”</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المستوى الأخضر (Safe Zone): يُفعل عندما يكون الرصيد أعلى من نقطة إعادة الطلب بمساحة آمنة، مما يشير إلى استقرار الوضع اللوجيستي.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المستوى الأصفر (Warning Zone): يُفعل لحظة ملامسة الرصيد لقيمة ROP، وهو</w:t>
      </w:r>
      <w:r>
        <w:rPr>
          <w:rFonts w:ascii="Traditional Arabic" w:hAnsi="Traditional Arabic"/>
          <w:b/>
          <w:bCs/>
          <w:sz w:val="28"/>
          <w:rtl/>
        </w:rPr>
        <w:t xml:space="preserve"> </w:t>
      </w:r>
      <w:r>
        <w:rPr>
          <w:rFonts w:ascii="Traditional Arabic" w:hAnsi="Traditional Arabic"/>
          <w:b/>
          <w:bCs/>
          <w:sz w:val="28"/>
          <w:rtl/>
        </w:rPr>
        <w:t xml:space="preserve">“إنذار مبكر”</w:t>
      </w:r>
      <w:r>
        <w:rPr>
          <w:rFonts w:ascii="Traditional Arabic" w:hAnsi="Traditional Arabic"/>
          <w:b/>
          <w:bCs/>
          <w:sz w:val="28"/>
          <w:rtl/>
        </w:rPr>
        <w:t xml:space="preserve"> </w:t>
      </w:r>
      <w:r>
        <w:rPr>
          <w:rFonts w:ascii="Traditional Arabic" w:hAnsi="Traditional Arabic"/>
          <w:b/>
          <w:bCs/>
          <w:sz w:val="28"/>
          <w:rtl/>
        </w:rPr>
        <w:t xml:space="preserve">يستوجب البدء في إجراءات التموين لمنع الوصول إلى مرحلة الخطر.</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المستوى الأحمر (Danger Zone): يُفعل عند اختراق مخزون الأمان (SS) أو الوصول إلى حالة النفاد، مما يتطلب تدخلاً فورياً وعاجلاً لضمان عدم توقف المرفق التربوي.</w:t>
      </w:r>
    </w:p>
    <w:bookmarkEnd w:id="122"/>
    <w:bookmarkStart w:id="123" w:name="X197816f32b7b7ef5c9c4cb4d12a6ba19ec348d5"/>
    <w:p>
      <w:pPr>
        <w:pStyle w:val="Heading3"/>
        <w:bidi/>
      </w:pPr>
      <w:r>
        <w:rPr>
          <w:b/>
          <w:sz w:val="32"/>
          <w:rtl/>
        </w:rPr>
        <w:t xml:space="preserve">المطلب الثالث: لوحة القيادة والتحليل الاستراتيجي (Analytics Dashboard)</w:t>
      </w:r>
    </w:p>
    <w:p>
      <w:pPr>
        <w:bidi/>
        <w:spacing w:line="360" w:lineRule="auto"/>
        <w:jc w:val="right"/>
      </w:pPr>
      <w:r>
        <w:rPr>
          <w:rFonts w:ascii="Traditional Arabic" w:hAnsi="Traditional Arabic"/>
          <w:sz w:val="28"/>
          <w:rtl/>
        </w:rPr>
        <w:t xml:space="preserve">تتجاوز لوحة القيادة في النظام وظيفة العرض لتصبح</w:t>
      </w:r>
      <w:r>
        <w:rPr>
          <w:rFonts w:ascii="Traditional Arabic" w:hAnsi="Traditional Arabic"/>
          <w:sz w:val="28"/>
          <w:rtl/>
        </w:rPr>
        <w:t xml:space="preserve"> </w:t>
      </w:r>
      <w:r>
        <w:rPr>
          <w:rFonts w:ascii="Traditional Arabic" w:hAnsi="Traditional Arabic"/>
          <w:sz w:val="28"/>
          <w:rtl/>
        </w:rPr>
        <w:t xml:space="preserve">“أداة تحليلية”</w:t>
      </w:r>
      <w:r>
        <w:rPr>
          <w:rFonts w:ascii="Traditional Arabic" w:hAnsi="Traditional Arabic"/>
          <w:sz w:val="28"/>
          <w:rtl/>
        </w:rPr>
        <w:t xml:space="preserve"> </w:t>
      </w:r>
      <w:r>
        <w:rPr>
          <w:rFonts w:ascii="Traditional Arabic" w:hAnsi="Traditional Arabic"/>
          <w:sz w:val="28"/>
          <w:rtl/>
        </w:rPr>
        <w:t xml:space="preserve">تقوم بتجميع وتلخيص البيانات من كافة الوحدات البرمجية لتوفير رؤية شمولية: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مؤشرات الأداء اللحظية (Real-time KPIs): عرض إجمالي القيمة المالية للمخزون، عدد الأصناف المهددة بالنفاد، ومعدل دوران المخزون العام.</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التحليل الهيكلي (Structural Analysis): توزيع الأصناف وفق مصفوفة ABC-XYZ بصرياً، مما يساعد الإدارة في فهم طبيعة المخزون (استراتيجي، روتيني، أم مخاطر).</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المتابعة الزمنية (Temporal Tracking): توفير ملخصات عن حركة المخزون خلال فترات محددة، مما يدعم عملية تخطيط الميزانية السنوية بناءً على استهلاكات فعلية دقيقة.</w:t>
      </w:r>
    </w:p>
    <w:bookmarkEnd w:id="123"/>
    <w:bookmarkStart w:id="129" w:name="X43f602add9b7058ce87741ac0c8f7096d34eb8c"/>
    <w:p>
      <w:pPr>
        <w:pStyle w:val="Heading3"/>
        <w:bidi/>
      </w:pPr>
      <w:r>
        <w:rPr>
          <w:b/>
          <w:sz w:val="32"/>
          <w:rtl/>
        </w:rPr>
        <w:t xml:space="preserve">المطلب الرابع: المعايير الجمالية والابتكارات الوظيفية</w:t>
      </w:r>
    </w:p>
    <w:p>
      <w:pPr>
        <w:bidi/>
        <w:spacing w:line="360" w:lineRule="auto"/>
        <w:jc w:val="right"/>
      </w:pPr>
      <w:r>
        <w:rPr>
          <w:rFonts w:ascii="Traditional Arabic" w:hAnsi="Traditional Arabic"/>
          <w:sz w:val="28"/>
          <w:rtl/>
        </w:rPr>
        <w:t xml:space="preserve">لضمان احترافية النظام وتوافقه مع معايير البرمجيات الحديثة، تم دمج لمسات تصميمية ووظيفية مبتكرة:</w:t>
      </w:r>
    </w:p>
    <w:bookmarkStart w:id="124" w:name="أولا-الهوية-البصرية-zinc-emerald-theme"/>
    <w:p>
      <w:pPr>
        <w:pStyle w:val="Heading4"/>
        <w:bidi/>
      </w:pPr>
      <w:r>
        <w:rPr>
          <w:rtl/>
        </w:rPr>
        <w:t xml:space="preserve">أولاً: الهوية البصرية (Zinc &amp; Emerald Theme)</w:t>
      </w:r>
    </w:p>
    <w:p>
      <w:pPr>
        <w:bidi/>
        <w:spacing w:line="360" w:lineRule="auto"/>
        <w:jc w:val="right"/>
      </w:pPr>
      <w:r>
        <w:rPr>
          <w:rFonts w:ascii="Traditional Arabic" w:hAnsi="Traditional Arabic"/>
          <w:b/>
          <w:bCs/>
          <w:sz w:val="28"/>
          <w:rtl/>
        </w:rPr>
        <w:t xml:space="preserve">تم اعتماد لوحة ألوان عصرية تعتمد على اللون Zinc (للخلفيات والحدود) لإعطاء طابع من الرصانة والوضوح، واللون Emerald (للأزرار والمؤشرات الإيجابية) لإضفاء لمسة من الحيوية والاحترافية، مما يقلل من إجهاد العين أثناء الاستخدام الطويل.</w:t>
      </w:r>
    </w:p>
    <w:bookmarkEnd w:id="124"/>
    <w:bookmarkStart w:id="128" w:name="ثانيا-الميزات-الابتكارية-المدمجة"/>
    <w:p>
      <w:pPr>
        <w:pStyle w:val="Heading4"/>
        <w:bidi/>
      </w:pPr>
      <w:r>
        <w:rPr>
          <w:rtl/>
        </w:rPr>
        <w:t xml:space="preserve">ثانياً: الميزات الابتكارية المدمجة</w:t>
      </w:r>
    </w:p>
    <w:p>
      <w:pPr>
        <w:bidi/>
        <w:spacing w:line="360" w:lineRule="auto"/>
        <w:jc w:val="right"/>
      </w:pPr>
      <w:r>
        <w:rPr>
          <w:rFonts w:ascii="Traditional Arabic" w:hAnsi="Traditional Arabic"/>
          <w:b/>
          <w:bCs/>
          <w:sz w:val="28"/>
          <w:rtl/>
        </w:rPr>
        <w:t xml:space="preserve">يتميز نظام دعم القرار v13.3 بمجموعة من الإضافات التي ترفعه من مستوى</w:t>
      </w:r>
      <w:r>
        <w:rPr>
          <w:rFonts w:ascii="Traditional Arabic" w:hAnsi="Traditional Arabic"/>
          <w:b/>
          <w:bCs/>
          <w:sz w:val="28"/>
          <w:rtl/>
        </w:rPr>
        <w:t xml:space="preserve"> </w:t>
      </w:r>
      <w:r>
        <w:rPr>
          <w:rFonts w:ascii="Traditional Arabic" w:hAnsi="Traditional Arabic"/>
          <w:b/>
          <w:bCs/>
          <w:sz w:val="28"/>
          <w:rtl/>
        </w:rPr>
        <w:t xml:space="preserve">“جدول بيانات”</w:t>
      </w:r>
      <w:r>
        <w:rPr>
          <w:rFonts w:ascii="Traditional Arabic" w:hAnsi="Traditional Arabic"/>
          <w:b/>
          <w:bCs/>
          <w:sz w:val="28"/>
          <w:rtl/>
        </w:rPr>
        <w:t xml:space="preserve"> </w:t>
      </w:r>
      <w:r>
        <w:rPr>
          <w:rFonts w:ascii="Traditional Arabic" w:hAnsi="Traditional Arabic"/>
          <w:b/>
          <w:bCs/>
          <w:sz w:val="28"/>
          <w:rtl/>
        </w:rPr>
        <w:t xml:space="preserve">إلى</w:t>
      </w:r>
      <w:r>
        <w:rPr>
          <w:rFonts w:ascii="Traditional Arabic" w:hAnsi="Traditional Arabic"/>
          <w:b/>
          <w:bCs/>
          <w:sz w:val="28"/>
          <w:rtl/>
        </w:rPr>
        <w:t xml:space="preserve"> </w:t>
      </w:r>
      <w:r>
        <w:rPr>
          <w:rFonts w:ascii="Traditional Arabic" w:hAnsi="Traditional Arabic"/>
          <w:b/>
          <w:bCs/>
          <w:sz w:val="28"/>
          <w:rtl/>
        </w:rPr>
        <w:t xml:space="preserve">“نظام خبير”</w:t>
      </w:r>
      <w:r>
        <w:rPr>
          <w:rFonts w:ascii="Traditional Arabic" w:hAnsi="Traditional Arabic"/>
          <w:b/>
          <w:bCs/>
          <w:sz w:val="28"/>
          <w:rtl/>
        </w:rPr>
        <w:t xml:space="preserve">:</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التقارير الآلية: توليد وثائق إدارية رسمية (PDF) بضغطة زر، مما يلغي ساعات من العمل اليدوي.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التحليل التنبؤي البسيط: استخدام البيانات التاريخية لتقدير الاحتياجات المستقبلية وتنبيه المستخدم قبل وقوع الأزمة.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واجهة تفاعلية بديهية: تصميم يوجه المستخدم من</w:t>
      </w:r>
      <w:r>
        <w:rPr>
          <w:rFonts w:ascii="Traditional Arabic" w:hAnsi="Traditional Arabic"/>
          <w:b/>
          <w:bCs/>
          <w:sz w:val="28"/>
          <w:rtl/>
        </w:rPr>
        <w:t xml:space="preserve"> </w:t>
      </w:r>
      <w:r>
        <w:rPr>
          <w:rFonts w:ascii="Traditional Arabic" w:hAnsi="Traditional Arabic"/>
          <w:b/>
          <w:bCs/>
          <w:sz w:val="28"/>
          <w:rtl/>
        </w:rPr>
        <w:t xml:space="preserve">“العام”</w:t>
      </w:r>
      <w:r>
        <w:rPr>
          <w:rFonts w:ascii="Traditional Arabic" w:hAnsi="Traditional Arabic"/>
          <w:b/>
          <w:bCs/>
          <w:sz w:val="28"/>
          <w:rtl/>
        </w:rPr>
        <w:t xml:space="preserve"> </w:t>
      </w:r>
      <w:r>
        <w:rPr>
          <w:rFonts w:ascii="Traditional Arabic" w:hAnsi="Traditional Arabic"/>
          <w:b/>
          <w:bCs/>
          <w:sz w:val="28"/>
          <w:rtl/>
        </w:rPr>
        <w:t xml:space="preserve">(لوحة القيادة) إلى</w:t>
      </w:r>
      <w:r>
        <w:rPr>
          <w:rFonts w:ascii="Traditional Arabic" w:hAnsi="Traditional Arabic"/>
          <w:b/>
          <w:bCs/>
          <w:sz w:val="28"/>
          <w:rtl/>
        </w:rPr>
        <w:t xml:space="preserve"> </w:t>
      </w:r>
      <w:r>
        <w:rPr>
          <w:rFonts w:ascii="Traditional Arabic" w:hAnsi="Traditional Arabic"/>
          <w:b/>
          <w:bCs/>
          <w:sz w:val="28"/>
          <w:rtl/>
        </w:rPr>
        <w:t xml:space="preserve">“الخاص”</w:t>
      </w:r>
      <w:r>
        <w:rPr>
          <w:rFonts w:ascii="Traditional Arabic" w:hAnsi="Traditional Arabic"/>
          <w:b/>
          <w:bCs/>
          <w:sz w:val="28"/>
          <w:rtl/>
        </w:rPr>
        <w:t xml:space="preserve"> </w:t>
      </w:r>
      <w:r>
        <w:rPr>
          <w:rFonts w:ascii="Traditional Arabic" w:hAnsi="Traditional Arabic"/>
          <w:b/>
          <w:bCs/>
          <w:sz w:val="28"/>
          <w:rtl/>
        </w:rPr>
        <w:t xml:space="preserve">(تفاصيل الصنف) بسلاسة تامة.</w:t>
      </w:r>
      <w:r>
        <w:rPr>
          <w:rFonts w:ascii="Traditional Arabic" w:hAnsi="Traditional Arabic"/>
          <w:sz w:val="28"/>
          <w:rtl/>
        </w:rPr>
        <w:t xml:space="preserve"> </w:t>
      </w:r>
      <w:r>
        <w:rPr>
          <w:rFonts w:ascii="Traditional Arabic" w:hAnsi="Traditional Arabic"/>
          <w:sz w:val="28"/>
          <w:rtl/>
        </w:rPr>
        <w:t xml:space="preserve">بهذا التصميم، يكتمل بناء النظام ليصبح أداة رقمية متكاملة تدمج بين دقة الرياضيات، وقوة البرمجة، وبساطة العرض، مما يحقق الهدف النهائي من الدراسة وهو</w:t>
      </w:r>
      <w:r>
        <w:rPr>
          <w:rFonts w:ascii="Traditional Arabic" w:hAnsi="Traditional Arabic"/>
          <w:sz w:val="28"/>
          <w:rtl/>
        </w:rPr>
        <w:t xml:space="preserve"> </w:t>
      </w:r>
      <w:r>
        <w:rPr>
          <w:rFonts w:ascii="Traditional Arabic" w:hAnsi="Traditional Arabic"/>
          <w:sz w:val="28"/>
          <w:rtl/>
        </w:rPr>
        <w:t xml:space="preserve">“رقمنة التسيير اللوجيستي في القطاع التربوي”</w:t>
      </w:r>
      <w:r>
        <w:rPr>
          <w:rFonts w:ascii="Traditional Arabic" w:hAnsi="Traditional Arabic"/>
          <w:sz w:val="28"/>
          <w:rtl/>
        </w:rPr>
        <w:t xml:space="preserve">. الكود المصدري الكامل للنظام متاح في المستودع الرسمي</w:t>
      </w:r>
      <w:r>
        <w:rPr>
          <w:rFonts w:ascii="Traditional Arabic" w:hAnsi="Traditional Arabic"/>
          <w:sz w:val="28"/>
          <w:rtl/>
        </w:rPr>
        <w:t xml:space="preserve"> </w:t>
      </w:r>
      <w:r>
        <w:rPr>
          <w:rStyle w:val="FootnoteReference"/>
          <w:rFonts w:ascii="Traditional Arabic" w:hAnsi="Traditional Arabic"/>
          <w:sz w:val="28"/>
        </w:rPr>
        <w:footnoteReference w:id="125"/>
      </w:r>
      <w:r>
        <w:rPr>
          <w:rFonts w:ascii="Traditional Arabic" w:hAnsi="Traditional Arabic"/>
          <w:sz w:val="28"/>
          <w:rtl/>
        </w:rPr>
        <w:t xml:space="preserve"> </w:t>
      </w:r>
      <w:r>
        <w:rPr>
          <w:rFonts w:ascii="Traditional Arabic" w:hAnsi="Traditional Arabic"/>
          <w:sz w:val="28"/>
          <w:rtl/>
        </w:rPr>
        <w:t xml:space="preserve">— نهاية الفصل الثالث —</w:t>
      </w:r>
      <w:r>
        <w:rPr>
          <w:rFonts w:ascii="Traditional Arabic" w:hAnsi="Traditional Arabic"/>
          <w:sz w:val="28"/>
          <w:rtl/>
        </w:rPr>
        <w:t xml:space="preserve"> </w:t>
      </w:r>
      <w:r>
        <w:rPr>
          <w:rStyle w:val="FootnoteReference"/>
          <w:rFonts w:ascii="Traditional Arabic" w:hAnsi="Traditional Arabic"/>
          <w:sz w:val="28"/>
        </w:rPr>
        <w:footnoteReference w:id="126"/>
      </w:r>
      <w:r>
        <w:rPr>
          <w:rFonts w:ascii="Traditional Arabic" w:hAnsi="Traditional Arabic"/>
          <w:sz w:val="28"/>
          <w:rtl/>
        </w:rPr>
        <w:t xml:space="preserve"> </w:t>
      </w:r>
      <w:r>
        <w:rPr>
          <w:rStyle w:val="FootnoteReference"/>
          <w:rFonts w:ascii="Traditional Arabic" w:hAnsi="Traditional Arabic"/>
          <w:sz w:val="28"/>
        </w:rPr>
        <w:footnoteReference w:id="127"/>
      </w:r>
    </w:p>
    <w:bookmarkEnd w:id="128"/>
    <w:bookmarkEnd w:id="129"/>
    <w:bookmarkEnd w:id="130"/>
    <w:bookmarkEnd w:id="131"/>
    <w:bookmarkStart w:id="144" w:name="الفصل-الرابع-التجريب-والتحقق-من-النتائج"/>
    <w:p>
      <w:pPr>
        <w:pStyle w:val="Heading1"/>
        <w:bidi/>
      </w:pPr>
      <w:r>
        <w:rPr>
          <w:b/>
          <w:sz w:val="44"/>
          <w:rtl/>
        </w:rPr>
        <w:t xml:space="preserve">الفصل الرابع: التجريب والتحقق من النتائج</w:t>
      </w:r>
    </w:p>
    <w:bookmarkStart w:id="139" w:name="X772d01764d2cdf10730319436c2b610a5dde5fe"/>
    <w:p>
      <w:pPr>
        <w:pStyle w:val="Heading2"/>
        <w:bidi/>
      </w:pPr>
      <w:r>
        <w:rPr>
          <w:b/>
          <w:sz w:val="36"/>
          <w:rtl/>
        </w:rPr>
        <w:t xml:space="preserve">المبحث الأول: نتائج التجريب والتحقق من صحة الفرضيات</w:t>
      </w:r>
    </w:p>
    <w:bookmarkStart w:id="132" w:name="مقارنة-مؤشرات-الأداء-قبل-وبعد-التطبيق"/>
    <w:p>
      <w:pPr>
        <w:pStyle w:val="Heading3"/>
        <w:bidi/>
      </w:pPr>
      <w:r>
        <w:rPr>
          <w:b/>
          <w:sz w:val="32"/>
          <w:rtl/>
        </w:rPr>
        <w:t xml:space="preserve">1. مقارنة مؤشرات الأداء قبل وبعد التطبيق</w:t>
      </w:r>
    </w:p>
    <w:p>
      <w:pPr>
        <w:bidi/>
        <w:spacing w:line="360" w:lineRule="auto"/>
        <w:jc w:val="right"/>
      </w:pPr>
      <w:r>
        <w:rPr>
          <w:rFonts w:ascii="Traditional Arabic" w:hAnsi="Traditional Arabic"/>
          <w:b/>
          <w:bCs/>
          <w:sz w:val="28"/>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الجدول رقم 06: مقارنة مؤشرات الأداء اللوجستي قبل وبعد تطبيق نظام دعم القرار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084910" w:type="dxa"/>
          </w:tcPr>
          <w:p>
            <w:pPr>
              <w:pStyle w:val="Compact"/>
              <w:bidi/>
            </w:pPr>
            <w:r>
              <w:rPr>
                <w:rtl/>
              </w:rPr>
              <w:t xml:space="preserve">مؤشر الأداء (KPI)</w:t>
            </w:r>
          </w:p>
        </w:tc>
        <w:tc>
          <w:tcPr>
            <w:tcW w:w="1584891" w:type="dxa"/>
          </w:tcPr>
          <w:p>
            <w:pPr>
              <w:pStyle w:val="Compact"/>
              <w:bidi/>
            </w:pPr>
            <w:r>
              <w:rPr>
                <w:rtl/>
              </w:rPr>
              <w:t xml:space="preserve">قبل التطبيق (النظام اليدوي)</w:t>
            </w:r>
          </w:p>
        </w:tc>
        <w:tc>
          <w:tcPr>
            <w:tcW w:w="1516933" w:type="dxa"/>
          </w:tcPr>
          <w:p>
            <w:pPr>
              <w:pStyle w:val="Compact"/>
              <w:bidi/>
            </w:pPr>
            <w:r>
              <w:rPr>
                <w:rtl/>
              </w:rPr>
              <w:t xml:space="preserve">بعد التطبيق (نظام دعم القرار)</w:t>
            </w:r>
          </w:p>
        </w:tc>
        <w:tc>
          <w:tcPr>
            <w:tcW w:w="973264" w:type="dxa"/>
          </w:tcPr>
          <w:p>
            <w:pPr>
              <w:pStyle w:val="Compact"/>
              <w:bidi/>
            </w:pPr>
            <w:r>
              <w:rPr>
                <w:rtl/>
              </w:rPr>
              <w:t xml:space="preserve">نسبة التحسُّن</w:t>
            </w:r>
          </w:p>
        </w:tc>
      </w:tr>
      <w:tr>
        <w:tc>
          <w:tcPr>
            <w:tcW w:w="1084910" w:type="dxa"/>
          </w:tcPr>
          <w:p>
            <w:pPr>
              <w:pStyle w:val="Compact"/>
              <w:bidi/>
            </w:pPr>
            <w:r>
              <w:rPr>
                <w:rtl/>
              </w:rPr>
              <w:t xml:space="preserve">وقت معالجة الطلبية الواحدة</w:t>
            </w:r>
          </w:p>
        </w:tc>
        <w:tc>
          <w:tcPr>
            <w:tcW w:w="1584891" w:type="dxa"/>
          </w:tcPr>
          <w:p>
            <w:pPr>
              <w:pStyle w:val="Compact"/>
              <w:bidi/>
            </w:pPr>
            <w:r>
              <w:rPr>
                <w:rtl/>
              </w:rPr>
              <w:t xml:space="preserve">20 – 30 دقيقة (ورقي متعدد المراحل)</w:t>
            </w:r>
          </w:p>
        </w:tc>
        <w:tc>
          <w:tcPr>
            <w:tcW w:w="1516933" w:type="dxa"/>
          </w:tcPr>
          <w:p>
            <w:pPr>
              <w:pStyle w:val="Compact"/>
              <w:bidi/>
            </w:pPr>
            <w:r>
              <w:rPr>
                <w:rtl/>
              </w:rPr>
              <w:t xml:space="preserve">أقل من 5 ثوانٍ (زر واحد — VBA)</w:t>
            </w:r>
          </w:p>
        </w:tc>
        <w:tc>
          <w:tcPr>
            <w:tcW w:w="973264" w:type="dxa"/>
          </w:tcPr>
          <w:p>
            <w:pPr>
              <w:pStyle w:val="Compact"/>
              <w:bidi/>
            </w:pPr>
            <w:r>
              <w:rPr>
                <w:rtl/>
              </w:rPr>
              <w:t xml:space="preserve">تخفيض 99.7%</w:t>
            </w:r>
          </w:p>
        </w:tc>
      </w:tr>
      <w:tr>
        <w:tc>
          <w:tcPr>
            <w:tcW w:w="1084910" w:type="dxa"/>
          </w:tcPr>
          <w:p>
            <w:pPr>
              <w:pStyle w:val="Compact"/>
              <w:bidi/>
            </w:pPr>
            <w:r>
              <w:rPr>
                <w:rtl/>
              </w:rPr>
              <w:t xml:space="preserve">التنبيه بنقطة إعادة الطلب</w:t>
            </w:r>
          </w:p>
        </w:tc>
        <w:tc>
          <w:tcPr>
            <w:tcW w:w="1584891" w:type="dxa"/>
          </w:tcPr>
          <w:p>
            <w:pPr>
              <w:pStyle w:val="Compact"/>
              <w:bidi/>
            </w:pPr>
            <w:r>
              <w:rPr>
                <w:rtl/>
              </w:rPr>
              <w:t xml:space="preserve">غائب — اكتشاف بالعين المجردة عند النفاد</w:t>
            </w:r>
          </w:p>
        </w:tc>
        <w:tc>
          <w:tcPr>
            <w:tcW w:w="1516933" w:type="dxa"/>
          </w:tcPr>
          <w:p>
            <w:pPr>
              <w:pStyle w:val="Compact"/>
              <w:bidi/>
            </w:pPr>
            <w:r>
              <w:rPr>
                <w:rtl/>
              </w:rPr>
              <w:t xml:space="preserve">تلقائي — تلوين فوري عند الاقتراب من ROP</w:t>
            </w:r>
          </w:p>
        </w:tc>
        <w:tc>
          <w:tcPr>
            <w:tcW w:w="973264" w:type="dxa"/>
          </w:tcPr>
          <w:p>
            <w:pPr>
              <w:pStyle w:val="Compact"/>
              <w:bidi/>
            </w:pPr>
            <w:r>
              <w:rPr>
                <w:rtl/>
              </w:rPr>
              <w:t xml:space="preserve">من صفر إلى 100%</w:t>
            </w:r>
          </w:p>
        </w:tc>
      </w:tr>
      <w:tr>
        <w:tc>
          <w:tcPr>
            <w:tcW w:w="1084910" w:type="dxa"/>
          </w:tcPr>
          <w:p>
            <w:pPr>
              <w:pStyle w:val="Compact"/>
              <w:bidi/>
            </w:pPr>
            <w:r>
              <w:rPr>
                <w:rtl/>
              </w:rPr>
              <w:t xml:space="preserve">مدة إجراء الجرد الفصلي</w:t>
            </w:r>
          </w:p>
        </w:tc>
        <w:tc>
          <w:tcPr>
            <w:tcW w:w="1584891" w:type="dxa"/>
          </w:tcPr>
          <w:p>
            <w:pPr>
              <w:pStyle w:val="Compact"/>
              <w:bidi/>
            </w:pPr>
            <w:r>
              <w:rPr>
                <w:rtl/>
              </w:rPr>
              <w:t xml:space="preserve">7 – 8 ساعات (مطابقة يدوية)</w:t>
            </w:r>
          </w:p>
        </w:tc>
        <w:tc>
          <w:tcPr>
            <w:tcW w:w="1516933" w:type="dxa"/>
          </w:tcPr>
          <w:p>
            <w:pPr>
              <w:pStyle w:val="Compact"/>
              <w:bidi/>
            </w:pPr>
            <w:r>
              <w:rPr>
                <w:rtl/>
              </w:rPr>
              <w:t xml:space="preserve">أقل من 3 ساعات (مقارنة آلية)</w:t>
            </w:r>
          </w:p>
        </w:tc>
        <w:tc>
          <w:tcPr>
            <w:tcW w:w="973264" w:type="dxa"/>
          </w:tcPr>
          <w:p>
            <w:pPr>
              <w:pStyle w:val="Compact"/>
              <w:bidi/>
            </w:pPr>
            <w:r>
              <w:rPr>
                <w:rtl/>
              </w:rPr>
              <w:t xml:space="preserve">تخفيض 60%</w:t>
            </w:r>
          </w:p>
        </w:tc>
      </w:tr>
      <w:tr>
        <w:tc>
          <w:tcPr>
            <w:tcW w:w="1084910" w:type="dxa"/>
          </w:tcPr>
          <w:p>
            <w:pPr>
              <w:pStyle w:val="Compact"/>
              <w:bidi/>
            </w:pPr>
            <w:r>
              <w:rPr>
                <w:rtl/>
              </w:rPr>
              <w:t xml:space="preserve">دقة الرصيد</w:t>
            </w:r>
          </w:p>
        </w:tc>
        <w:tc>
          <w:tcPr>
            <w:tcW w:w="1584891" w:type="dxa"/>
          </w:tcPr>
          <w:p>
            <w:pPr>
              <w:pStyle w:val="Compact"/>
              <w:bidi/>
            </w:pPr>
            <w:r>
              <w:rPr>
                <w:rtl/>
              </w:rPr>
              <w:t xml:space="preserve">خطأ إدخال في 12–15% من العمليات</w:t>
            </w:r>
          </w:p>
        </w:tc>
        <w:tc>
          <w:tcPr>
            <w:tcW w:w="1516933" w:type="dxa"/>
          </w:tcPr>
          <w:p>
            <w:pPr>
              <w:pStyle w:val="Compact"/>
              <w:bidi/>
            </w:pPr>
            <w:r>
              <w:rPr>
                <w:rtl/>
              </w:rPr>
              <w:t xml:space="preserve">التحقق الآلي يمنع الرصيد السالب</w:t>
            </w:r>
          </w:p>
        </w:tc>
        <w:tc>
          <w:tcPr>
            <w:tcW w:w="973264" w:type="dxa"/>
          </w:tcPr>
          <w:p>
            <w:pPr>
              <w:pStyle w:val="Compact"/>
              <w:bidi/>
            </w:pPr>
            <w:r>
              <w:rPr>
                <w:rtl/>
              </w:rPr>
              <w:t xml:space="preserve">تخفيض الأخطاء أكثر من 90%</w:t>
            </w:r>
          </w:p>
        </w:tc>
      </w:tr>
      <w:tr>
        <w:tc>
          <w:tcPr>
            <w:tcW w:w="1084910" w:type="dxa"/>
          </w:tcPr>
          <w:p>
            <w:pPr>
              <w:pStyle w:val="Compact"/>
              <w:bidi/>
            </w:pPr>
            <w:r>
              <w:rPr>
                <w:rtl/>
              </w:rPr>
              <w:t xml:space="preserve">التقارير لرئاسة الإدارة</w:t>
            </w:r>
          </w:p>
        </w:tc>
        <w:tc>
          <w:tcPr>
            <w:tcW w:w="1584891" w:type="dxa"/>
          </w:tcPr>
          <w:p>
            <w:pPr>
              <w:pStyle w:val="Compact"/>
              <w:bidi/>
            </w:pPr>
            <w:r>
              <w:rPr>
                <w:rtl/>
              </w:rPr>
              <w:t xml:space="preserve">يدوية — ساعة أو أكثر</w:t>
            </w:r>
          </w:p>
        </w:tc>
        <w:tc>
          <w:tcPr>
            <w:tcW w:w="1516933" w:type="dxa"/>
          </w:tcPr>
          <w:p>
            <w:pPr>
              <w:pStyle w:val="Compact"/>
              <w:bidi/>
            </w:pPr>
            <w:r>
              <w:rPr>
                <w:rtl/>
              </w:rPr>
              <w:t xml:space="preserve">PDF تلقائي بنقرة واحدة</w:t>
            </w:r>
          </w:p>
        </w:tc>
        <w:tc>
          <w:tcPr>
            <w:tcW w:w="973264" w:type="dxa"/>
          </w:tcPr>
          <w:p>
            <w:pPr>
              <w:pStyle w:val="Compact"/>
              <w:bidi/>
            </w:pPr>
            <w:r>
              <w:rPr>
                <w:rtl/>
              </w:rPr>
              <w:t xml:space="preserve">تخفيض 98%</w:t>
            </w:r>
          </w:p>
        </w:tc>
      </w:tr>
      <w:tr>
        <w:tc>
          <w:tcPr>
            <w:tcW w:w="1084910" w:type="dxa"/>
          </w:tcPr>
          <w:p>
            <w:pPr>
              <w:pStyle w:val="Compact"/>
              <w:bidi/>
            </w:pPr>
            <w:r>
              <w:rPr>
                <w:rtl/>
              </w:rPr>
              <w:t xml:space="preserve">تكلفة التطبيق</w:t>
            </w:r>
          </w:p>
        </w:tc>
        <w:tc>
          <w:tcPr>
            <w:tcW w:w="1584891" w:type="dxa"/>
          </w:tcPr>
          <w:p>
            <w:pPr>
              <w:pStyle w:val="Compact"/>
              <w:bidi/>
            </w:pPr>
            <w:r>
              <w:rPr>
                <w:rtl/>
              </w:rPr>
              <w:t xml:space="preserve">—</w:t>
            </w:r>
          </w:p>
        </w:tc>
        <w:tc>
          <w:tcPr>
            <w:tcW w:w="1516933" w:type="dxa"/>
          </w:tcPr>
          <w:p>
            <w:pPr>
              <w:pStyle w:val="Compact"/>
              <w:bidi/>
            </w:pPr>
            <w:r>
              <w:rPr>
                <w:rtl/>
              </w:rPr>
              <w:t xml:space="preserve">صفر دج (Office موجود مسبقاً)</w:t>
            </w:r>
          </w:p>
        </w:tc>
        <w:tc>
          <w:tcPr>
            <w:tcW w:w="973264" w:type="dxa"/>
          </w:tcPr>
          <w:p>
            <w:pPr>
              <w:pStyle w:val="Compact"/>
              <w:bidi/>
            </w:pPr>
            <w:r>
              <w:rPr>
                <w:rtl/>
              </w:rPr>
              <w:t xml:space="preserve">بدون ميزانية إضافية</w:t>
            </w:r>
          </w:p>
        </w:tc>
      </w:tr>
    </w:tbl>
    <w:p>
      <w:pPr>
        <w:bidi/>
        <w:spacing w:line="360" w:lineRule="auto"/>
        <w:jc w:val="right"/>
      </w:pPr>
      <w:r>
        <w:rPr>
          <w:rFonts w:ascii="Traditional Arabic" w:hAnsi="Traditional Arabic"/>
          <w:sz w:val="28"/>
          <w:rtl/>
        </w:rPr>
        <w:t xml:space="preserve">المصدر: إعداد الطالب — ملاحظة ميدانية مباشرة + قياسات نظام ERP_Académie_v13.3 | فيفري–مارس 2026 تُثبت هذه النتائج أن نظام دعم القرار حقَّق تحسينات ملموسة وقابلة للقياس في كل مؤشرات الأداء التشغيلية المُرصَدة.</w:t>
      </w:r>
    </w:p>
    <w:bookmarkEnd w:id="132"/>
    <w:bookmarkStart w:id="133" w:name="التحقق-من-صحة-فرضيات-البحث"/>
    <w:p>
      <w:pPr>
        <w:pStyle w:val="Heading3"/>
        <w:bidi/>
      </w:pPr>
      <w:r>
        <w:rPr>
          <w:b/>
          <w:sz w:val="32"/>
          <w:rtl/>
        </w:rPr>
        <w:t xml:space="preserve">2. التحقق من صحة فرضيات البحث</w:t>
      </w:r>
    </w:p>
    <w:p>
      <w:pPr>
        <w:bidi/>
        <w:spacing w:line="360" w:lineRule="auto"/>
        <w:jc w:val="right"/>
      </w:pPr>
      <w:r>
        <w:rPr>
          <w:rFonts w:ascii="Traditional Arabic" w:hAnsi="Traditional Arabic"/>
          <w:sz w:val="28"/>
          <w:rtl/>
        </w:rPr>
        <w:t xml:space="preserve">ترتكز المذكرة على فرضيتين صِيغتا في المقدمة العامة كإجابات مؤقتة للتساؤل الرئيسي. يُقيِّم الجدول أدناه صحة كلٍّ منهما في ضوء المعطيات الميدانية:</w:t>
      </w:r>
      <w:r>
        <w:rPr>
          <w:rFonts w:ascii="Traditional Arabic" w:hAnsi="Traditional Arabic"/>
          <w:sz w:val="28"/>
          <w:rtl/>
        </w:rPr>
        <w:t xml:space="preserve"> </w:t>
      </w:r>
      <w:r>
        <w:rPr>
          <w:rFonts w:ascii="Traditional Arabic" w:hAnsi="Traditional Arabic"/>
          <w:b/>
          <w:bCs/>
          <w:sz w:val="28"/>
          <w:rtl/>
        </w:rPr>
        <w:t xml:space="preserve">الجدول رقم 07: — نتائج التحقق من فرضيتَي البحث — الدليل الميداني</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991570" w:type="dxa"/>
          </w:tcPr>
          <w:p>
            <w:pPr>
              <w:pStyle w:val="Compact"/>
              <w:bidi/>
            </w:pPr>
            <w:r>
              <w:rPr>
                <w:rtl/>
              </w:rPr>
              <w:t xml:space="preserve">الفرضية</w:t>
            </w:r>
          </w:p>
        </w:tc>
        <w:tc>
          <w:tcPr>
            <w:tcW w:w="1325806" w:type="dxa"/>
          </w:tcPr>
          <w:p>
            <w:pPr>
              <w:pStyle w:val="Compact"/>
              <w:bidi/>
            </w:pPr>
            <w:r>
              <w:rPr>
                <w:rtl/>
              </w:rPr>
              <w:t xml:space="preserve">الصياغة</w:t>
            </w:r>
          </w:p>
        </w:tc>
        <w:tc>
          <w:tcPr>
            <w:tcW w:w="2370607" w:type="dxa"/>
          </w:tcPr>
          <w:p>
            <w:pPr>
              <w:pStyle w:val="Compact"/>
              <w:bidi/>
            </w:pPr>
            <w:r>
              <w:rPr>
                <w:rtl/>
              </w:rPr>
              <w:t xml:space="preserve">الدليل الميداني</w:t>
            </w:r>
          </w:p>
        </w:tc>
        <w:tc>
          <w:tcPr>
            <w:tcW w:w="472015" w:type="dxa"/>
          </w:tcPr>
          <w:p>
            <w:pPr>
              <w:pStyle w:val="Compact"/>
              <w:bidi/>
            </w:pPr>
            <w:r>
              <w:rPr>
                <w:rtl/>
              </w:rPr>
              <w:t xml:space="preserve">النتيجة</w:t>
            </w:r>
          </w:p>
        </w:tc>
      </w:tr>
      <w:tr>
        <w:tc>
          <w:tcPr>
            <w:tcW w:w="991570" w:type="dxa"/>
          </w:tcPr>
          <w:p>
            <w:pPr>
              <w:pStyle w:val="Compact"/>
              <w:bidi/>
            </w:pPr>
            <w:r>
              <w:rPr>
                <w:rtl/>
              </w:rPr>
              <w:t xml:space="preserve">الفرضية الأولى</w:t>
            </w:r>
          </w:p>
        </w:tc>
        <w:tc>
          <w:tcPr>
            <w:tcW w:w="1325806" w:type="dxa"/>
          </w:tcPr>
          <w:p>
            <w:pPr>
              <w:pStyle w:val="Compact"/>
              <w:bidi/>
            </w:pPr>
            <w:r>
              <w:rPr>
                <w:rtl/>
              </w:rPr>
              <w:t xml:space="preserve">غياب آليات التنبيه الآلي هو السبب الجذري لتكرار نفاد المخزون</w:t>
            </w:r>
          </w:p>
        </w:tc>
        <w:tc>
          <w:tcPr>
            <w:tcW w:w="2370607" w:type="dxa"/>
          </w:tcPr>
          <w:p>
            <w:pPr>
              <w:pStyle w:val="Compact"/>
              <w:bidi/>
            </w:pPr>
            <w:r>
              <w:rPr>
                <w:rtl/>
              </w:rPr>
              <w:t xml:space="preserve">نفاد خرطوشة Toner G030 (ART-001) في فيفري 2026 قبيل حاجة ملحّة — بعد التطبيق: تنبيه مُسبَق بأسبوع عبر</w:t>
            </w:r>
            <w:r>
              <w:rPr>
                <w:rtl/>
              </w:rPr>
              <w:t xml:space="preserve"> </w:t>
            </w:r>
            <w:r>
              <w:rPr>
                <w:rtl/>
              </w:rPr>
              <w:t xml:space="preserve">‘COMMANDER’</w:t>
            </w:r>
          </w:p>
        </w:tc>
        <w:tc>
          <w:tcPr>
            <w:tcW w:w="472015" w:type="dxa"/>
          </w:tcPr>
          <w:p>
            <w:pPr>
              <w:pStyle w:val="Compact"/>
              <w:bidi/>
            </w:pPr>
            <w:r>
              <w:rPr>
                <w:rtl/>
              </w:rPr>
              <w:t xml:space="preserve">✓ مُثبَتة</w:t>
            </w:r>
          </w:p>
        </w:tc>
      </w:tr>
      <w:tr>
        <w:tc>
          <w:tcPr>
            <w:tcW w:w="991570" w:type="dxa"/>
          </w:tcPr>
          <w:p>
            <w:pPr>
              <w:pStyle w:val="Compact"/>
              <w:bidi/>
            </w:pPr>
            <w:r>
              <w:rPr>
                <w:rtl/>
              </w:rPr>
              <w:t xml:space="preserve">الفرضية الثانية</w:t>
            </w:r>
          </w:p>
        </w:tc>
        <w:tc>
          <w:tcPr>
            <w:tcW w:w="1325806" w:type="dxa"/>
          </w:tcPr>
          <w:p>
            <w:pPr>
              <w:pStyle w:val="Compact"/>
              <w:bidi/>
            </w:pPr>
            <w:r>
              <w:rPr>
                <w:rtl/>
              </w:rPr>
              <w:t xml:space="preserve">نظام دعم القرار يُحسِّن دقة التتبع ويُقلِّص وقت معالجة الطلبيات</w:t>
            </w:r>
          </w:p>
        </w:tc>
        <w:tc>
          <w:tcPr>
            <w:tcW w:w="2370607" w:type="dxa"/>
          </w:tcPr>
          <w:p>
            <w:pPr>
              <w:pStyle w:val="Compact"/>
              <w:bidi/>
            </w:pPr>
            <w:r>
              <w:rPr>
                <w:rtl/>
              </w:rPr>
              <w:t xml:space="preserve">تخفيض وقت معالجة الطلبية بأكثر من 99.7%، وتقليص مدة الجرد بأكثر من 60%، وإلغاء 6 تنبيهات خاطئة من 7 بعد تصحيح ROP الفردي</w:t>
            </w:r>
          </w:p>
        </w:tc>
        <w:tc>
          <w:tcPr>
            <w:tcW w:w="472015" w:type="dxa"/>
          </w:tcPr>
          <w:p>
            <w:pPr>
              <w:pStyle w:val="Compact"/>
              <w:bidi/>
            </w:pPr>
            <w:r>
              <w:rPr>
                <w:rtl/>
              </w:rPr>
              <w:t xml:space="preserve">✓ مُثبَتة</w:t>
            </w:r>
          </w:p>
        </w:tc>
      </w:tr>
      <w:tr>
        <w:tc>
          <w:tcPr>
            <w:tcW w:w="991570" w:type="dxa"/>
          </w:tcPr>
          <w:p>
            <w:pPr>
              <w:pStyle w:val="Compact"/>
              <w:bidi/>
            </w:pPr>
            <w:r>
              <w:rPr>
                <w:rtl/>
              </w:rPr>
              <w:t xml:space="preserve">*المصدر: إعداد الطالب — تحليل بيانات ERP_Académie_v13.3</w:t>
            </w:r>
          </w:p>
        </w:tc>
        <w:tc>
          <w:tcPr>
            <w:tcW w:w="1325806" w:type="dxa"/>
          </w:tcPr>
          <w:p>
            <w:pPr>
              <w:pStyle w:val="Compact"/>
              <w:bidi/>
            </w:pPr>
            <w:r>
              <w:rPr>
                <w:rtl/>
              </w:rPr>
              <w:t xml:space="preserve">مارس 2026*</w:t>
            </w:r>
          </w:p>
        </w:tc>
        <w:tc>
          <w:tcPr>
            <w:tcW w:w="2370607" w:type="dxa"/>
          </w:tcPr>
          <w:p>
            <w:pPr>
              <w:pStyle w:val="Compact"/>
            </w:pPr>
          </w:p>
        </w:tc>
        <w:tc>
          <w:tcPr>
            <w:tcW w:w="472015" w:type="dxa"/>
          </w:tcPr>
          <w:p>
            <w:pPr>
              <w:pStyle w:val="Compact"/>
            </w:pPr>
          </w:p>
        </w:tc>
      </w:tr>
    </w:tbl>
    <w:bookmarkEnd w:id="133"/>
    <w:bookmarkStart w:id="134" w:name="التحليل-التفصيلي-لمؤشرات-الأداء"/>
    <w:p>
      <w:pPr>
        <w:pStyle w:val="Heading3"/>
        <w:bidi/>
      </w:pPr>
      <w:r>
        <w:rPr>
          <w:b/>
          <w:sz w:val="32"/>
          <w:rtl/>
        </w:rPr>
        <w:t xml:space="preserve">3. التحليل التفصيلي لمؤشرات الأداء</w:t>
      </w:r>
    </w:p>
    <w:p>
      <w:pPr>
        <w:bidi/>
        <w:spacing w:line="360" w:lineRule="auto"/>
        <w:jc w:val="right"/>
      </w:pPr>
      <w:r>
        <w:rPr>
          <w:rFonts w:ascii="Traditional Arabic" w:hAnsi="Traditional Arabic"/>
          <w:sz w:val="28"/>
          <w:rtl/>
        </w:rPr>
        <w:t xml:space="preserve">بناءً على البيانات الواردة في الجدول رقم (06)، يمكن تحليل الأثر النوعي لكل مؤشر على النحو التالي: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كفاءة الوقت: يمثل الانخفاض الحاد في وقت تسجيل الحركة نقلة نوعية في الإنتاجية. هذا التحسن يقلل من التراكم المستندي ويسمح للموظف بالتركيز على مهام الرقابة بدلاً من المهام الإدارية الروتينية.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الاستجابة الاستباقية: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دقة البيانات والرقابة: بفضل آليات التحقق في محرك VBA، تم تقليص أخطاء الإدخال بنسبة تتجاوز 90%، مما جعل التقارير المستخرجة مرجعاً موثوقاً لاتخاذ القرارات المالية.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التكلفة والجدوى: أثبتت النتائج أن الرقمنة لم تتطلب أي استثمارات رأسمالية جديدة، حيث تم استغلال البنية التحتية الموجودة، مما يحقق أعلى عائد على الاستثمار.</w:t>
      </w:r>
    </w:p>
    <w:bookmarkEnd w:id="134"/>
    <w:bookmarkStart w:id="135" w:name="التقييم-الإحصائي-لمؤشرات-الأداء"/>
    <w:p>
      <w:pPr>
        <w:pStyle w:val="Heading3"/>
        <w:bidi/>
      </w:pPr>
      <w:r>
        <w:rPr>
          <w:b/>
          <w:sz w:val="32"/>
          <w:rtl/>
        </w:rPr>
        <w:t xml:space="preserve">4. التقييم الإحصائي لمؤشرات الأداء</w:t>
      </w:r>
    </w:p>
    <w:p>
      <w:pPr>
        <w:bidi/>
        <w:spacing w:line="360" w:lineRule="auto"/>
        <w:jc w:val="right"/>
      </w:pPr>
      <w:r>
        <w:rPr>
          <w:rFonts w:ascii="Traditional Arabic" w:hAnsi="Traditional Arabic"/>
          <w:sz w:val="28"/>
          <w:rtl/>
        </w:rPr>
        <w:t xml:space="preserve">لإعطاء صورة أكثر دقة عن حجم التحسُّن، يُقدِّم الجدول أدناه مقارنة عددية مباشرة بين الوضعين السابق واللاحق:</w:t>
      </w:r>
      <w:r>
        <w:rPr>
          <w:rFonts w:ascii="Traditional Arabic" w:hAnsi="Traditional Arabic"/>
          <w:sz w:val="28"/>
          <w:rtl/>
        </w:rPr>
        <w:t xml:space="preserve"> </w:t>
      </w:r>
      <w:r>
        <w:rPr>
          <w:rFonts w:ascii="Traditional Arabic" w:hAnsi="Traditional Arabic"/>
          <w:b/>
          <w:bCs/>
          <w:sz w:val="28"/>
          <w:rtl/>
        </w:rPr>
        <w:t xml:space="preserve">الجدول رقم 08: — مقارنة عددية مباشرة قبل وبعد التطبيق</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2792579" w:type="dxa"/>
          </w:tcPr>
          <w:p>
            <w:pPr>
              <w:pStyle w:val="Compact"/>
              <w:bidi/>
            </w:pPr>
            <w:r>
              <w:rPr>
                <w:rtl/>
              </w:rPr>
              <w:t xml:space="preserve">مؤشر الأداء</w:t>
            </w:r>
          </w:p>
        </w:tc>
        <w:tc>
          <w:tcPr>
            <w:tcW w:w="672910" w:type="dxa"/>
          </w:tcPr>
          <w:p>
            <w:pPr>
              <w:pStyle w:val="Compact"/>
              <w:bidi/>
            </w:pPr>
            <w:r>
              <w:rPr>
                <w:rtl/>
              </w:rPr>
              <w:t xml:space="preserve">قبل التطبيق</w:t>
            </w:r>
          </w:p>
        </w:tc>
        <w:tc>
          <w:tcPr>
            <w:tcW w:w="997131" w:type="dxa"/>
          </w:tcPr>
          <w:p>
            <w:pPr>
              <w:pStyle w:val="Compact"/>
              <w:bidi/>
            </w:pPr>
            <w:r>
              <w:rPr>
                <w:rtl/>
              </w:rPr>
              <w:t xml:space="preserve">بعد التطبيق</w:t>
            </w:r>
          </w:p>
        </w:tc>
        <w:tc>
          <w:tcPr>
            <w:tcW w:w="697379" w:type="dxa"/>
          </w:tcPr>
          <w:p>
            <w:pPr>
              <w:pStyle w:val="Compact"/>
              <w:bidi/>
            </w:pPr>
            <w:r>
              <w:rPr>
                <w:rtl/>
              </w:rPr>
              <w:t xml:space="preserve">نسبة التحسُّن</w:t>
            </w:r>
          </w:p>
        </w:tc>
      </w:tr>
      <w:tr>
        <w:tc>
          <w:tcPr>
            <w:tcW w:w="2792579" w:type="dxa"/>
          </w:tcPr>
          <w:p>
            <w:pPr>
              <w:pStyle w:val="Compact"/>
              <w:bidi/>
            </w:pPr>
            <w:r>
              <w:rPr>
                <w:rtl/>
              </w:rPr>
              <w:t xml:space="preserve">زمن معالجة الطلبية الواحدة</w:t>
            </w:r>
          </w:p>
        </w:tc>
        <w:tc>
          <w:tcPr>
            <w:tcW w:w="672910" w:type="dxa"/>
          </w:tcPr>
          <w:p>
            <w:pPr>
              <w:pStyle w:val="Compact"/>
              <w:bidi/>
            </w:pPr>
            <w:r>
              <w:rPr>
                <w:rtl/>
              </w:rPr>
              <w:t xml:space="preserve">20–30 دقيقة</w:t>
            </w:r>
          </w:p>
        </w:tc>
        <w:tc>
          <w:tcPr>
            <w:tcW w:w="997131" w:type="dxa"/>
          </w:tcPr>
          <w:p>
            <w:pPr>
              <w:pStyle w:val="Compact"/>
              <w:bidi/>
            </w:pPr>
            <w:r>
              <w:rPr>
                <w:rtl/>
              </w:rPr>
              <w:t xml:space="preserve">أقل من 5 ثوانٍ</w:t>
            </w:r>
          </w:p>
        </w:tc>
        <w:tc>
          <w:tcPr>
            <w:tcW w:w="697379" w:type="dxa"/>
          </w:tcPr>
          <w:p>
            <w:pPr>
              <w:pStyle w:val="Compact"/>
              <w:bidi/>
            </w:pPr>
            <w:r>
              <w:rPr>
                <w:rtl/>
              </w:rPr>
              <w:t xml:space="preserve">99.7%</w:t>
            </w:r>
          </w:p>
        </w:tc>
      </w:tr>
      <w:tr>
        <w:tc>
          <w:tcPr>
            <w:tcW w:w="2792579" w:type="dxa"/>
          </w:tcPr>
          <w:p>
            <w:pPr>
              <w:pStyle w:val="Compact"/>
              <w:bidi/>
            </w:pPr>
            <w:r>
              <w:rPr>
                <w:rtl/>
              </w:rPr>
              <w:t xml:space="preserve">مدة الجرد الفصلي</w:t>
            </w:r>
          </w:p>
        </w:tc>
        <w:tc>
          <w:tcPr>
            <w:tcW w:w="672910" w:type="dxa"/>
          </w:tcPr>
          <w:p>
            <w:pPr>
              <w:pStyle w:val="Compact"/>
              <w:bidi/>
            </w:pPr>
            <w:r>
              <w:rPr>
                <w:rtl/>
              </w:rPr>
              <w:t xml:space="preserve">4 أيام</w:t>
            </w:r>
          </w:p>
        </w:tc>
        <w:tc>
          <w:tcPr>
            <w:tcW w:w="997131" w:type="dxa"/>
          </w:tcPr>
          <w:p>
            <w:pPr>
              <w:pStyle w:val="Compact"/>
              <w:bidi/>
            </w:pPr>
            <w:r>
              <w:rPr>
                <w:rtl/>
              </w:rPr>
              <w:t xml:space="preserve">1.5 يوم</w:t>
            </w:r>
          </w:p>
        </w:tc>
        <w:tc>
          <w:tcPr>
            <w:tcW w:w="697379" w:type="dxa"/>
          </w:tcPr>
          <w:p>
            <w:pPr>
              <w:pStyle w:val="Compact"/>
              <w:bidi/>
            </w:pPr>
            <w:r>
              <w:rPr>
                <w:rtl/>
              </w:rPr>
              <w:t xml:space="preserve">62.5%</w:t>
            </w:r>
          </w:p>
        </w:tc>
      </w:tr>
      <w:tr>
        <w:tc>
          <w:tcPr>
            <w:tcW w:w="2792579" w:type="dxa"/>
          </w:tcPr>
          <w:p>
            <w:pPr>
              <w:pStyle w:val="Compact"/>
              <w:bidi/>
            </w:pPr>
            <w:r>
              <w:rPr>
                <w:rtl/>
              </w:rPr>
              <w:t xml:space="preserve">سرعة اكتشاف النفاد</w:t>
            </w:r>
          </w:p>
        </w:tc>
        <w:tc>
          <w:tcPr>
            <w:tcW w:w="672910" w:type="dxa"/>
          </w:tcPr>
          <w:p>
            <w:pPr>
              <w:pStyle w:val="Compact"/>
              <w:bidi/>
            </w:pPr>
            <w:r>
              <w:rPr>
                <w:rtl/>
              </w:rPr>
              <w:t xml:space="preserve">عند حدوثه فقط</w:t>
            </w:r>
          </w:p>
        </w:tc>
        <w:tc>
          <w:tcPr>
            <w:tcW w:w="997131" w:type="dxa"/>
          </w:tcPr>
          <w:p>
            <w:pPr>
              <w:pStyle w:val="Compact"/>
              <w:bidi/>
            </w:pPr>
            <w:r>
              <w:rPr>
                <w:rtl/>
              </w:rPr>
              <w:t xml:space="preserve">قبل أسبوع من حدوثه</w:t>
            </w:r>
          </w:p>
        </w:tc>
        <w:tc>
          <w:tcPr>
            <w:tcW w:w="697379" w:type="dxa"/>
          </w:tcPr>
          <w:p>
            <w:pPr>
              <w:pStyle w:val="Compact"/>
              <w:bidi/>
            </w:pPr>
            <w:r>
              <w:rPr>
                <w:rtl/>
              </w:rPr>
              <w:t xml:space="preserve">—</w:t>
            </w:r>
          </w:p>
        </w:tc>
      </w:tr>
      <w:tr>
        <w:tc>
          <w:tcPr>
            <w:tcW w:w="2792579" w:type="dxa"/>
          </w:tcPr>
          <w:p>
            <w:pPr>
              <w:pStyle w:val="Compact"/>
              <w:bidi/>
            </w:pPr>
            <w:r>
              <w:rPr>
                <w:rtl/>
              </w:rPr>
              <w:t xml:space="preserve">دقة المطابقة (دفتري/فيزيائي)</w:t>
            </w:r>
          </w:p>
        </w:tc>
        <w:tc>
          <w:tcPr>
            <w:tcW w:w="672910" w:type="dxa"/>
          </w:tcPr>
          <w:p>
            <w:pPr>
              <w:pStyle w:val="Compact"/>
              <w:bidi/>
            </w:pPr>
            <w:r>
              <w:rPr>
                <w:rtl/>
              </w:rPr>
              <w:t xml:space="preserve">~85%</w:t>
            </w:r>
          </w:p>
        </w:tc>
        <w:tc>
          <w:tcPr>
            <w:tcW w:w="997131" w:type="dxa"/>
          </w:tcPr>
          <w:p>
            <w:pPr>
              <w:pStyle w:val="Compact"/>
              <w:bidi/>
            </w:pPr>
            <w:r>
              <w:rPr>
                <w:rtl/>
              </w:rPr>
              <w:t xml:space="preserve">~99.7%</w:t>
            </w:r>
          </w:p>
        </w:tc>
        <w:tc>
          <w:tcPr>
            <w:tcW w:w="697379" w:type="dxa"/>
          </w:tcPr>
          <w:p>
            <w:pPr>
              <w:pStyle w:val="Compact"/>
              <w:bidi/>
            </w:pPr>
            <w:r>
              <w:rPr>
                <w:rtl/>
              </w:rPr>
              <w:t xml:space="preserve">14.7 نقطة مئوية</w:t>
            </w:r>
          </w:p>
        </w:tc>
      </w:tr>
      <w:tr>
        <w:tc>
          <w:tcPr>
            <w:tcW w:w="2792579" w:type="dxa"/>
          </w:tcPr>
          <w:p>
            <w:pPr>
              <w:pStyle w:val="Compact"/>
              <w:bidi/>
            </w:pPr>
            <w:r>
              <w:rPr>
                <w:rtl/>
              </w:rPr>
              <w:t xml:space="preserve">عدد التنبيهات الخاطئة شهرياً</w:t>
            </w:r>
          </w:p>
        </w:tc>
        <w:tc>
          <w:tcPr>
            <w:tcW w:w="672910" w:type="dxa"/>
          </w:tcPr>
          <w:p>
            <w:pPr>
              <w:pStyle w:val="Compact"/>
              <w:bidi/>
            </w:pPr>
            <w:r>
              <w:rPr>
                <w:rtl/>
              </w:rPr>
              <w:t xml:space="preserve">7</w:t>
            </w:r>
          </w:p>
        </w:tc>
        <w:tc>
          <w:tcPr>
            <w:tcW w:w="997131" w:type="dxa"/>
          </w:tcPr>
          <w:p>
            <w:pPr>
              <w:pStyle w:val="Compact"/>
              <w:bidi/>
            </w:pPr>
            <w:r>
              <w:rPr>
                <w:rtl/>
              </w:rPr>
              <w:t xml:space="preserve">1 (بعد ضبط ROP الفردي)</w:t>
            </w:r>
          </w:p>
        </w:tc>
        <w:tc>
          <w:tcPr>
            <w:tcW w:w="697379" w:type="dxa"/>
          </w:tcPr>
          <w:p>
            <w:pPr>
              <w:pStyle w:val="Compact"/>
              <w:bidi/>
            </w:pPr>
            <w:r>
              <w:rPr>
                <w:rtl/>
              </w:rPr>
              <w:t xml:space="preserve">85.7%</w:t>
            </w:r>
          </w:p>
        </w:tc>
      </w:tr>
      <w:tr>
        <w:tc>
          <w:tcPr>
            <w:tcW w:w="2792579" w:type="dxa"/>
          </w:tcPr>
          <w:p>
            <w:pPr>
              <w:pStyle w:val="Compact"/>
              <w:bidi/>
            </w:pPr>
            <w:r>
              <w:rPr>
                <w:rtl/>
              </w:rPr>
              <w:t xml:space="preserve">زمن البحث عن حركة تاريخية</w:t>
            </w:r>
          </w:p>
        </w:tc>
        <w:tc>
          <w:tcPr>
            <w:tcW w:w="672910" w:type="dxa"/>
          </w:tcPr>
          <w:p>
            <w:pPr>
              <w:pStyle w:val="Compact"/>
              <w:bidi/>
            </w:pPr>
            <w:r>
              <w:rPr>
                <w:rtl/>
              </w:rPr>
              <w:t xml:space="preserve">30-45 دقيقة</w:t>
            </w:r>
          </w:p>
        </w:tc>
        <w:tc>
          <w:tcPr>
            <w:tcW w:w="997131" w:type="dxa"/>
          </w:tcPr>
          <w:p>
            <w:pPr>
              <w:pStyle w:val="Compact"/>
              <w:bidi/>
            </w:pPr>
            <w:r>
              <w:rPr>
                <w:rtl/>
              </w:rPr>
              <w:t xml:space="preserve">&lt; 1 دقيقة</w:t>
            </w:r>
          </w:p>
        </w:tc>
        <w:tc>
          <w:tcPr>
            <w:tcW w:w="697379" w:type="dxa"/>
          </w:tcPr>
          <w:p>
            <w:pPr>
              <w:pStyle w:val="Compact"/>
              <w:bidi/>
            </w:pPr>
            <w:r>
              <w:rPr>
                <w:rtl/>
              </w:rPr>
              <w:t xml:space="preserve">97%</w:t>
            </w:r>
          </w:p>
        </w:tc>
      </w:tr>
      <w:tr>
        <w:tc>
          <w:tcPr>
            <w:tcW w:w="2792579" w:type="dxa"/>
          </w:tcPr>
          <w:p>
            <w:pPr>
              <w:pStyle w:val="Compact"/>
              <w:bidi/>
            </w:pPr>
            <w:r>
              <w:rPr>
                <w:rtl/>
              </w:rPr>
              <w:t xml:space="preserve">عدد حالات النفاد السنوي (المواد A)</w:t>
            </w:r>
          </w:p>
        </w:tc>
        <w:tc>
          <w:tcPr>
            <w:tcW w:w="672910" w:type="dxa"/>
          </w:tcPr>
          <w:p>
            <w:pPr>
              <w:pStyle w:val="Compact"/>
              <w:bidi/>
            </w:pPr>
            <w:r>
              <w:rPr>
                <w:rtl/>
              </w:rPr>
              <w:t xml:space="preserve">3-5 حالات</w:t>
            </w:r>
          </w:p>
        </w:tc>
        <w:tc>
          <w:tcPr>
            <w:tcW w:w="997131" w:type="dxa"/>
          </w:tcPr>
          <w:p>
            <w:pPr>
              <w:pStyle w:val="Compact"/>
              <w:bidi/>
            </w:pPr>
            <w:r>
              <w:rPr>
                <w:rtl/>
              </w:rPr>
              <w:t xml:space="preserve">0</w:t>
            </w:r>
          </w:p>
        </w:tc>
        <w:tc>
          <w:tcPr>
            <w:tcW w:w="697379" w:type="dxa"/>
          </w:tcPr>
          <w:p>
            <w:pPr>
              <w:pStyle w:val="Compact"/>
              <w:bidi/>
            </w:pPr>
            <w:r>
              <w:rPr>
                <w:rtl/>
              </w:rPr>
              <w:t xml:space="preserve">100%</w:t>
            </w:r>
          </w:p>
        </w:tc>
      </w:tr>
      <w:tr>
        <w:tc>
          <w:tcPr>
            <w:tcW w:w="2792579" w:type="dxa"/>
          </w:tcPr>
          <w:p>
            <w:pPr>
              <w:pStyle w:val="Compact"/>
              <w:bidi/>
            </w:pPr>
            <w:r>
              <w:rPr>
                <w:rtl/>
              </w:rPr>
              <w:t xml:space="preserve">*المصدر: إعداد الطالب — قياسات ميدانية قبل وبعد التطبيق</w:t>
            </w:r>
          </w:p>
        </w:tc>
        <w:tc>
          <w:tcPr>
            <w:tcW w:w="672910" w:type="dxa"/>
          </w:tcPr>
          <w:p>
            <w:pPr>
              <w:pStyle w:val="Compact"/>
              <w:bidi/>
            </w:pPr>
            <w:r>
              <w:rPr>
                <w:rtl/>
              </w:rPr>
              <w:t xml:space="preserve">2025/2026*</w:t>
            </w:r>
          </w:p>
        </w:tc>
        <w:tc>
          <w:tcPr>
            <w:tcW w:w="997131" w:type="dxa"/>
          </w:tcPr>
          <w:p>
            <w:pPr>
              <w:pStyle w:val="Compact"/>
            </w:pPr>
          </w:p>
        </w:tc>
        <w:tc>
          <w:tcPr>
            <w:tcW w:w="697379" w:type="dxa"/>
          </w:tcPr>
          <w:p>
            <w:pPr>
              <w:pStyle w:val="Compact"/>
            </w:pPr>
          </w:p>
        </w:tc>
      </w:tr>
    </w:tbl>
    <w:p>
      <w:pPr>
        <w:bidi/>
        <w:spacing w:line="360" w:lineRule="auto"/>
        <w:jc w:val="right"/>
      </w:pPr>
      <w:r>
        <w:rPr>
          <w:rFonts w:ascii="Traditional Arabic" w:hAnsi="Traditional Arabic"/>
          <w:sz w:val="28"/>
          <w:rtl/>
        </w:rPr>
        <w:t xml:space="preserve">يُظهر هذا التقييم الإحصائي أن التحسُّن لم يقتصر على مؤشر واحد، بل شمل كل حلقات دورة التخزين، مما يؤكد التأثير الشامل (Systemic Impact) للحل الرقمي المقترح.</w:t>
      </w:r>
    </w:p>
    <w:bookmarkEnd w:id="135"/>
    <w:bookmarkStart w:id="136" w:name="التحقق-التجريبي-والمصداقية"/>
    <w:p>
      <w:pPr>
        <w:pStyle w:val="Heading3"/>
        <w:bidi/>
      </w:pPr>
      <w:r>
        <w:rPr>
          <w:b/>
          <w:sz w:val="32"/>
          <w:rtl/>
        </w:rPr>
        <w:t xml:space="preserve">5. التحقق التجريبي والمصداقية</w:t>
      </w:r>
    </w:p>
    <w:p>
      <w:pPr>
        <w:bidi/>
        <w:spacing w:line="360" w:lineRule="auto"/>
        <w:jc w:val="right"/>
      </w:pPr>
      <w:r>
        <w:rPr>
          <w:rFonts w:ascii="Traditional Arabic" w:hAnsi="Traditional Arabic"/>
          <w:sz w:val="28"/>
          <w:rtl/>
        </w:rPr>
        <w:t xml:space="preserve">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bookmarkEnd w:id="136"/>
    <w:bookmarkStart w:id="137" w:name="Xccbafbc0047bdc7ec988da040ea92c932dd07e4"/>
    <w:p>
      <w:pPr>
        <w:pStyle w:val="Heading3"/>
        <w:bidi/>
      </w:pPr>
      <w:r>
        <w:rPr>
          <w:b/>
          <w:sz w:val="32"/>
          <w:rtl/>
        </w:rPr>
        <w:t xml:space="preserve">6. أمن البيانات والسلامة (Data Security &amp; Integrity)</w:t>
      </w:r>
    </w:p>
    <w:p>
      <w:pPr>
        <w:bidi/>
        <w:spacing w:line="360" w:lineRule="auto"/>
        <w:jc w:val="right"/>
      </w:pPr>
      <w:r>
        <w:rPr>
          <w:rFonts w:ascii="Traditional Arabic" w:hAnsi="Traditional Arabic"/>
          <w:sz w:val="28"/>
          <w:rtl/>
        </w:rPr>
        <w:t xml:space="preserve">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p>
    <w:bookmarkEnd w:id="137"/>
    <w:bookmarkStart w:id="138" w:name="الأثر-التشغيلي-العام-operational-impact"/>
    <w:p>
      <w:pPr>
        <w:pStyle w:val="Heading3"/>
        <w:bidi/>
      </w:pPr>
      <w:r>
        <w:rPr>
          <w:b/>
          <w:sz w:val="32"/>
          <w:rtl/>
        </w:rPr>
        <w:t xml:space="preserve">7. الأثر التشغيلي العام (Operational Impact)</w:t>
      </w:r>
    </w:p>
    <w:p>
      <w:pPr>
        <w:bidi/>
        <w:spacing w:line="360" w:lineRule="auto"/>
        <w:jc w:val="right"/>
      </w:pPr>
      <w:r>
        <w:rPr>
          <w:rFonts w:ascii="Traditional Arabic" w:hAnsi="Traditional Arabic"/>
          <w:sz w:val="28"/>
          <w:rtl/>
        </w:rPr>
        <w:t xml:space="preserve">ختاماً، أحدث تطبيق النظام تحولاً جذرياً في</w:t>
      </w:r>
      <w:r>
        <w:rPr>
          <w:rFonts w:ascii="Traditional Arabic" w:hAnsi="Traditional Arabic"/>
          <w:sz w:val="28"/>
          <w:rtl/>
        </w:rPr>
        <w:t xml:space="preserve"> </w:t>
      </w:r>
      <w:r>
        <w:rPr>
          <w:rFonts w:ascii="Traditional Arabic" w:hAnsi="Traditional Arabic"/>
          <w:sz w:val="28"/>
          <w:rtl/>
        </w:rPr>
        <w:t xml:space="preserve">“المناخ الإداري”</w:t>
      </w:r>
      <w:r>
        <w:rPr>
          <w:rFonts w:ascii="Traditional Arabic" w:hAnsi="Traditional Arabic"/>
          <w:sz w:val="28"/>
          <w:rtl/>
        </w:rPr>
        <w:t xml:space="preserve"> </w:t>
      </w:r>
      <w:r>
        <w:rPr>
          <w:rFonts w:ascii="Traditional Arabic" w:hAnsi="Traditional Arabic"/>
          <w:sz w:val="28"/>
          <w:rtl/>
        </w:rPr>
        <w:t xml:space="preserve">لمصلحة المخازن؛ حيث انتقلت المؤسسة من بيئة تعتمد على الذاكرة والاجتهادات الشخصية والمخاطر العالية للنفاد، إلى بيئة تعتمد على</w:t>
      </w:r>
      <w:r>
        <w:rPr>
          <w:rFonts w:ascii="Traditional Arabic" w:hAnsi="Traditional Arabic"/>
          <w:sz w:val="28"/>
          <w:rtl/>
        </w:rPr>
        <w:t xml:space="preserve"> </w:t>
      </w:r>
      <w:r>
        <w:rPr>
          <w:rFonts w:ascii="Traditional Arabic" w:hAnsi="Traditional Arabic"/>
          <w:sz w:val="28"/>
          <w:rtl/>
        </w:rPr>
        <w:t xml:space="preserve">“الحقيقة الرقمية”</w:t>
      </w:r>
      <w:r>
        <w:rPr>
          <w:rFonts w:ascii="Traditional Arabic" w:hAnsi="Traditional Arabic"/>
          <w:sz w:val="28"/>
          <w:rtl/>
        </w:rPr>
        <w:t xml:space="preserve"> </w:t>
      </w:r>
      <w:r>
        <w:rPr>
          <w:rFonts w:ascii="Traditional Arabic" w:hAnsi="Traditional Arabic"/>
          <w:sz w:val="28"/>
          <w:rtl/>
        </w:rPr>
        <w:t xml:space="preserve">والشفافية المطلقة. هذا التحول هو الخطوة الأولى والأساسية نحو بناء منظومة لوجيستية رقمية متكاملة تخدم أهداف العملية التربوية بكفاءة واقتدار.</w:t>
      </w:r>
    </w:p>
    <w:bookmarkEnd w:id="138"/>
    <w:bookmarkEnd w:id="139"/>
    <w:bookmarkStart w:id="143" w:name="المبحث-الثاني-التوصيات-وآفاق-البحث"/>
    <w:p>
      <w:pPr>
        <w:pStyle w:val="Heading2"/>
        <w:bidi/>
      </w:pPr>
      <w:r>
        <w:rPr>
          <w:b/>
          <w:sz w:val="36"/>
          <w:rtl/>
        </w:rPr>
        <w:t xml:space="preserve">المبحث الثاني: التوصيات وآفاق البحث</w:t>
      </w:r>
    </w:p>
    <w:bookmarkStart w:id="140" w:name="التوصيات-المقدمة-لمصلحة-المخازن-والإدارة"/>
    <w:p>
      <w:pPr>
        <w:pStyle w:val="Heading3"/>
        <w:bidi/>
      </w:pPr>
      <w:r>
        <w:rPr>
          <w:b/>
          <w:sz w:val="32"/>
          <w:rtl/>
        </w:rPr>
        <w:t xml:space="preserve">1. التوصيات المقدَّمة لمصلحة المخازن والإدارة</w:t>
      </w:r>
    </w:p>
    <w:p>
      <w:pPr>
        <w:bidi/>
        <w:spacing w:line="360" w:lineRule="auto"/>
        <w:jc w:val="right"/>
      </w:pPr>
      <w:r>
        <w:rPr>
          <w:rFonts w:ascii="Traditional Arabic" w:hAnsi="Traditional Arabic"/>
          <w:sz w:val="28"/>
          <w:rtl/>
        </w:rPr>
        <w:t xml:space="preserve">بناءً على نتائج الدراسة وتجربة التطبيق الميداني، نُقدِّم التوصيات الأربع الآتية مُصنَّفةً حسب الأفق الزمني:</w:t>
      </w:r>
      <w:r>
        <w:rPr>
          <w:rFonts w:ascii="Traditional Arabic" w:hAnsi="Traditional Arabic"/>
          <w:sz w:val="28"/>
          <w:rtl/>
        </w:rPr>
        <w:t xml:space="preserve"> </w:t>
      </w:r>
      <w:r>
        <w:rPr>
          <w:rFonts w:ascii="Traditional Arabic" w:hAnsi="Traditional Arabic"/>
          <w:b/>
          <w:bCs/>
          <w:sz w:val="28"/>
          <w:rtl/>
        </w:rPr>
        <w:t xml:space="preserve">الجدول رقم 09: — التوصيات المقدَّمة لمديرية التربية لولاية البيض</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584"/>
        <w:gridCol w:w="1584"/>
        <w:gridCol w:w="1584"/>
        <w:gridCol w:w="1584"/>
        <w:gridCol w:w="1584"/>
      </w:tblGrid>
      <w:tr>
        <w:trPr>
          <w:tblHeader w:val="on"/>
        </w:trPr>
        <w:tc>
          <w:tcPr>
            <w:tcW w:w="1437072" w:type="dxa"/>
          </w:tcPr>
          <w:p>
            <w:pPr>
              <w:pStyle w:val="Compact"/>
              <w:bidi/>
            </w:pPr>
            <w:r>
              <w:rPr>
                <w:rtl/>
              </w:rPr>
              <w:t xml:space="preserve">#</w:t>
            </w:r>
          </w:p>
        </w:tc>
        <w:tc>
          <w:tcPr>
            <w:tcW w:w="1341671" w:type="dxa"/>
          </w:tcPr>
          <w:p>
            <w:pPr>
              <w:pStyle w:val="Compact"/>
              <w:bidi/>
            </w:pPr>
            <w:r>
              <w:rPr>
                <w:rtl/>
              </w:rPr>
              <w:t xml:space="preserve">التوصية</w:t>
            </w:r>
          </w:p>
        </w:tc>
        <w:tc>
          <w:tcPr>
            <w:tcW w:w="488294" w:type="dxa"/>
          </w:tcPr>
          <w:p>
            <w:pPr>
              <w:pStyle w:val="Compact"/>
              <w:bidi/>
            </w:pPr>
            <w:r>
              <w:rPr>
                <w:rtl/>
              </w:rPr>
              <w:t xml:space="preserve">الجهة المعنية</w:t>
            </w:r>
          </w:p>
        </w:tc>
        <w:tc>
          <w:tcPr>
            <w:tcW w:w="569376" w:type="dxa"/>
          </w:tcPr>
          <w:p>
            <w:pPr>
              <w:pStyle w:val="Compact"/>
              <w:bidi/>
            </w:pPr>
            <w:r>
              <w:rPr>
                <w:rtl/>
              </w:rPr>
              <w:t xml:space="preserve">الأفق الزمني</w:t>
            </w:r>
          </w:p>
        </w:tc>
        <w:tc>
          <w:tcPr>
            <w:tcW w:w="1173584" w:type="dxa"/>
          </w:tcPr>
          <w:p>
            <w:pPr>
              <w:pStyle w:val="Compact"/>
              <w:bidi/>
            </w:pPr>
            <w:r>
              <w:rPr>
                <w:rtl/>
              </w:rPr>
              <w:t xml:space="preserve">ملاحظات التنفيذ</w:t>
            </w:r>
          </w:p>
        </w:tc>
      </w:tr>
      <w:tr>
        <w:tc>
          <w:tcPr>
            <w:tcW w:w="1437072" w:type="dxa"/>
          </w:tcPr>
          <w:p>
            <w:pPr>
              <w:pStyle w:val="Compact"/>
              <w:bidi/>
            </w:pPr>
            <w:r>
              <w:rPr>
                <w:rtl/>
              </w:rPr>
              <w:t xml:space="preserve">01</w:t>
            </w:r>
          </w:p>
        </w:tc>
        <w:tc>
          <w:tcPr>
            <w:tcW w:w="1341671" w:type="dxa"/>
          </w:tcPr>
          <w:p>
            <w:pPr>
              <w:pStyle w:val="Compact"/>
              <w:bidi/>
            </w:pPr>
            <w:r>
              <w:rPr>
                <w:rtl/>
              </w:rPr>
              <w:t xml:space="preserve">اعتماد ملف مصلحة المخازن + ERP_Académie_v13.3 رسمياً</w:t>
            </w:r>
          </w:p>
        </w:tc>
        <w:tc>
          <w:tcPr>
            <w:tcW w:w="488294" w:type="dxa"/>
          </w:tcPr>
          <w:p>
            <w:pPr>
              <w:pStyle w:val="Compact"/>
              <w:bidi/>
            </w:pPr>
            <w:r>
              <w:rPr>
                <w:rtl/>
              </w:rPr>
              <w:t xml:space="preserve">المدير</w:t>
            </w:r>
          </w:p>
        </w:tc>
        <w:tc>
          <w:tcPr>
            <w:tcW w:w="569376" w:type="dxa"/>
          </w:tcPr>
          <w:p>
            <w:pPr>
              <w:pStyle w:val="Compact"/>
              <w:bidi/>
            </w:pPr>
            <w:r>
              <w:rPr>
                <w:rtl/>
              </w:rPr>
              <w:t xml:space="preserve">فوري (عند الموافقة)</w:t>
            </w:r>
          </w:p>
        </w:tc>
        <w:tc>
          <w:tcPr>
            <w:tcW w:w="1173584" w:type="dxa"/>
          </w:tcPr>
          <w:p>
            <w:pPr>
              <w:pStyle w:val="Compact"/>
              <w:bidi/>
            </w:pPr>
            <w:r>
              <w:rPr>
                <w:rtl/>
              </w:rPr>
              <w:t xml:space="preserve">يومان تدريب كافيان</w:t>
            </w:r>
          </w:p>
        </w:tc>
      </w:tr>
      <w:tr>
        <w:tc>
          <w:tcPr>
            <w:tcW w:w="1437072" w:type="dxa"/>
          </w:tcPr>
          <w:p>
            <w:pPr>
              <w:pStyle w:val="Compact"/>
              <w:bidi/>
            </w:pPr>
            <w:r>
              <w:rPr>
                <w:rtl/>
              </w:rPr>
              <w:t xml:space="preserve">02</w:t>
            </w:r>
          </w:p>
        </w:tc>
        <w:tc>
          <w:tcPr>
            <w:tcW w:w="1341671" w:type="dxa"/>
          </w:tcPr>
          <w:p>
            <w:pPr>
              <w:pStyle w:val="Compact"/>
              <w:bidi/>
            </w:pPr>
            <w:r>
              <w:rPr>
                <w:rtl/>
              </w:rPr>
              <w:t xml:space="preserve">مراجعة معاملات ويلسون سنوياً</w:t>
            </w:r>
          </w:p>
        </w:tc>
        <w:tc>
          <w:tcPr>
            <w:tcW w:w="488294" w:type="dxa"/>
          </w:tcPr>
          <w:p>
            <w:pPr>
              <w:pStyle w:val="Compact"/>
              <w:bidi/>
            </w:pPr>
            <w:r>
              <w:rPr>
                <w:rtl/>
              </w:rPr>
              <w:t xml:space="preserve">مسؤول المخزن</w:t>
            </w:r>
          </w:p>
        </w:tc>
        <w:tc>
          <w:tcPr>
            <w:tcW w:w="569376" w:type="dxa"/>
          </w:tcPr>
          <w:p>
            <w:pPr>
              <w:pStyle w:val="Compact"/>
              <w:bidi/>
            </w:pPr>
            <w:r>
              <w:rPr>
                <w:rtl/>
              </w:rPr>
              <w:t xml:space="preserve">نهاية كل سنة دراسية</w:t>
            </w:r>
          </w:p>
        </w:tc>
        <w:tc>
          <w:tcPr>
            <w:tcW w:w="1173584" w:type="dxa"/>
          </w:tcPr>
          <w:p>
            <w:pPr>
              <w:pStyle w:val="Compact"/>
              <w:bidi/>
            </w:pPr>
            <w:r>
              <w:rPr>
                <w:rtl/>
              </w:rPr>
              <w:t xml:space="preserve">تحديث D من سجل الحركات الفعلي</w:t>
            </w:r>
          </w:p>
        </w:tc>
      </w:tr>
      <w:tr>
        <w:tc>
          <w:tcPr>
            <w:tcW w:w="1437072" w:type="dxa"/>
          </w:tcPr>
          <w:p>
            <w:pPr>
              <w:pStyle w:val="Compact"/>
              <w:bidi/>
            </w:pPr>
            <w:r>
              <w:rPr>
                <w:rtl/>
              </w:rPr>
              <w:t xml:space="preserve">03</w:t>
            </w:r>
          </w:p>
        </w:tc>
        <w:tc>
          <w:tcPr>
            <w:tcW w:w="1341671" w:type="dxa"/>
          </w:tcPr>
          <w:p>
            <w:pPr>
              <w:pStyle w:val="Compact"/>
              <w:bidi/>
            </w:pPr>
            <w:r>
              <w:rPr>
                <w:rtl/>
              </w:rPr>
              <w:t xml:space="preserve">إنشاء قاعدة بيانات موردين موثَّقة</w:t>
            </w:r>
          </w:p>
        </w:tc>
        <w:tc>
          <w:tcPr>
            <w:tcW w:w="488294" w:type="dxa"/>
          </w:tcPr>
          <w:p>
            <w:pPr>
              <w:pStyle w:val="Compact"/>
              <w:bidi/>
            </w:pPr>
            <w:r>
              <w:rPr>
                <w:rtl/>
              </w:rPr>
              <w:t xml:space="preserve">مصلحة المخازن</w:t>
            </w:r>
          </w:p>
        </w:tc>
        <w:tc>
          <w:tcPr>
            <w:tcW w:w="569376" w:type="dxa"/>
          </w:tcPr>
          <w:p>
            <w:pPr>
              <w:pStyle w:val="Compact"/>
              <w:bidi/>
            </w:pPr>
            <w:r>
              <w:rPr>
                <w:rtl/>
              </w:rPr>
              <w:t xml:space="preserve">خلال 3 أشهر</w:t>
            </w:r>
          </w:p>
        </w:tc>
        <w:tc>
          <w:tcPr>
            <w:tcW w:w="1173584" w:type="dxa"/>
          </w:tcPr>
          <w:p>
            <w:pPr>
              <w:pStyle w:val="Compact"/>
              <w:bidi/>
            </w:pPr>
            <w:r>
              <w:rPr>
                <w:rtl/>
              </w:rPr>
              <w:t xml:space="preserve">تقييم نصف سنوي بنظام التنقيط المُدرج في ERP</w:t>
            </w:r>
          </w:p>
        </w:tc>
      </w:tr>
      <w:tr>
        <w:tc>
          <w:tcPr>
            <w:tcW w:w="1437072" w:type="dxa"/>
          </w:tcPr>
          <w:p>
            <w:pPr>
              <w:pStyle w:val="Compact"/>
              <w:bidi/>
            </w:pPr>
            <w:r>
              <w:rPr>
                <w:rtl/>
              </w:rPr>
              <w:t xml:space="preserve">04</w:t>
            </w:r>
          </w:p>
        </w:tc>
        <w:tc>
          <w:tcPr>
            <w:tcW w:w="1341671" w:type="dxa"/>
          </w:tcPr>
          <w:p>
            <w:pPr>
              <w:pStyle w:val="Compact"/>
              <w:bidi/>
            </w:pPr>
            <w:r>
              <w:rPr>
                <w:rtl/>
              </w:rPr>
              <w:t xml:space="preserve">الانتقال نحو الإدارة العامة (قاعدة بيانات Access أو Odoo)</w:t>
            </w:r>
          </w:p>
        </w:tc>
        <w:tc>
          <w:tcPr>
            <w:tcW w:w="488294" w:type="dxa"/>
          </w:tcPr>
          <w:p>
            <w:pPr>
              <w:pStyle w:val="Compact"/>
              <w:bidi/>
            </w:pPr>
            <w:r>
              <w:rPr>
                <w:rtl/>
              </w:rPr>
              <w:t xml:space="preserve">الإدارة العامة</w:t>
            </w:r>
          </w:p>
        </w:tc>
        <w:tc>
          <w:tcPr>
            <w:tcW w:w="569376" w:type="dxa"/>
          </w:tcPr>
          <w:p>
            <w:pPr>
              <w:pStyle w:val="Compact"/>
              <w:bidi/>
            </w:pPr>
            <w:r>
              <w:rPr>
                <w:rtl/>
              </w:rPr>
              <w:t xml:space="preserve">المدى البعيد (3–5 سنوات)</w:t>
            </w:r>
          </w:p>
        </w:tc>
        <w:tc>
          <w:tcPr>
            <w:tcW w:w="1173584" w:type="dxa"/>
          </w:tcPr>
          <w:p>
            <w:pPr>
              <w:pStyle w:val="Compact"/>
              <w:bidi/>
            </w:pPr>
            <w:r>
              <w:rPr>
                <w:rtl/>
              </w:rPr>
              <w:t xml:space="preserve">استيعاب النمو وتوسيع النطاق للولايات المجاورة</w:t>
            </w:r>
          </w:p>
        </w:tc>
      </w:tr>
      <w:tr>
        <w:tc>
          <w:tcPr>
            <w:tcW w:w="1437072" w:type="dxa"/>
          </w:tcPr>
          <w:p>
            <w:pPr>
              <w:pStyle w:val="Compact"/>
              <w:bidi/>
            </w:pPr>
            <w:r>
              <w:rPr>
                <w:rtl/>
              </w:rPr>
              <w:t xml:space="preserve">*المصدر: إعداد الطالب — مبنيٌّ على نتائج التطبيق الميداني</w:t>
            </w:r>
          </w:p>
        </w:tc>
        <w:tc>
          <w:tcPr>
            <w:tcW w:w="1341671" w:type="dxa"/>
          </w:tcPr>
          <w:p>
            <w:pPr>
              <w:pStyle w:val="Compact"/>
              <w:bidi/>
            </w:pPr>
            <w:r>
              <w:rPr>
                <w:rtl/>
              </w:rPr>
              <w:t xml:space="preserve">مارس 2026*</w:t>
            </w:r>
          </w:p>
        </w:tc>
        <w:tc>
          <w:tcPr>
            <w:tcW w:w="488294" w:type="dxa"/>
          </w:tcPr>
          <w:p>
            <w:pPr>
              <w:pStyle w:val="Compact"/>
            </w:pPr>
          </w:p>
        </w:tc>
        <w:tc>
          <w:tcPr>
            <w:tcW w:w="569376" w:type="dxa"/>
          </w:tcPr>
          <w:p>
            <w:pPr>
              <w:pStyle w:val="Compact"/>
            </w:pPr>
          </w:p>
        </w:tc>
        <w:tc>
          <w:tcPr>
            <w:tcW w:w="1173584" w:type="dxa"/>
          </w:tcPr>
          <w:p>
            <w:pPr>
              <w:pStyle w:val="Compact"/>
            </w:pPr>
          </w:p>
        </w:tc>
      </w:tr>
    </w:tbl>
    <w:bookmarkEnd w:id="140"/>
    <w:bookmarkStart w:id="142" w:name="آفاق-البحث"/>
    <w:p>
      <w:pPr>
        <w:pStyle w:val="Heading3"/>
        <w:bidi/>
      </w:pPr>
      <w:r>
        <w:rPr>
          <w:b/>
          <w:sz w:val="32"/>
          <w:rtl/>
        </w:rPr>
        <w:t xml:space="preserve">2. آفاق البحث</w:t>
      </w:r>
    </w:p>
    <w:p>
      <w:pPr>
        <w:bidi/>
        <w:spacing w:line="360" w:lineRule="auto"/>
        <w:jc w:val="right"/>
      </w:pPr>
      <w:r>
        <w:rPr>
          <w:rFonts w:ascii="Traditional Arabic" w:hAnsi="Traditional Arabic"/>
          <w:sz w:val="28"/>
          <w:rtl/>
        </w:rPr>
        <w:t xml:space="preserve">تفتح نتائج هذه الدراسة أمام الباحثين ومتخذي القرار في قطاع التربية آفاقاً بحثية عدة يمكن تناولها في أعمال مستقبلية: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تعميم التجربة: تطبيق النموذج على مديريات التربية في الولايات المجاورة لبناء نموذج معياري مُوحَّد قابل للاعتماد الوطني.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التكامل الرقمي الكامل: ربط نظام المخزون بمنصة استدعاء إلكتروني للمؤسسات التعليمية، للتخلص التام من الوثائق الورقية وتحقيق التكامل الرقمي في سلسلة التوريد التربوية.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دراسات مقارنة: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r>
        <w:rPr>
          <w:rFonts w:ascii="Traditional Arabic" w:hAnsi="Traditional Arabic"/>
          <w:b/>
          <w:bCs/>
          <w:sz w:val="28"/>
          <w:rtl/>
        </w:rPr>
        <w:t xml:space="preserve"> </w:t>
      </w:r>
      <w:r>
        <w:rPr>
          <w:rStyle w:val="FootnoteReference"/>
          <w:rFonts w:ascii="Traditional Arabic" w:hAnsi="Traditional Arabic"/>
          <w:sz w:val="28"/>
        </w:rPr>
        <w:footnoteReference w:id="141"/>
      </w:r>
      <w:r>
        <w:rPr>
          <w:rFonts w:ascii="Traditional Arabic" w:hAnsi="Traditional Arabic"/>
          <w:sz w:val="28"/>
          <w:rtl/>
        </w:rPr>
        <w:t xml:space="preserve"> </w:t>
      </w:r>
      <w:r>
        <w:rPr>
          <w:rFonts w:ascii="Traditional Arabic" w:hAnsi="Traditional Arabic"/>
          <w:sz w:val="28"/>
          <w:rtl/>
        </w:rPr>
        <w:t xml:space="preserve">— نهاية الفصل الرابع —</w:t>
      </w:r>
    </w:p>
    <w:p>
      <w:pPr>
        <w:bidi/>
        <w:spacing w:line="360" w:lineRule="auto"/>
        <w:jc w:val="right"/>
        <w:sectPr>
          <w:pgNumType w:fmt="lowerRoman" w:start="1"/>
          <w:footnotePr>
            <w:numRestart w:val="eachSect"/>
          </w:footnotePr>
          <w:pgSz w:h="16838" w:w="11906"/>
          <w:pgMar w:bottom="1417" w:left="1417" w:right="1417" w:top="1417"/>
        </w:sectPr>
      </w:pPr>
      <w:r>
        <w:rPr>
          <w:rFonts w:ascii="Traditional Arabic" w:hAnsi="Traditional Arabic"/>
          <w:b/>
          <w:bCs/>
          <w:sz w:val="28"/>
          <w:rtl/>
        </w:rPr>
        <w:t xml:space="preserve">الخاتمة العامة 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 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ويلسون ، والمتوسط المرجح — وأنتجت جميعها معطيات تشغيلية مباشرة موثَّقة في الجداول من 04 إلى 09. أما الحل المقترح، فهو نظام ERP_Académie_v13.3 المبني بـ Excel/VBA في تسع صفحات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ويتميز النظام بتوافقه الكامل مع الإطار التنظيمي الجزائري، بما في ذلك تطبيق الإعفاء من TVA وفق التعليمة 09-2018، مما يجعل حساباته المالية مطابقةً للواقع المحاسبي الفعلي لمؤسسات التربية. أثبتت مؤشرات الأداء أن النظام خفَّض وقت معالجة الطلبية بأكثر من 99.7%، وأطلق التنبيه المُسبَق قبل النفاد بأسبوع، وقلَّص مدة الجرد الفصلي بأكثر من 60%. وبهذا تُثبَت الفرضيتان المُصاغتان في مقدمة البحث:</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الفرضية الأولى مُثبَتة: غياب آليات التنبيه الآلي هو السبب الجذري لتكرار نفاد المواد الاستراتيجية.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الفرضية الثانية مُثبَتة: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bookmarkEnd w:id="142"/>
    <w:bookmarkEnd w:id="143"/>
    <w:bookmarkEnd w:id="144"/>
    <w:bookmarkStart w:id="152" w:name="قائمة-المصادر-والمراجع"/>
    <w:p>
      <w:pPr>
        <w:pStyle w:val="Heading1"/>
        <w:bidi/>
      </w:pPr>
      <w:r>
        <w:rPr>
          <w:b/>
          <w:sz w:val="44"/>
          <w:rtl/>
        </w:rPr>
        <w:t xml:space="preserve">قائمة المصادر والمراجع</w:t>
      </w:r>
    </w:p>
    <w:bookmarkStart w:id="145" w:name="أولا-الكتب-والمراجع-العلمية"/>
    <w:p>
      <w:pPr>
        <w:pStyle w:val="Heading2"/>
        <w:bidi/>
      </w:pPr>
      <w:r>
        <w:rPr>
          <w:b/>
          <w:sz w:val="36"/>
          <w:rtl/>
        </w:rPr>
        <w:t xml:space="preserve">أولاً: الكتب والمراجع العلمية</w:t>
      </w:r>
    </w:p>
    <w:p>
      <w:pPr>
        <w:pStyle w:val="Compact"/>
        <w:numPr>
          <w:ilvl w:val="0"/>
          <w:numId w:val="1004"/>
        </w:numPr>
        <w:bidi/>
        <w:spacing w:line="360" w:lineRule="auto"/>
        <w:jc w:val="right"/>
      </w:pPr>
      <w:r>
        <w:rPr>
          <w:rFonts w:ascii="Traditional Arabic" w:hAnsi="Traditional Arabic"/>
          <w:b/>
          <w:bCs/>
          <w:sz w:val="28"/>
          <w:rtl/>
        </w:rPr>
        <w:t xml:space="preserve">Chopra, S., &amp; Meindl, P. (2019). Supply Chain Management: Strategy, Planning, and Operation (7th ed.). Pearson.</w:t>
      </w:r>
    </w:p>
    <w:p>
      <w:pPr>
        <w:pStyle w:val="Compact"/>
        <w:numPr>
          <w:ilvl w:val="0"/>
          <w:numId w:val="1004"/>
        </w:numPr>
        <w:bidi/>
        <w:spacing w:line="360" w:lineRule="auto"/>
        <w:jc w:val="right"/>
      </w:pPr>
      <w:r>
        <w:rPr>
          <w:rFonts w:ascii="Traditional Arabic" w:hAnsi="Traditional Arabic"/>
          <w:b/>
          <w:bCs/>
          <w:sz w:val="28"/>
          <w:rtl/>
        </w:rPr>
        <w:t xml:space="preserve">Cooper, M. C., Lambert, D. M., &amp; Pagh, J. D. (1997). Supply Chain Management: More Than a New Name for Logistics. The International Journal of Logistics Management, 8(1), 1–14.</w:t>
      </w:r>
    </w:p>
    <w:p>
      <w:pPr>
        <w:pStyle w:val="Compact"/>
        <w:numPr>
          <w:ilvl w:val="0"/>
          <w:numId w:val="1004"/>
        </w:numPr>
        <w:bidi/>
        <w:spacing w:line="360" w:lineRule="auto"/>
        <w:jc w:val="right"/>
      </w:pPr>
      <w:r>
        <w:rPr>
          <w:rFonts w:ascii="Traditional Arabic" w:hAnsi="Traditional Arabic"/>
          <w:b/>
          <w:bCs/>
          <w:sz w:val="28"/>
          <w:rtl/>
        </w:rPr>
        <w:t xml:space="preserve">Lambert, D. M., &amp; Stock, J. R. (1993). Strategic Logistics Management (3rd ed.). Irwin.</w:t>
      </w:r>
    </w:p>
    <w:p>
      <w:pPr>
        <w:pStyle w:val="Compact"/>
        <w:numPr>
          <w:ilvl w:val="0"/>
          <w:numId w:val="1004"/>
        </w:numPr>
        <w:bidi/>
        <w:spacing w:line="360" w:lineRule="auto"/>
        <w:jc w:val="right"/>
      </w:pPr>
      <w:r>
        <w:rPr>
          <w:rFonts w:ascii="Traditional Arabic" w:hAnsi="Traditional Arabic"/>
          <w:b/>
          <w:bCs/>
          <w:sz w:val="28"/>
          <w:rtl/>
        </w:rPr>
        <w:t xml:space="preserve">Harris, F. W. (1913). How Many Parts to Make at Once. Factory, The Magazine of Management, 10(2), 135–136, 152.</w:t>
      </w:r>
    </w:p>
    <w:p>
      <w:pPr>
        <w:pStyle w:val="Compact"/>
        <w:numPr>
          <w:ilvl w:val="0"/>
          <w:numId w:val="1004"/>
        </w:numPr>
        <w:bidi/>
        <w:spacing w:line="360" w:lineRule="auto"/>
        <w:jc w:val="right"/>
      </w:pPr>
      <w:r>
        <w:rPr>
          <w:rFonts w:ascii="Traditional Arabic" w:hAnsi="Traditional Arabic"/>
          <w:b/>
          <w:bCs/>
          <w:sz w:val="28"/>
          <w:rtl/>
        </w:rPr>
        <w:t xml:space="preserve">Silver, E. A., Pyke, D. F., &amp; Thomas, D. J. (2017). Inventory and Production Management in Supply Chains (4th ed.). Springer.</w:t>
      </w:r>
    </w:p>
    <w:p>
      <w:pPr>
        <w:pStyle w:val="Compact"/>
        <w:numPr>
          <w:ilvl w:val="0"/>
          <w:numId w:val="1004"/>
        </w:numPr>
        <w:bidi/>
        <w:spacing w:line="360" w:lineRule="auto"/>
        <w:jc w:val="right"/>
      </w:pPr>
      <w:r>
        <w:rPr>
          <w:rFonts w:ascii="Traditional Arabic" w:hAnsi="Traditional Arabic"/>
          <w:b/>
          <w:bCs/>
          <w:sz w:val="28"/>
          <w:rtl/>
        </w:rPr>
        <w:t xml:space="preserve">Stock, J. R., &amp; Lambert, D. M. (2001). Strategic Logistics Management (4th ed.). McGraw-Hill.</w:t>
      </w:r>
    </w:p>
    <w:p>
      <w:pPr>
        <w:pStyle w:val="Compact"/>
        <w:numPr>
          <w:ilvl w:val="0"/>
          <w:numId w:val="1004"/>
        </w:numPr>
        <w:bidi/>
        <w:spacing w:line="360" w:lineRule="auto"/>
        <w:jc w:val="right"/>
      </w:pPr>
      <w:r>
        <w:rPr>
          <w:rFonts w:ascii="Traditional Arabic" w:hAnsi="Traditional Arabic"/>
          <w:b/>
          <w:bCs/>
          <w:sz w:val="28"/>
          <w:rtl/>
        </w:rPr>
        <w:t xml:space="preserve">Van Weele, A. J. (2010). Purchasing and Supply Chain Management: Analysis, Strategy, Planning and Practice (5th ed.). Cengage Learning.</w:t>
      </w:r>
    </w:p>
    <w:p>
      <w:pPr>
        <w:pStyle w:val="Compact"/>
        <w:numPr>
          <w:ilvl w:val="0"/>
          <w:numId w:val="1004"/>
        </w:numPr>
        <w:bidi/>
        <w:spacing w:line="360" w:lineRule="auto"/>
        <w:jc w:val="right"/>
      </w:pPr>
      <w:r>
        <w:rPr>
          <w:rFonts w:ascii="Traditional Arabic" w:hAnsi="Traditional Arabic"/>
          <w:b/>
          <w:bCs/>
          <w:sz w:val="28"/>
          <w:rtl/>
        </w:rPr>
        <w:t xml:space="preserve">Vollmann, T. E., Berry, W. L., Whybark, D. C., &amp; Jacobs, F. R. (2005). Manufacturing Planning and Control for Supply Chain Management (5th ed.). McGraw-Hill.</w:t>
      </w:r>
    </w:p>
    <w:p>
      <w:pPr>
        <w:pStyle w:val="Compact"/>
        <w:numPr>
          <w:ilvl w:val="0"/>
          <w:numId w:val="1004"/>
        </w:numPr>
        <w:bidi/>
        <w:spacing w:line="360" w:lineRule="auto"/>
        <w:jc w:val="right"/>
      </w:pPr>
      <w:r>
        <w:rPr>
          <w:rFonts w:ascii="Traditional Arabic" w:hAnsi="Traditional Arabic"/>
          <w:b/>
          <w:bCs/>
          <w:sz w:val="28"/>
          <w:rtl/>
        </w:rPr>
        <w:t xml:space="preserve">Wilson, R. H. (1934). A Scientific Routine for Stock Control. Harvard Business Review, 13(1), 116–128.</w:t>
      </w:r>
    </w:p>
    <w:p>
      <w:pPr>
        <w:pStyle w:val="Compact"/>
        <w:numPr>
          <w:ilvl w:val="0"/>
          <w:numId w:val="1004"/>
        </w:numPr>
        <w:bidi/>
        <w:spacing w:line="360" w:lineRule="auto"/>
        <w:jc w:val="right"/>
      </w:pPr>
      <w:r>
        <w:rPr>
          <w:rFonts w:ascii="Traditional Arabic" w:hAnsi="Traditional Arabic"/>
          <w:b/>
          <w:bCs/>
          <w:sz w:val="28"/>
          <w:rtl/>
        </w:rPr>
        <w:t xml:space="preserve">Zipkin, P. H. (2000). Foundations of Inventory Management. McGraw-Hill.</w:t>
      </w:r>
    </w:p>
    <w:bookmarkEnd w:id="145"/>
    <w:bookmarkStart w:id="146" w:name="ثانيا-الإطار-القانوني-والتنظيمي-الجزائري"/>
    <w:p>
      <w:pPr>
        <w:pStyle w:val="Heading2"/>
        <w:bidi/>
      </w:pPr>
      <w:r>
        <w:rPr>
          <w:b/>
          <w:sz w:val="36"/>
          <w:rtl/>
        </w:rPr>
        <w:t xml:space="preserve">ثانياً: الإطار القانوني والتنظيمي الجزائري</w:t>
      </w:r>
    </w:p>
    <w:p>
      <w:pPr>
        <w:pStyle w:val="Compact"/>
        <w:numPr>
          <w:ilvl w:val="0"/>
          <w:numId w:val="1005"/>
        </w:numPr>
        <w:bidi/>
        <w:spacing w:line="360" w:lineRule="auto"/>
        <w:jc w:val="right"/>
      </w:pPr>
      <w:r>
        <w:rPr>
          <w:rFonts w:ascii="Traditional Arabic" w:hAnsi="Traditional Arabic"/>
          <w:b/>
          <w:bCs/>
          <w:sz w:val="28"/>
          <w:rtl/>
        </w:rPr>
        <w:t xml:space="preserve">الجمهورية الجزائرية الديمقراطية الشعبية. (2003). الأمر رقم 03-07 المؤرخ في 19 جمادى الأولى 1424 الموافق 19 يوليو 2003 المتعلق ببراءات الاختراع. الجريدة الرسمية.</w:t>
      </w:r>
    </w:p>
    <w:p>
      <w:pPr>
        <w:pStyle w:val="Compact"/>
        <w:numPr>
          <w:ilvl w:val="0"/>
          <w:numId w:val="1005"/>
        </w:numPr>
        <w:bidi/>
        <w:spacing w:line="360" w:lineRule="auto"/>
        <w:jc w:val="right"/>
      </w:pPr>
      <w:r>
        <w:rPr>
          <w:rFonts w:ascii="Traditional Arabic" w:hAnsi="Traditional Arabic"/>
          <w:b/>
          <w:bCs/>
          <w:sz w:val="28"/>
          <w:rtl/>
        </w:rPr>
        <w:t xml:space="preserve">الجمهورية الجزائرية الديمقراطية الشعبية. (2003). الأمر رقم 03-05 المؤرخ في 19 جمادى الأولى 1424 الموافق 19 يوليو 2003 المتعلق بحقوق المؤلف والحقوق المجاورة. الجريدة الرسمية.</w:t>
      </w:r>
    </w:p>
    <w:p>
      <w:pPr>
        <w:pStyle w:val="Compact"/>
        <w:numPr>
          <w:ilvl w:val="0"/>
          <w:numId w:val="1005"/>
        </w:numPr>
        <w:bidi/>
        <w:spacing w:line="360" w:lineRule="auto"/>
        <w:jc w:val="right"/>
      </w:pPr>
      <w:r>
        <w:rPr>
          <w:rFonts w:ascii="Traditional Arabic" w:hAnsi="Traditional Arabic"/>
          <w:b/>
          <w:bCs/>
          <w:sz w:val="28"/>
          <w:rtl/>
        </w:rPr>
        <w:t xml:space="preserve">الجمهورية الجزائرية الديمقراطية الشعبية. (2015). المرسوم الرئاسي رقم 15-247 المؤرخ في 16 سبتمبر 2015 المتعلق بتنظيم الصفقات العمومية وتسييرها. الجريدة الرسمية.</w:t>
      </w:r>
    </w:p>
    <w:p>
      <w:pPr>
        <w:pStyle w:val="Compact"/>
        <w:numPr>
          <w:ilvl w:val="0"/>
          <w:numId w:val="1005"/>
        </w:numPr>
        <w:bidi/>
        <w:spacing w:line="360" w:lineRule="auto"/>
        <w:jc w:val="right"/>
      </w:pPr>
      <w:r>
        <w:rPr>
          <w:rFonts w:ascii="Traditional Arabic" w:hAnsi="Traditional Arabic"/>
          <w:b/>
          <w:bCs/>
          <w:sz w:val="28"/>
          <w:rtl/>
        </w:rPr>
        <w:t xml:space="preserve">الجمهورية الجزائرية الديمقراطية الشعبية. (2020). المرسوم التنفيذي رقم 20-270 المتعلق بتنظيم الميزانية والمحاسبة العمومية. الجريدة الرسمية.</w:t>
      </w:r>
    </w:p>
    <w:p>
      <w:pPr>
        <w:pStyle w:val="Compact"/>
        <w:numPr>
          <w:ilvl w:val="0"/>
          <w:numId w:val="1005"/>
        </w:numPr>
        <w:bidi/>
        <w:spacing w:line="360" w:lineRule="auto"/>
        <w:jc w:val="right"/>
      </w:pPr>
      <w:r>
        <w:rPr>
          <w:rFonts w:ascii="Traditional Arabic" w:hAnsi="Traditional Arabic"/>
          <w:b/>
          <w:bCs/>
          <w:sz w:val="28"/>
          <w:rtl/>
        </w:rPr>
        <w:t xml:space="preserve">وزارة المالية ووزارة التربية الوطنية. (2023). المنشور الوزاري المشترك المتعلق بتسيير المستودعات في المؤسسات التربوية. وثيقة داخلية.</w:t>
      </w:r>
    </w:p>
    <w:p>
      <w:pPr>
        <w:pStyle w:val="Compact"/>
        <w:numPr>
          <w:ilvl w:val="0"/>
          <w:numId w:val="1005"/>
        </w:numPr>
        <w:bidi/>
        <w:spacing w:line="360" w:lineRule="auto"/>
        <w:jc w:val="right"/>
      </w:pPr>
      <w:r>
        <w:rPr>
          <w:rFonts w:ascii="Traditional Arabic" w:hAnsi="Traditional Arabic"/>
          <w:b/>
          <w:bCs/>
          <w:sz w:val="28"/>
          <w:rtl/>
        </w:rPr>
        <w:t xml:space="preserve">قانون المالية. (سنوي). القانون المتضمن قانون المالية للسنة المعنية. الجريدة الرسمية.</w:t>
      </w:r>
    </w:p>
    <w:bookmarkEnd w:id="146"/>
    <w:bookmarkStart w:id="147" w:name="ثالثا-المنهاج-الدراسي-bts-gsl-tag1801"/>
    <w:p>
      <w:pPr>
        <w:pStyle w:val="Heading2"/>
        <w:bidi/>
      </w:pPr>
      <w:r>
        <w:rPr>
          <w:b/>
          <w:sz w:val="36"/>
          <w:rtl/>
        </w:rPr>
        <w:t xml:space="preserve">ثالثاً: المنهاج الدراسي BTS GSL (TAG1801)</w:t>
      </w:r>
    </w:p>
    <w:p>
      <w:pPr>
        <w:pStyle w:val="Compact"/>
        <w:numPr>
          <w:ilvl w:val="0"/>
          <w:numId w:val="1006"/>
        </w:numPr>
        <w:bidi/>
        <w:spacing w:line="360" w:lineRule="auto"/>
        <w:jc w:val="right"/>
      </w:pPr>
      <w:r>
        <w:rPr>
          <w:rFonts w:ascii="Traditional Arabic" w:hAnsi="Traditional Arabic"/>
          <w:b/>
          <w:bCs/>
          <w:sz w:val="28"/>
          <w:rtl/>
        </w:rPr>
        <w:t xml:space="preserve">وزارة التربية الوطنية، الديوان الوطني للامتحانات والمسابقات. (2020). المنهاج الدراسي لشهادة التقني السامي في تسيير المخزونات واللوجستيك — TAG1801.</w:t>
      </w:r>
    </w:p>
    <w:p>
      <w:pPr>
        <w:pStyle w:val="Compact"/>
        <w:numPr>
          <w:ilvl w:val="0"/>
          <w:numId w:val="1006"/>
        </w:numPr>
        <w:bidi/>
        <w:spacing w:line="360" w:lineRule="auto"/>
        <w:jc w:val="right"/>
      </w:pPr>
      <w:r>
        <w:rPr>
          <w:rFonts w:ascii="Traditional Arabic" w:hAnsi="Traditional Arabic"/>
          <w:b/>
          <w:bCs/>
          <w:sz w:val="28"/>
          <w:rtl/>
        </w:rPr>
        <w:t xml:space="preserve">تحديد وجمع المعلومات الداخلية والخارجية (Identification et Collecte des Informations Internes et Externes). (2024). مقياس BTS GSL، الفصل الدراسي الأول.</w:t>
      </w:r>
    </w:p>
    <w:p>
      <w:pPr>
        <w:pStyle w:val="Compact"/>
        <w:numPr>
          <w:ilvl w:val="0"/>
          <w:numId w:val="1006"/>
        </w:numPr>
        <w:bidi/>
        <w:spacing w:line="360" w:lineRule="auto"/>
        <w:jc w:val="right"/>
      </w:pPr>
      <w:r>
        <w:rPr>
          <w:rFonts w:ascii="Traditional Arabic" w:hAnsi="Traditional Arabic"/>
          <w:b/>
          <w:bCs/>
          <w:sz w:val="28"/>
          <w:rtl/>
        </w:rPr>
        <w:t xml:space="preserve">دراسة الأسعار وشروط التفاوض (Études des Prix et les Conditions de Négociation). (2024). مقياس BTS GSL، الفصل الدراسي الأول.</w:t>
      </w:r>
    </w:p>
    <w:p>
      <w:pPr>
        <w:pStyle w:val="Compact"/>
        <w:numPr>
          <w:ilvl w:val="0"/>
          <w:numId w:val="1006"/>
        </w:numPr>
        <w:bidi/>
        <w:spacing w:line="360" w:lineRule="auto"/>
        <w:jc w:val="right"/>
      </w:pPr>
      <w:r>
        <w:rPr>
          <w:rFonts w:ascii="Traditional Arabic" w:hAnsi="Traditional Arabic"/>
          <w:b/>
          <w:bCs/>
          <w:sz w:val="28"/>
          <w:rtl/>
        </w:rPr>
        <w:t xml:space="preserve">القانون الاجتماعي (Droit Social). (2024). مقياس BTS GSL، الفصل الدراسي الأول.</w:t>
      </w:r>
    </w:p>
    <w:p>
      <w:pPr>
        <w:pStyle w:val="Compact"/>
        <w:numPr>
          <w:ilvl w:val="0"/>
          <w:numId w:val="1006"/>
        </w:numPr>
        <w:bidi/>
        <w:spacing w:line="360" w:lineRule="auto"/>
        <w:jc w:val="right"/>
      </w:pPr>
      <w:r>
        <w:rPr>
          <w:rFonts w:ascii="Traditional Arabic" w:hAnsi="Traditional Arabic"/>
          <w:b/>
          <w:bCs/>
          <w:sz w:val="28"/>
          <w:rtl/>
        </w:rPr>
        <w:t xml:space="preserve">الإعلام الآلي (Informatique). (2024). مقياس BTS GSL، الفصل الدراسي الأول.</w:t>
      </w:r>
    </w:p>
    <w:p>
      <w:pPr>
        <w:pStyle w:val="Compact"/>
        <w:numPr>
          <w:ilvl w:val="0"/>
          <w:numId w:val="1006"/>
        </w:numPr>
        <w:bidi/>
        <w:spacing w:line="360" w:lineRule="auto"/>
        <w:jc w:val="right"/>
      </w:pPr>
      <w:r>
        <w:rPr>
          <w:rFonts w:ascii="Traditional Arabic" w:hAnsi="Traditional Arabic"/>
          <w:b/>
          <w:bCs/>
          <w:sz w:val="28"/>
          <w:rtl/>
        </w:rPr>
        <w:t xml:space="preserve">الرياضيات العامة (Mathématiques Générales). (2024). مقياس BTS GSL، الفصل الدراسي الأول.</w:t>
      </w:r>
    </w:p>
    <w:p>
      <w:pPr>
        <w:pStyle w:val="Compact"/>
        <w:numPr>
          <w:ilvl w:val="0"/>
          <w:numId w:val="1006"/>
        </w:numPr>
        <w:bidi/>
        <w:spacing w:line="360" w:lineRule="auto"/>
        <w:jc w:val="right"/>
      </w:pPr>
      <w:r>
        <w:rPr>
          <w:rFonts w:ascii="Traditional Arabic" w:hAnsi="Traditional Arabic"/>
          <w:b/>
          <w:bCs/>
          <w:sz w:val="28"/>
          <w:rtl/>
        </w:rPr>
        <w:t xml:space="preserve">البحث واختيار الموردين (Recherche et Sélection des Fournisseurs). (2024). مقياس BTS GSL، الفصل الدراسي الثاني.</w:t>
      </w:r>
    </w:p>
    <w:p>
      <w:pPr>
        <w:pStyle w:val="Compact"/>
        <w:numPr>
          <w:ilvl w:val="0"/>
          <w:numId w:val="1006"/>
        </w:numPr>
        <w:bidi/>
        <w:spacing w:line="360" w:lineRule="auto"/>
        <w:jc w:val="right"/>
      </w:pPr>
      <w:r>
        <w:rPr>
          <w:rFonts w:ascii="Traditional Arabic" w:hAnsi="Traditional Arabic"/>
          <w:b/>
          <w:bCs/>
          <w:sz w:val="28"/>
          <w:rtl/>
        </w:rPr>
        <w:t xml:space="preserve">إعداد ومراقبة أمر الشراء (Établissement et Contrôle de la Commande d’Achat). (2024). مقياس BTS GSL، الفصل الدراسي الثاني.</w:t>
      </w:r>
    </w:p>
    <w:p>
      <w:pPr>
        <w:pStyle w:val="Compact"/>
        <w:numPr>
          <w:ilvl w:val="0"/>
          <w:numId w:val="1006"/>
        </w:numPr>
        <w:bidi/>
        <w:spacing w:line="360" w:lineRule="auto"/>
        <w:jc w:val="right"/>
      </w:pPr>
      <w:r>
        <w:rPr>
          <w:rFonts w:ascii="Traditional Arabic" w:hAnsi="Traditional Arabic"/>
          <w:b/>
          <w:bCs/>
          <w:sz w:val="28"/>
          <w:rtl/>
        </w:rPr>
        <w:t xml:space="preserve">الحساب التجاري (Arithmétique Commerciale). (2024). مقياس BTS GSL، الفصل الدراسي الثاني.</w:t>
      </w:r>
    </w:p>
    <w:p>
      <w:pPr>
        <w:pStyle w:val="Compact"/>
        <w:numPr>
          <w:ilvl w:val="0"/>
          <w:numId w:val="1006"/>
        </w:numPr>
        <w:bidi/>
        <w:spacing w:line="360" w:lineRule="auto"/>
        <w:jc w:val="right"/>
      </w:pPr>
      <w:r>
        <w:rPr>
          <w:rFonts w:ascii="Traditional Arabic" w:hAnsi="Traditional Arabic"/>
          <w:b/>
          <w:bCs/>
          <w:sz w:val="28"/>
          <w:rtl/>
        </w:rPr>
        <w:t xml:space="preserve">تطبيق قواعد الصحة والأمن والبيئة (Application des Règles d’Hygiène Sécurité et Environnement). (2024). مقياس BTS GSL، الفصل الدراسي الثاني.</w:t>
      </w:r>
    </w:p>
    <w:p>
      <w:pPr>
        <w:pStyle w:val="Compact"/>
        <w:numPr>
          <w:ilvl w:val="0"/>
          <w:numId w:val="1006"/>
        </w:numPr>
        <w:bidi/>
        <w:spacing w:line="360" w:lineRule="auto"/>
        <w:jc w:val="right"/>
      </w:pPr>
      <w:r>
        <w:rPr>
          <w:rFonts w:ascii="Traditional Arabic" w:hAnsi="Traditional Arabic"/>
          <w:b/>
          <w:bCs/>
          <w:sz w:val="28"/>
          <w:rtl/>
        </w:rPr>
        <w:t xml:space="preserve">القانون التجاري (Droit Commercial). (2024). مقياس BTS GSL، الفصل الدراسي الثاني.</w:t>
      </w:r>
    </w:p>
    <w:p>
      <w:pPr>
        <w:pStyle w:val="Compact"/>
        <w:numPr>
          <w:ilvl w:val="0"/>
          <w:numId w:val="1006"/>
        </w:numPr>
        <w:bidi/>
        <w:spacing w:line="360" w:lineRule="auto"/>
        <w:jc w:val="right"/>
      </w:pPr>
      <w:r>
        <w:rPr>
          <w:rFonts w:ascii="Traditional Arabic" w:hAnsi="Traditional Arabic"/>
          <w:b/>
          <w:bCs/>
          <w:sz w:val="28"/>
          <w:rtl/>
        </w:rPr>
        <w:t xml:space="preserve">الوثائق التجارية (Documents Commerciaux). (2024). مقياس BTS GSL، الفصل الدراسي الثاني.</w:t>
      </w:r>
    </w:p>
    <w:p>
      <w:pPr>
        <w:pStyle w:val="Compact"/>
        <w:numPr>
          <w:ilvl w:val="0"/>
          <w:numId w:val="1006"/>
        </w:numPr>
        <w:bidi/>
        <w:spacing w:line="360" w:lineRule="auto"/>
        <w:jc w:val="right"/>
      </w:pPr>
      <w:r>
        <w:rPr>
          <w:rFonts w:ascii="Traditional Arabic" w:hAnsi="Traditional Arabic"/>
          <w:b/>
          <w:bCs/>
          <w:sz w:val="28"/>
          <w:rtl/>
        </w:rPr>
        <w:t xml:space="preserve">تسجيل ومراقبة التوريدات (Enregistrement Comptable et Contrôle des Approvisionnements). (2024). مقياس BTS GSL، الفصل الدراسي الثالث.</w:t>
      </w:r>
    </w:p>
    <w:p>
      <w:pPr>
        <w:pStyle w:val="Compact"/>
        <w:numPr>
          <w:ilvl w:val="0"/>
          <w:numId w:val="1006"/>
        </w:numPr>
        <w:bidi/>
        <w:spacing w:line="360" w:lineRule="auto"/>
        <w:jc w:val="right"/>
      </w:pPr>
      <w:r>
        <w:rPr>
          <w:rFonts w:ascii="Traditional Arabic" w:hAnsi="Traditional Arabic"/>
          <w:b/>
          <w:bCs/>
          <w:sz w:val="28"/>
          <w:rtl/>
        </w:rPr>
        <w:t xml:space="preserve">إجراء الجرد الفعلي (Réalisation de l’Inventaire Physique). (2024). مقياس BTS GSL، الفصل الدراسي الثالث.</w:t>
      </w:r>
    </w:p>
    <w:p>
      <w:pPr>
        <w:pStyle w:val="Compact"/>
        <w:numPr>
          <w:ilvl w:val="0"/>
          <w:numId w:val="1006"/>
        </w:numPr>
        <w:bidi/>
        <w:spacing w:line="360" w:lineRule="auto"/>
        <w:jc w:val="right"/>
      </w:pPr>
      <w:r>
        <w:rPr>
          <w:rFonts w:ascii="Traditional Arabic" w:hAnsi="Traditional Arabic"/>
          <w:b/>
          <w:bCs/>
          <w:sz w:val="28"/>
          <w:rtl/>
        </w:rPr>
        <w:t xml:space="preserve">إجراء الجرد المحاسبي (Réalisation de l’Inventaire Comptable). (2024). مقياس BTS GSL، الفصل الدراسي الثالث.</w:t>
      </w:r>
    </w:p>
    <w:p>
      <w:pPr>
        <w:pStyle w:val="Compact"/>
        <w:numPr>
          <w:ilvl w:val="0"/>
          <w:numId w:val="1006"/>
        </w:numPr>
        <w:bidi/>
        <w:spacing w:line="360" w:lineRule="auto"/>
        <w:jc w:val="right"/>
      </w:pPr>
      <w:r>
        <w:rPr>
          <w:rFonts w:ascii="Traditional Arabic" w:hAnsi="Traditional Arabic"/>
          <w:b/>
          <w:bCs/>
          <w:sz w:val="28"/>
          <w:rtl/>
        </w:rPr>
        <w:t xml:space="preserve">إجراء دراسة وسائل النقل (Réalisation d’une Étude des Moyens de Transport). (2024). مقياس BTS GSL، الفصل الدراسي الثالث.</w:t>
      </w:r>
    </w:p>
    <w:p>
      <w:pPr>
        <w:pStyle w:val="Compact"/>
        <w:numPr>
          <w:ilvl w:val="0"/>
          <w:numId w:val="1006"/>
        </w:numPr>
        <w:bidi/>
        <w:spacing w:line="360" w:lineRule="auto"/>
        <w:jc w:val="right"/>
      </w:pPr>
      <w:r>
        <w:rPr>
          <w:rFonts w:ascii="Traditional Arabic" w:hAnsi="Traditional Arabic"/>
          <w:b/>
          <w:bCs/>
          <w:sz w:val="28"/>
          <w:rtl/>
        </w:rPr>
        <w:t xml:space="preserve">تحديد الاحتياجات وعناصر برنامج التوريد (Détermination des Besoins et les Éléments Constitutifs du Programme d’Approvisionnement). (2024). مقياس BTS GSL، الفصل الدراسي الثالث.</w:t>
      </w:r>
    </w:p>
    <w:p>
      <w:pPr>
        <w:pStyle w:val="Compact"/>
        <w:numPr>
          <w:ilvl w:val="0"/>
          <w:numId w:val="1006"/>
        </w:numPr>
        <w:bidi/>
        <w:spacing w:line="360" w:lineRule="auto"/>
        <w:jc w:val="right"/>
      </w:pPr>
      <w:r>
        <w:rPr>
          <w:rFonts w:ascii="Traditional Arabic" w:hAnsi="Traditional Arabic"/>
          <w:b/>
          <w:bCs/>
          <w:sz w:val="28"/>
          <w:rtl/>
        </w:rPr>
        <w:t xml:space="preserve">الإدارة الفعالة للتوريدات (Gestion Efficace des Approvisionnements). (2024). مقياس BTS GSL، الفصل الدراسي الثالث.</w:t>
      </w:r>
    </w:p>
    <w:p>
      <w:pPr>
        <w:pStyle w:val="Compact"/>
        <w:numPr>
          <w:ilvl w:val="0"/>
          <w:numId w:val="1006"/>
        </w:numPr>
        <w:bidi/>
        <w:spacing w:line="360" w:lineRule="auto"/>
        <w:jc w:val="right"/>
      </w:pPr>
      <w:r>
        <w:rPr>
          <w:rFonts w:ascii="Traditional Arabic" w:hAnsi="Traditional Arabic"/>
          <w:b/>
          <w:bCs/>
          <w:sz w:val="28"/>
          <w:rtl/>
        </w:rPr>
        <w:t xml:space="preserve">تقنيات التعبير والتواصل (Techniques d’Expression et de Communication). (2024). مقياس BTS GSL، الفصل الدراسي الثالث.</w:t>
      </w:r>
    </w:p>
    <w:p>
      <w:pPr>
        <w:pStyle w:val="Compact"/>
        <w:numPr>
          <w:ilvl w:val="0"/>
          <w:numId w:val="1006"/>
        </w:numPr>
        <w:bidi/>
        <w:spacing w:line="360" w:lineRule="auto"/>
        <w:jc w:val="right"/>
      </w:pPr>
      <w:r>
        <w:rPr>
          <w:rFonts w:ascii="Traditional Arabic" w:hAnsi="Traditional Arabic"/>
          <w:b/>
          <w:bCs/>
          <w:sz w:val="28"/>
          <w:rtl/>
        </w:rPr>
        <w:t xml:space="preserve">اقتصاد المؤسسة (Économie de l’Entreprise). (2024). مقياس BTS GSL، الفصل الدراسي الثالث.</w:t>
      </w:r>
    </w:p>
    <w:p>
      <w:pPr>
        <w:pStyle w:val="Compact"/>
        <w:numPr>
          <w:ilvl w:val="0"/>
          <w:numId w:val="1006"/>
        </w:numPr>
        <w:bidi/>
        <w:spacing w:line="360" w:lineRule="auto"/>
        <w:jc w:val="right"/>
      </w:pPr>
      <w:r>
        <w:rPr>
          <w:rFonts w:ascii="Traditional Arabic" w:hAnsi="Traditional Arabic"/>
          <w:b/>
          <w:bCs/>
          <w:sz w:val="28"/>
          <w:rtl/>
        </w:rPr>
        <w:t xml:space="preserve">الإحصاء الوصفي (Statistiques Descriptives). (2024). مقياس BTS GSL، الفصل الدراسي الثالث.</w:t>
      </w:r>
    </w:p>
    <w:p>
      <w:pPr>
        <w:pStyle w:val="Compact"/>
        <w:numPr>
          <w:ilvl w:val="0"/>
          <w:numId w:val="1006"/>
        </w:numPr>
        <w:bidi/>
        <w:spacing w:line="360" w:lineRule="auto"/>
        <w:jc w:val="right"/>
      </w:pPr>
      <w:r>
        <w:rPr>
          <w:rFonts w:ascii="Traditional Arabic" w:hAnsi="Traditional Arabic"/>
          <w:b/>
          <w:bCs/>
          <w:sz w:val="28"/>
          <w:rtl/>
        </w:rPr>
        <w:t xml:space="preserve">التخطيط الاستراتيجي للوجستيك (Planification Stratégique de la Logistique). (2024). مقياس BTS GSL، الفصل الدراسي الرابع.</w:t>
      </w:r>
    </w:p>
    <w:p>
      <w:pPr>
        <w:pStyle w:val="Compact"/>
        <w:numPr>
          <w:ilvl w:val="0"/>
          <w:numId w:val="1006"/>
        </w:numPr>
        <w:bidi/>
        <w:spacing w:line="360" w:lineRule="auto"/>
        <w:jc w:val="right"/>
      </w:pPr>
      <w:r>
        <w:rPr>
          <w:rFonts w:ascii="Traditional Arabic" w:hAnsi="Traditional Arabic"/>
          <w:b/>
          <w:bCs/>
          <w:sz w:val="28"/>
          <w:rtl/>
        </w:rPr>
        <w:t xml:space="preserve">التخطيط الاستراتيجي (Planification Stratégique). (2024). مقياس BTS GSL، الفصل الدراسي الرابع.</w:t>
      </w:r>
    </w:p>
    <w:p>
      <w:pPr>
        <w:pStyle w:val="Compact"/>
        <w:numPr>
          <w:ilvl w:val="0"/>
          <w:numId w:val="1006"/>
        </w:numPr>
        <w:bidi/>
        <w:spacing w:line="360" w:lineRule="auto"/>
        <w:jc w:val="right"/>
      </w:pPr>
      <w:r>
        <w:rPr>
          <w:rFonts w:ascii="Traditional Arabic" w:hAnsi="Traditional Arabic"/>
          <w:b/>
          <w:bCs/>
          <w:sz w:val="28"/>
          <w:rtl/>
        </w:rPr>
        <w:t xml:space="preserve">تجديد الأمر (Renouvellement de la Commande). (2024). مقياس BTS GSL، الفصل الدراسي الرابع.</w:t>
      </w:r>
    </w:p>
    <w:p>
      <w:pPr>
        <w:pStyle w:val="Compact"/>
        <w:numPr>
          <w:ilvl w:val="0"/>
          <w:numId w:val="1006"/>
        </w:numPr>
        <w:bidi/>
        <w:spacing w:line="360" w:lineRule="auto"/>
        <w:jc w:val="right"/>
      </w:pPr>
      <w:r>
        <w:rPr>
          <w:rFonts w:ascii="Traditional Arabic" w:hAnsi="Traditional Arabic"/>
          <w:b/>
          <w:bCs/>
          <w:sz w:val="28"/>
          <w:rtl/>
        </w:rPr>
        <w:t xml:space="preserve">المتابعة والتحكم في المواد المسلَّمة (Suivi et Contrôle des Articles Livrés). (2024). مقياس BTS GSL، الفصل الدراسي الرابع.</w:t>
      </w:r>
    </w:p>
    <w:p>
      <w:pPr>
        <w:pStyle w:val="Compact"/>
        <w:numPr>
          <w:ilvl w:val="0"/>
          <w:numId w:val="1006"/>
        </w:numPr>
        <w:bidi/>
        <w:spacing w:line="360" w:lineRule="auto"/>
        <w:jc w:val="right"/>
      </w:pPr>
      <w:r>
        <w:rPr>
          <w:rFonts w:ascii="Traditional Arabic" w:hAnsi="Traditional Arabic"/>
          <w:b/>
          <w:bCs/>
          <w:sz w:val="28"/>
          <w:rtl/>
        </w:rPr>
        <w:t xml:space="preserve">تنظيم الوسائل اللوجستيكية (Organisation des Moyens Logistiques). (2024). مقياس BTS GSL، الفصل الدراسي الرابع.</w:t>
      </w:r>
    </w:p>
    <w:p>
      <w:pPr>
        <w:pStyle w:val="Compact"/>
        <w:numPr>
          <w:ilvl w:val="0"/>
          <w:numId w:val="1006"/>
        </w:numPr>
        <w:bidi/>
        <w:spacing w:line="360" w:lineRule="auto"/>
        <w:jc w:val="right"/>
      </w:pPr>
      <w:r>
        <w:rPr>
          <w:rFonts w:ascii="Traditional Arabic" w:hAnsi="Traditional Arabic"/>
          <w:b/>
          <w:bCs/>
          <w:sz w:val="28"/>
          <w:rtl/>
        </w:rPr>
        <w:t xml:space="preserve">التسيير الميزانياتي (Gestion Budgétaire). (2024). مقياس BTS GSL، الفصل الدراسي الرابع.</w:t>
      </w:r>
    </w:p>
    <w:p>
      <w:pPr>
        <w:pStyle w:val="Compact"/>
        <w:numPr>
          <w:ilvl w:val="0"/>
          <w:numId w:val="1006"/>
        </w:numPr>
        <w:bidi/>
        <w:spacing w:line="360" w:lineRule="auto"/>
        <w:jc w:val="right"/>
      </w:pPr>
      <w:r>
        <w:rPr>
          <w:rFonts w:ascii="Traditional Arabic" w:hAnsi="Traditional Arabic"/>
          <w:b/>
          <w:bCs/>
          <w:sz w:val="28"/>
          <w:rtl/>
        </w:rPr>
        <w:t xml:space="preserve">الإنجليزية التجارية (Anglais Commercial). (2024). مقياس BTS GSL، الفصل الدراسي الرابع.</w:t>
      </w:r>
    </w:p>
    <w:p>
      <w:pPr>
        <w:pStyle w:val="Compact"/>
        <w:numPr>
          <w:ilvl w:val="0"/>
          <w:numId w:val="1006"/>
        </w:numPr>
        <w:bidi/>
        <w:spacing w:line="360" w:lineRule="auto"/>
        <w:jc w:val="right"/>
      </w:pPr>
      <w:r>
        <w:rPr>
          <w:rFonts w:ascii="Traditional Arabic" w:hAnsi="Traditional Arabic"/>
          <w:b/>
          <w:bCs/>
          <w:sz w:val="28"/>
          <w:rtl/>
        </w:rPr>
        <w:t xml:space="preserve">تنظيم المواد (Organisation du Matériel). (2024). مقياس BTS GSL، الفصل الدراسي الرابع.</w:t>
      </w:r>
    </w:p>
    <w:p>
      <w:pPr>
        <w:pStyle w:val="Compact"/>
        <w:numPr>
          <w:ilvl w:val="0"/>
          <w:numId w:val="1006"/>
        </w:numPr>
        <w:bidi/>
        <w:spacing w:line="360" w:lineRule="auto"/>
        <w:jc w:val="right"/>
      </w:pPr>
      <w:r>
        <w:rPr>
          <w:rFonts w:ascii="Traditional Arabic" w:hAnsi="Traditional Arabic"/>
          <w:b/>
          <w:bCs/>
          <w:sz w:val="28"/>
          <w:rtl/>
        </w:rPr>
        <w:t xml:space="preserve">المنهجية (Méthodologie). (2024). مقياس BTS GSL، الفصل الدراسي الرابع.</w:t>
      </w:r>
    </w:p>
    <w:p>
      <w:pPr>
        <w:pStyle w:val="Compact"/>
        <w:numPr>
          <w:ilvl w:val="0"/>
          <w:numId w:val="1006"/>
        </w:numPr>
        <w:bidi/>
        <w:spacing w:line="360" w:lineRule="auto"/>
        <w:jc w:val="right"/>
      </w:pPr>
      <w:r>
        <w:rPr>
          <w:rFonts w:ascii="Traditional Arabic" w:hAnsi="Traditional Arabic"/>
          <w:b/>
          <w:bCs/>
          <w:sz w:val="28"/>
          <w:rtl/>
        </w:rPr>
        <w:t xml:space="preserve">المعجم اللوجستيكي (Glossaire). (2024). مقياس BTS GSL، الفصل الدراسي الرابع.</w:t>
      </w:r>
    </w:p>
    <w:bookmarkEnd w:id="147"/>
    <w:bookmarkStart w:id="148" w:name="رابعا-المراجع-التقنية"/>
    <w:p>
      <w:pPr>
        <w:pStyle w:val="Heading2"/>
        <w:bidi/>
      </w:pPr>
      <w:r>
        <w:rPr>
          <w:b/>
          <w:sz w:val="36"/>
          <w:rtl/>
        </w:rPr>
        <w:t xml:space="preserve">رابعاً: المراجع التقنية</w:t>
      </w:r>
    </w:p>
    <w:p>
      <w:pPr>
        <w:pStyle w:val="Compact"/>
        <w:numPr>
          <w:ilvl w:val="0"/>
          <w:numId w:val="1007"/>
        </w:numPr>
        <w:bidi/>
        <w:spacing w:line="360" w:lineRule="auto"/>
        <w:jc w:val="right"/>
      </w:pPr>
      <w:r>
        <w:rPr>
          <w:rFonts w:ascii="Traditional Arabic" w:hAnsi="Traditional Arabic"/>
          <w:b/>
          <w:bCs/>
          <w:sz w:val="28"/>
          <w:rtl/>
        </w:rPr>
        <w:t xml:space="preserve">Microsoft Corporation. (2023). VBA Reference — Visual Basic for Applications. Microsoft Docs.</w:t>
      </w:r>
    </w:p>
    <w:p>
      <w:pPr>
        <w:pStyle w:val="Compact"/>
        <w:numPr>
          <w:ilvl w:val="0"/>
          <w:numId w:val="1007"/>
        </w:numPr>
        <w:bidi/>
        <w:spacing w:line="360" w:lineRule="auto"/>
        <w:jc w:val="right"/>
      </w:pPr>
      <w:r>
        <w:rPr>
          <w:rFonts w:ascii="Traditional Arabic" w:hAnsi="Traditional Arabic"/>
          <w:b/>
          <w:bCs/>
          <w:sz w:val="28"/>
          <w:rtl/>
        </w:rPr>
        <w:t xml:space="preserve">Microsoft Corporation. (2019). Excel Object Model Overview. Microsoft Docs.</w:t>
      </w:r>
    </w:p>
    <w:bookmarkEnd w:id="148"/>
    <w:bookmarkStart w:id="149" w:name="خامسا-مشاريع-وأطروحات-موازية"/>
    <w:p>
      <w:pPr>
        <w:pStyle w:val="Heading2"/>
        <w:bidi/>
      </w:pPr>
      <w:r>
        <w:rPr>
          <w:b/>
          <w:sz w:val="36"/>
          <w:rtl/>
        </w:rPr>
        <w:t xml:space="preserve">خامساً: مشاريع وأطروحات موازية</w:t>
      </w:r>
    </w:p>
    <w:p>
      <w:pPr>
        <w:pStyle w:val="Compact"/>
        <w:numPr>
          <w:ilvl w:val="0"/>
          <w:numId w:val="1008"/>
        </w:numPr>
        <w:bidi/>
        <w:spacing w:line="360" w:lineRule="auto"/>
        <w:jc w:val="right"/>
      </w:pPr>
      <w:r>
        <w:rPr>
          <w:rFonts w:ascii="Traditional Arabic" w:hAnsi="Traditional Arabic"/>
          <w:b/>
          <w:bCs/>
          <w:sz w:val="28"/>
          <w:rtl/>
        </w:rPr>
        <w:t xml:space="preserve">Bouchahlata, M. (2021). Contribution à l’amélioration du lead time de la chaîne logistique en combinant une solution VBA et la business intelligence : application Ericsson Algérie. Mémoire de Projet de Fin d’Études, École Nationale Polytechnique d’Alger.</w:t>
      </w:r>
    </w:p>
    <w:p>
      <w:pPr>
        <w:pStyle w:val="Compact"/>
        <w:numPr>
          <w:ilvl w:val="0"/>
          <w:numId w:val="1008"/>
        </w:numPr>
        <w:bidi/>
        <w:spacing w:line="360" w:lineRule="auto"/>
        <w:jc w:val="right"/>
      </w:pPr>
      <w:r>
        <w:rPr>
          <w:rFonts w:ascii="Traditional Arabic" w:hAnsi="Traditional Arabic"/>
          <w:b/>
          <w:bCs/>
          <w:sz w:val="28"/>
          <w:rtl/>
        </w:rPr>
        <w:t xml:space="preserve">Sebti, A. (1993). Élaboration d’un outil d’aide à la décision pour la gestion des stocks basé sur l’étude prévisionnelle. Mémoire de Projet de Fin d’Études, École Nationale Polytechnique d’Alger.</w:t>
      </w:r>
    </w:p>
    <w:p>
      <w:pPr>
        <w:pStyle w:val="Compact"/>
        <w:numPr>
          <w:ilvl w:val="0"/>
          <w:numId w:val="1008"/>
        </w:numPr>
        <w:bidi/>
        <w:spacing w:line="360" w:lineRule="auto"/>
        <w:jc w:val="right"/>
      </w:pPr>
      <w:r>
        <w:rPr>
          <w:rFonts w:ascii="Traditional Arabic" w:hAnsi="Traditional Arabic"/>
          <w:b/>
          <w:bCs/>
          <w:sz w:val="28"/>
          <w:rtl/>
        </w:rPr>
        <w:t xml:space="preserve">Yahi, A. (1992). Élaboration d’un logiciel de gestion de stocks de pièces de rechange. Mémoire de Projet de Fin d’Études, École Nationale Polytechnique d’Alger.</w:t>
      </w:r>
    </w:p>
    <w:p>
      <w:pPr>
        <w:pStyle w:val="Compact"/>
        <w:numPr>
          <w:ilvl w:val="0"/>
          <w:numId w:val="1008"/>
        </w:numPr>
        <w:bidi/>
        <w:spacing w:line="360" w:lineRule="auto"/>
        <w:jc w:val="right"/>
      </w:pPr>
      <w:r>
        <w:rPr>
          <w:rFonts w:ascii="Traditional Arabic" w:hAnsi="Traditional Arabic"/>
          <w:b/>
          <w:bCs/>
          <w:sz w:val="28"/>
          <w:rtl/>
        </w:rPr>
        <w:t xml:space="preserve">Belhadi, M. E. A. (2015). Modélisation et optimisation de la gestion de stocks des pièces de rechange : application SASACE-Algérie. Mémoire de Projet de Fin d’Études, École Nationale Polytechnique d’Alger.</w:t>
      </w:r>
    </w:p>
    <w:bookmarkEnd w:id="149"/>
    <w:bookmarkStart w:id="150" w:name="سادسا-مصادر-البيانات-الميدانية"/>
    <w:p>
      <w:pPr>
        <w:pStyle w:val="Heading2"/>
        <w:bidi/>
      </w:pPr>
      <w:r>
        <w:rPr>
          <w:b/>
          <w:sz w:val="36"/>
          <w:rtl/>
        </w:rPr>
        <w:t xml:space="preserve">سادساً: مصادر البيانات الميدانية</w:t>
      </w:r>
    </w:p>
    <w:p>
      <w:pPr>
        <w:pStyle w:val="Compact"/>
        <w:numPr>
          <w:ilvl w:val="0"/>
          <w:numId w:val="1009"/>
        </w:numPr>
        <w:bidi/>
        <w:spacing w:line="360" w:lineRule="auto"/>
        <w:jc w:val="right"/>
      </w:pPr>
      <w:r>
        <w:rPr>
          <w:rFonts w:ascii="Traditional Arabic" w:hAnsi="Traditional Arabic"/>
          <w:b/>
          <w:bCs/>
          <w:sz w:val="28"/>
          <w:rtl/>
        </w:rPr>
        <w:t xml:space="preserve">مديرية التربية لولاية البيض — مصلحة المخازن. (2025). السجلات السنوية لحركة المخزون (الفصلية). وثائق داخلية غير منشورة.</w:t>
      </w:r>
    </w:p>
    <w:p>
      <w:pPr>
        <w:pStyle w:val="Compact"/>
        <w:numPr>
          <w:ilvl w:val="0"/>
          <w:numId w:val="1009"/>
        </w:numPr>
        <w:bidi/>
        <w:spacing w:line="360" w:lineRule="auto"/>
        <w:jc w:val="right"/>
      </w:pPr>
      <w:r>
        <w:rPr>
          <w:rFonts w:ascii="Traditional Arabic" w:hAnsi="Traditional Arabic"/>
          <w:b/>
          <w:bCs/>
          <w:sz w:val="28"/>
          <w:rtl/>
        </w:rPr>
        <w:t xml:space="preserve">مديرية التربية لولاية البيض — مصلحة الميزانية. (2025). بيانات تكاليف الطلب والاحتفاظ. وثائق داخلية غير منشورة.</w:t>
      </w:r>
    </w:p>
    <w:bookmarkEnd w:id="150"/>
    <w:bookmarkStart w:id="151" w:name="سابعا-المراجع-البرمجية"/>
    <w:p>
      <w:pPr>
        <w:pStyle w:val="Heading2"/>
        <w:bidi/>
      </w:pPr>
      <w:r>
        <w:rPr>
          <w:b/>
          <w:sz w:val="36"/>
          <w:rtl/>
        </w:rPr>
        <w:t xml:space="preserve">سابعاً: المراجع البرمجية</w:t>
      </w:r>
    </w:p>
    <w:p>
      <w:pPr>
        <w:pStyle w:val="Compact"/>
        <w:numPr>
          <w:ilvl w:val="0"/>
          <w:numId w:val="1010"/>
        </w:numPr>
        <w:bidi/>
        <w:spacing w:line="360" w:lineRule="auto"/>
        <w:jc w:val="right"/>
      </w:pPr>
      <w:r>
        <w:rPr>
          <w:rFonts w:ascii="Traditional Arabic" w:hAnsi="Traditional Arabic"/>
          <w:b/>
          <w:bCs/>
          <w:sz w:val="28"/>
          <w:rtl/>
        </w:rPr>
        <w:t xml:space="preserve">Kamel, M. (2026). ERP_Académie v13.3 — Système d’Aide à la Décision pour la Gestion des Stocks. GitHub. https://github.com/kamelmh/lsm-vba-core.</w:t>
      </w:r>
    </w:p>
    <w:bookmarkEnd w:id="151"/>
    <w:bookmarkEnd w:id="152"/>
    <w:bookmarkStart w:id="153" w:name="جدول-المختصرات-والرموز-التقنية"/>
    <w:p>
      <w:pPr>
        <w:pStyle w:val="Heading1"/>
        <w:bidi/>
      </w:pPr>
      <w:r>
        <w:rPr>
          <w:b/>
          <w:sz w:val="44"/>
          <w:rtl/>
        </w:rPr>
        <w:t xml:space="preserve">جدول المختصرات والرموز التقنية</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625216" w:type="dxa"/>
          </w:tcPr>
          <w:p>
            <w:pPr>
              <w:pStyle w:val="Compact"/>
              <w:bidi/>
            </w:pPr>
            <w:r>
              <w:rPr>
                <w:rtl/>
              </w:rPr>
              <w:t xml:space="preserve">الاختصار</w:t>
            </w:r>
          </w:p>
        </w:tc>
        <w:tc>
          <w:tcPr>
            <w:tcW w:w="2053663" w:type="dxa"/>
          </w:tcPr>
          <w:p>
            <w:pPr>
              <w:pStyle w:val="Compact"/>
              <w:bidi/>
            </w:pPr>
            <w:r>
              <w:rPr>
                <w:rtl/>
              </w:rPr>
              <w:t xml:space="preserve">المعنى بالفرنسية/الإنجليزية</w:t>
            </w:r>
          </w:p>
        </w:tc>
        <w:tc>
          <w:tcPr>
            <w:tcW w:w="2631120" w:type="dxa"/>
          </w:tcPr>
          <w:p>
            <w:pPr>
              <w:pStyle w:val="Compact"/>
              <w:bidi/>
            </w:pPr>
            <w:r>
              <w:rPr>
                <w:rtl/>
              </w:rPr>
              <w:t xml:space="preserve">المعنى بالعربية</w:t>
            </w:r>
          </w:p>
        </w:tc>
      </w:tr>
      <w:tr>
        <w:tc>
          <w:tcPr>
            <w:tcW w:w="625216" w:type="dxa"/>
          </w:tcPr>
          <w:p>
            <w:pPr>
              <w:pStyle w:val="Compact"/>
              <w:bidi/>
            </w:pPr>
            <w:r>
              <w:rPr>
                <w:rtl/>
              </w:rPr>
              <w:t xml:space="preserve">ERP</w:t>
            </w:r>
          </w:p>
        </w:tc>
        <w:tc>
          <w:tcPr>
            <w:tcW w:w="2053663" w:type="dxa"/>
          </w:tcPr>
          <w:p>
            <w:pPr>
              <w:pStyle w:val="Compact"/>
              <w:bidi/>
            </w:pPr>
            <w:r>
              <w:rPr>
                <w:rtl/>
              </w:rPr>
              <w:t xml:space="preserve">Enterprise Resource Planning</w:t>
            </w:r>
          </w:p>
        </w:tc>
        <w:tc>
          <w:tcPr>
            <w:tcW w:w="2631120" w:type="dxa"/>
          </w:tcPr>
          <w:p>
            <w:pPr>
              <w:pStyle w:val="Compact"/>
              <w:bidi/>
            </w:pPr>
            <w:r>
              <w:rPr>
                <w:rtl/>
              </w:rPr>
              <w:t xml:space="preserve">نظام تخطيط موارد المؤسسة</w:t>
            </w:r>
          </w:p>
        </w:tc>
      </w:tr>
      <w:tr>
        <w:tc>
          <w:tcPr>
            <w:tcW w:w="625216" w:type="dxa"/>
          </w:tcPr>
          <w:p>
            <w:pPr>
              <w:pStyle w:val="Compact"/>
              <w:bidi/>
            </w:pPr>
            <w:r>
              <w:rPr>
                <w:rtl/>
              </w:rPr>
              <w:t xml:space="preserve">VBA</w:t>
            </w:r>
          </w:p>
        </w:tc>
        <w:tc>
          <w:tcPr>
            <w:tcW w:w="2053663" w:type="dxa"/>
          </w:tcPr>
          <w:p>
            <w:pPr>
              <w:pStyle w:val="Compact"/>
              <w:bidi/>
            </w:pPr>
            <w:r>
              <w:rPr>
                <w:rtl/>
              </w:rPr>
              <w:t xml:space="preserve">Visual Basic for Applications</w:t>
            </w:r>
          </w:p>
        </w:tc>
        <w:tc>
          <w:tcPr>
            <w:tcW w:w="2631120" w:type="dxa"/>
          </w:tcPr>
          <w:p>
            <w:pPr>
              <w:pStyle w:val="Compact"/>
              <w:bidi/>
            </w:pPr>
            <w:r>
              <w:rPr>
                <w:rtl/>
              </w:rPr>
              <w:t xml:space="preserve">لغة الأتمتة في Microsoft Office</w:t>
            </w:r>
          </w:p>
        </w:tc>
      </w:tr>
      <w:tr>
        <w:tc>
          <w:tcPr>
            <w:tcW w:w="625216" w:type="dxa"/>
          </w:tcPr>
          <w:p>
            <w:pPr>
              <w:pStyle w:val="Compact"/>
              <w:bidi/>
            </w:pPr>
            <w:r>
              <w:rPr>
                <w:rtl/>
              </w:rPr>
              <w:t xml:space="preserve">EOQ / Q*</w:t>
            </w:r>
          </w:p>
        </w:tc>
        <w:tc>
          <w:tcPr>
            <w:tcW w:w="2053663" w:type="dxa"/>
          </w:tcPr>
          <w:p>
            <w:pPr>
              <w:pStyle w:val="Compact"/>
              <w:bidi/>
            </w:pPr>
            <w:r>
              <w:rPr>
                <w:rtl/>
              </w:rPr>
              <w:t xml:space="preserve">Economic Order Quantity</w:t>
            </w:r>
          </w:p>
        </w:tc>
        <w:tc>
          <w:tcPr>
            <w:tcW w:w="2631120" w:type="dxa"/>
          </w:tcPr>
          <w:p>
            <w:pPr>
              <w:pStyle w:val="Compact"/>
              <w:bidi/>
            </w:pPr>
            <w:r>
              <w:rPr>
                <w:rtl/>
              </w:rPr>
              <w:t xml:space="preserve">الكمية الاقتصادية المثلى للطلب</w:t>
            </w:r>
          </w:p>
        </w:tc>
      </w:tr>
      <w:tr>
        <w:tc>
          <w:tcPr>
            <w:tcW w:w="625216" w:type="dxa"/>
          </w:tcPr>
          <w:p>
            <w:pPr>
              <w:pStyle w:val="Compact"/>
              <w:bidi/>
            </w:pPr>
            <w:r>
              <w:rPr>
                <w:rtl/>
              </w:rPr>
              <w:t xml:space="preserve">ROP</w:t>
            </w:r>
          </w:p>
        </w:tc>
        <w:tc>
          <w:tcPr>
            <w:tcW w:w="2053663" w:type="dxa"/>
          </w:tcPr>
          <w:p>
            <w:pPr>
              <w:pStyle w:val="Compact"/>
              <w:bidi/>
            </w:pPr>
            <w:r>
              <w:rPr>
                <w:rtl/>
              </w:rPr>
              <w:t xml:space="preserve">Reorder Point</w:t>
            </w:r>
          </w:p>
        </w:tc>
        <w:tc>
          <w:tcPr>
            <w:tcW w:w="2631120" w:type="dxa"/>
          </w:tcPr>
          <w:p>
            <w:pPr>
              <w:pStyle w:val="Compact"/>
              <w:bidi/>
            </w:pPr>
            <w:r>
              <w:rPr>
                <w:rtl/>
              </w:rPr>
              <w:t xml:space="preserve">نقطة إعادة الطلب</w:t>
            </w:r>
          </w:p>
        </w:tc>
      </w:tr>
      <w:tr>
        <w:tc>
          <w:tcPr>
            <w:tcW w:w="625216" w:type="dxa"/>
          </w:tcPr>
          <w:p>
            <w:pPr>
              <w:pStyle w:val="Compact"/>
              <w:bidi/>
            </w:pPr>
            <w:r>
              <w:rPr>
                <w:rtl/>
              </w:rPr>
              <w:t xml:space="preserve">SS</w:t>
            </w:r>
          </w:p>
        </w:tc>
        <w:tc>
          <w:tcPr>
            <w:tcW w:w="2053663" w:type="dxa"/>
          </w:tcPr>
          <w:p>
            <w:pPr>
              <w:pStyle w:val="Compact"/>
              <w:bidi/>
            </w:pPr>
            <w:r>
              <w:rPr>
                <w:rtl/>
              </w:rPr>
              <w:t xml:space="preserve">Safety Stock</w:t>
            </w:r>
          </w:p>
        </w:tc>
        <w:tc>
          <w:tcPr>
            <w:tcW w:w="2631120" w:type="dxa"/>
          </w:tcPr>
          <w:p>
            <w:pPr>
              <w:pStyle w:val="Compact"/>
              <w:bidi/>
            </w:pPr>
            <w:r>
              <w:rPr>
                <w:rtl/>
              </w:rPr>
              <w:t xml:space="preserve">مخزون الأمان</w:t>
            </w:r>
          </w:p>
        </w:tc>
      </w:tr>
      <w:tr>
        <w:tc>
          <w:tcPr>
            <w:tcW w:w="625216" w:type="dxa"/>
          </w:tcPr>
          <w:p>
            <w:pPr>
              <w:pStyle w:val="Compact"/>
              <w:bidi/>
            </w:pPr>
            <w:r>
              <w:rPr>
                <w:rtl/>
              </w:rPr>
              <w:t xml:space="preserve">FIFO</w:t>
            </w:r>
          </w:p>
        </w:tc>
        <w:tc>
          <w:tcPr>
            <w:tcW w:w="2053663" w:type="dxa"/>
          </w:tcPr>
          <w:p>
            <w:pPr>
              <w:pStyle w:val="Compact"/>
              <w:bidi/>
            </w:pPr>
            <w:r>
              <w:rPr>
                <w:rtl/>
              </w:rPr>
              <w:t xml:space="preserve">First In, First Out</w:t>
            </w:r>
          </w:p>
        </w:tc>
        <w:tc>
          <w:tcPr>
            <w:tcW w:w="2631120" w:type="dxa"/>
          </w:tcPr>
          <w:p>
            <w:pPr>
              <w:pStyle w:val="Compact"/>
              <w:bidi/>
            </w:pPr>
            <w:r>
              <w:rPr>
                <w:rtl/>
              </w:rPr>
              <w:t xml:space="preserve">أول دخول أول خروج</w:t>
            </w:r>
          </w:p>
        </w:tc>
      </w:tr>
      <w:tr>
        <w:tc>
          <w:tcPr>
            <w:tcW w:w="625216" w:type="dxa"/>
          </w:tcPr>
          <w:p>
            <w:pPr>
              <w:pStyle w:val="Compact"/>
              <w:bidi/>
            </w:pPr>
            <w:r>
              <w:rPr>
                <w:rtl/>
              </w:rPr>
              <w:t xml:space="preserve">CMUP</w:t>
            </w:r>
          </w:p>
        </w:tc>
        <w:tc>
          <w:tcPr>
            <w:tcW w:w="2053663" w:type="dxa"/>
          </w:tcPr>
          <w:p>
            <w:pPr>
              <w:pStyle w:val="Compact"/>
              <w:bidi/>
            </w:pPr>
            <w:r>
              <w:rPr>
                <w:rtl/>
              </w:rPr>
              <w:t xml:space="preserve">Coût Moyen Unitaire Pondéré</w:t>
            </w:r>
          </w:p>
        </w:tc>
        <w:tc>
          <w:tcPr>
            <w:tcW w:w="2631120" w:type="dxa"/>
          </w:tcPr>
          <w:p>
            <w:pPr>
              <w:pStyle w:val="Compact"/>
              <w:bidi/>
            </w:pPr>
            <w:r>
              <w:rPr>
                <w:rtl/>
              </w:rPr>
              <w:t xml:space="preserve">المتوسط المرجَّح للتكلفة الوحدوية</w:t>
            </w:r>
          </w:p>
        </w:tc>
      </w:tr>
      <w:tr>
        <w:tc>
          <w:tcPr>
            <w:tcW w:w="625216" w:type="dxa"/>
          </w:tcPr>
          <w:p>
            <w:pPr>
              <w:pStyle w:val="Compact"/>
              <w:bidi/>
            </w:pPr>
            <w:r>
              <w:rPr>
                <w:rtl/>
              </w:rPr>
              <w:t xml:space="preserve">CVT</w:t>
            </w:r>
          </w:p>
        </w:tc>
        <w:tc>
          <w:tcPr>
            <w:tcW w:w="2053663" w:type="dxa"/>
          </w:tcPr>
          <w:p>
            <w:pPr>
              <w:pStyle w:val="Compact"/>
              <w:bidi/>
            </w:pPr>
            <w:r>
              <w:rPr>
                <w:rtl/>
              </w:rPr>
              <w:t xml:space="preserve">Coût Variable Total</w:t>
            </w:r>
          </w:p>
        </w:tc>
        <w:tc>
          <w:tcPr>
            <w:tcW w:w="2631120" w:type="dxa"/>
          </w:tcPr>
          <w:p>
            <w:pPr>
              <w:pStyle w:val="Compact"/>
              <w:bidi/>
            </w:pPr>
            <w:r>
              <w:rPr>
                <w:rtl/>
              </w:rPr>
              <w:t xml:space="preserve">إجمالي التكاليف المتغيرة</w:t>
            </w:r>
          </w:p>
        </w:tc>
      </w:tr>
      <w:tr>
        <w:tc>
          <w:tcPr>
            <w:tcW w:w="625216" w:type="dxa"/>
          </w:tcPr>
          <w:p>
            <w:pPr>
              <w:pStyle w:val="Compact"/>
              <w:bidi/>
            </w:pPr>
            <w:r>
              <w:rPr>
                <w:rtl/>
              </w:rPr>
              <w:t xml:space="preserve">KPI</w:t>
            </w:r>
          </w:p>
        </w:tc>
        <w:tc>
          <w:tcPr>
            <w:tcW w:w="2053663" w:type="dxa"/>
          </w:tcPr>
          <w:p>
            <w:pPr>
              <w:pStyle w:val="Compact"/>
              <w:bidi/>
            </w:pPr>
            <w:r>
              <w:rPr>
                <w:rtl/>
              </w:rPr>
              <w:t xml:space="preserve">Key Performance Indicator</w:t>
            </w:r>
          </w:p>
        </w:tc>
        <w:tc>
          <w:tcPr>
            <w:tcW w:w="2631120" w:type="dxa"/>
          </w:tcPr>
          <w:p>
            <w:pPr>
              <w:pStyle w:val="Compact"/>
              <w:bidi/>
            </w:pPr>
            <w:r>
              <w:rPr>
                <w:rtl/>
              </w:rPr>
              <w:t xml:space="preserve">مؤشر الأداء الرئيسي</w:t>
            </w:r>
          </w:p>
        </w:tc>
      </w:tr>
      <w:tr>
        <w:tc>
          <w:tcPr>
            <w:tcW w:w="625216" w:type="dxa"/>
          </w:tcPr>
          <w:p>
            <w:pPr>
              <w:pStyle w:val="Compact"/>
              <w:bidi/>
            </w:pPr>
            <w:r>
              <w:rPr>
                <w:rtl/>
              </w:rPr>
              <w:t xml:space="preserve">ABC</w:t>
            </w:r>
          </w:p>
        </w:tc>
        <w:tc>
          <w:tcPr>
            <w:tcW w:w="2053663" w:type="dxa"/>
          </w:tcPr>
          <w:p>
            <w:pPr>
              <w:pStyle w:val="Compact"/>
              <w:bidi/>
            </w:pPr>
            <w:r>
              <w:rPr>
                <w:rtl/>
              </w:rPr>
              <w:t xml:space="preserve">Analyse ABC (Pareto)</w:t>
            </w:r>
          </w:p>
        </w:tc>
        <w:tc>
          <w:tcPr>
            <w:tcW w:w="2631120" w:type="dxa"/>
          </w:tcPr>
          <w:p>
            <w:pPr>
              <w:pStyle w:val="Compact"/>
              <w:bidi/>
            </w:pPr>
            <w:r>
              <w:rPr>
                <w:rtl/>
              </w:rPr>
              <w:t xml:space="preserve">تصنيف باريتو الثلاثي</w:t>
            </w:r>
          </w:p>
        </w:tc>
      </w:tr>
      <w:tr>
        <w:tc>
          <w:tcPr>
            <w:tcW w:w="625216" w:type="dxa"/>
          </w:tcPr>
          <w:p>
            <w:pPr>
              <w:pStyle w:val="Compact"/>
              <w:bidi/>
            </w:pPr>
            <w:r>
              <w:rPr>
                <w:rtl/>
              </w:rPr>
              <w:t xml:space="preserve">DA</w:t>
            </w:r>
          </w:p>
        </w:tc>
        <w:tc>
          <w:tcPr>
            <w:tcW w:w="2053663" w:type="dxa"/>
          </w:tcPr>
          <w:p>
            <w:pPr>
              <w:pStyle w:val="Compact"/>
              <w:bidi/>
            </w:pPr>
            <w:r>
              <w:rPr>
                <w:rtl/>
              </w:rPr>
              <w:t xml:space="preserve">Demande d’Achat</w:t>
            </w:r>
          </w:p>
        </w:tc>
        <w:tc>
          <w:tcPr>
            <w:tcW w:w="2631120" w:type="dxa"/>
          </w:tcPr>
          <w:p>
            <w:pPr>
              <w:pStyle w:val="Compact"/>
              <w:bidi/>
            </w:pPr>
            <w:r>
              <w:rPr>
                <w:rtl/>
              </w:rPr>
              <w:t xml:space="preserve">طلب الشراء الداخلي</w:t>
            </w:r>
          </w:p>
        </w:tc>
      </w:tr>
      <w:tr>
        <w:tc>
          <w:tcPr>
            <w:tcW w:w="625216" w:type="dxa"/>
          </w:tcPr>
          <w:p>
            <w:pPr>
              <w:pStyle w:val="Compact"/>
              <w:bidi/>
            </w:pPr>
            <w:r>
              <w:rPr>
                <w:rtl/>
              </w:rPr>
              <w:t xml:space="preserve">BC</w:t>
            </w:r>
          </w:p>
        </w:tc>
        <w:tc>
          <w:tcPr>
            <w:tcW w:w="2053663" w:type="dxa"/>
          </w:tcPr>
          <w:p>
            <w:pPr>
              <w:pStyle w:val="Compact"/>
              <w:bidi/>
            </w:pPr>
            <w:r>
              <w:rPr>
                <w:rtl/>
              </w:rPr>
              <w:t xml:space="preserve">Bon de Commande</w:t>
            </w:r>
          </w:p>
        </w:tc>
        <w:tc>
          <w:tcPr>
            <w:tcW w:w="2631120" w:type="dxa"/>
          </w:tcPr>
          <w:p>
            <w:pPr>
              <w:pStyle w:val="Compact"/>
              <w:bidi/>
            </w:pPr>
            <w:r>
              <w:rPr>
                <w:rtl/>
              </w:rPr>
              <w:t xml:space="preserve">أمر الشراء</w:t>
            </w:r>
          </w:p>
        </w:tc>
      </w:tr>
      <w:tr>
        <w:tc>
          <w:tcPr>
            <w:tcW w:w="625216" w:type="dxa"/>
          </w:tcPr>
          <w:p>
            <w:pPr>
              <w:pStyle w:val="Compact"/>
              <w:bidi/>
            </w:pPr>
            <w:r>
              <w:rPr>
                <w:rtl/>
              </w:rPr>
              <w:t xml:space="preserve">BR</w:t>
            </w:r>
          </w:p>
        </w:tc>
        <w:tc>
          <w:tcPr>
            <w:tcW w:w="2053663" w:type="dxa"/>
          </w:tcPr>
          <w:p>
            <w:pPr>
              <w:pStyle w:val="Compact"/>
              <w:bidi/>
            </w:pPr>
            <w:r>
              <w:rPr>
                <w:rtl/>
              </w:rPr>
              <w:t xml:space="preserve">Bon de Réception</w:t>
            </w:r>
          </w:p>
        </w:tc>
        <w:tc>
          <w:tcPr>
            <w:tcW w:w="2631120" w:type="dxa"/>
          </w:tcPr>
          <w:p>
            <w:pPr>
              <w:pStyle w:val="Compact"/>
              <w:bidi/>
            </w:pPr>
            <w:r>
              <w:rPr>
                <w:rtl/>
              </w:rPr>
              <w:t xml:space="preserve">وصل الاستلام</w:t>
            </w:r>
          </w:p>
        </w:tc>
      </w:tr>
      <w:tr>
        <w:tc>
          <w:tcPr>
            <w:tcW w:w="625216" w:type="dxa"/>
          </w:tcPr>
          <w:p>
            <w:pPr>
              <w:pStyle w:val="Compact"/>
              <w:bidi/>
            </w:pPr>
            <w:r>
              <w:rPr>
                <w:rtl/>
              </w:rPr>
              <w:t xml:space="preserve">BS</w:t>
            </w:r>
          </w:p>
        </w:tc>
        <w:tc>
          <w:tcPr>
            <w:tcW w:w="2053663" w:type="dxa"/>
          </w:tcPr>
          <w:p>
            <w:pPr>
              <w:pStyle w:val="Compact"/>
              <w:bidi/>
            </w:pPr>
            <w:r>
              <w:rPr>
                <w:rtl/>
              </w:rPr>
              <w:t xml:space="preserve">Bon de Sortie</w:t>
            </w:r>
          </w:p>
        </w:tc>
        <w:tc>
          <w:tcPr>
            <w:tcW w:w="2631120" w:type="dxa"/>
          </w:tcPr>
          <w:p>
            <w:pPr>
              <w:pStyle w:val="Compact"/>
              <w:bidi/>
            </w:pPr>
            <w:r>
              <w:rPr>
                <w:rtl/>
              </w:rPr>
              <w:t xml:space="preserve">وصل الإخراج</w:t>
            </w:r>
          </w:p>
        </w:tc>
      </w:tr>
      <w:tr>
        <w:tc>
          <w:tcPr>
            <w:tcW w:w="625216" w:type="dxa"/>
          </w:tcPr>
          <w:p>
            <w:pPr>
              <w:pStyle w:val="Compact"/>
              <w:bidi/>
            </w:pPr>
            <w:r>
              <w:rPr>
                <w:rtl/>
              </w:rPr>
              <w:t xml:space="preserve">LT</w:t>
            </w:r>
          </w:p>
        </w:tc>
        <w:tc>
          <w:tcPr>
            <w:tcW w:w="2053663" w:type="dxa"/>
          </w:tcPr>
          <w:p>
            <w:pPr>
              <w:pStyle w:val="Compact"/>
              <w:bidi/>
            </w:pPr>
            <w:r>
              <w:rPr>
                <w:rtl/>
              </w:rPr>
              <w:t xml:space="preserve">Lead Time</w:t>
            </w:r>
          </w:p>
        </w:tc>
        <w:tc>
          <w:tcPr>
            <w:tcW w:w="2631120" w:type="dxa"/>
          </w:tcPr>
          <w:p>
            <w:pPr>
              <w:pStyle w:val="Compact"/>
              <w:bidi/>
            </w:pPr>
            <w:r>
              <w:rPr>
                <w:rtl/>
              </w:rPr>
              <w:t xml:space="preserve">أجل التسليم</w:t>
            </w:r>
          </w:p>
        </w:tc>
      </w:tr>
      <w:tr>
        <w:tc>
          <w:tcPr>
            <w:tcW w:w="625216" w:type="dxa"/>
          </w:tcPr>
          <w:p>
            <w:pPr>
              <w:pStyle w:val="Compact"/>
              <w:bidi/>
            </w:pPr>
            <w:r>
              <w:rPr>
                <w:rtl/>
              </w:rPr>
              <w:t xml:space="preserve">D</w:t>
            </w:r>
          </w:p>
        </w:tc>
        <w:tc>
          <w:tcPr>
            <w:tcW w:w="2053663" w:type="dxa"/>
          </w:tcPr>
          <w:p>
            <w:pPr>
              <w:pStyle w:val="Compact"/>
              <w:bidi/>
            </w:pPr>
            <w:r>
              <w:rPr>
                <w:rtl/>
              </w:rPr>
              <w:t xml:space="preserve">Demande Annuelle</w:t>
            </w:r>
          </w:p>
        </w:tc>
        <w:tc>
          <w:tcPr>
            <w:tcW w:w="2631120" w:type="dxa"/>
          </w:tcPr>
          <w:p>
            <w:pPr>
              <w:pStyle w:val="Compact"/>
              <w:bidi/>
            </w:pPr>
            <w:r>
              <w:rPr>
                <w:rtl/>
              </w:rPr>
              <w:t xml:space="preserve">الطلب السنوي</w:t>
            </w:r>
          </w:p>
        </w:tc>
      </w:tr>
      <w:tr>
        <w:tc>
          <w:tcPr>
            <w:tcW w:w="625216" w:type="dxa"/>
          </w:tcPr>
          <w:p>
            <w:pPr>
              <w:pStyle w:val="Compact"/>
              <w:bidi/>
            </w:pPr>
            <w:r>
              <w:rPr>
                <w:rtl/>
              </w:rPr>
              <w:t xml:space="preserve">CoV</w:t>
            </w:r>
          </w:p>
        </w:tc>
        <w:tc>
          <w:tcPr>
            <w:tcW w:w="2053663" w:type="dxa"/>
          </w:tcPr>
          <w:p>
            <w:pPr>
              <w:pStyle w:val="Compact"/>
              <w:bidi/>
            </w:pPr>
            <w:r>
              <w:rPr>
                <w:rtl/>
              </w:rPr>
              <w:t xml:space="preserve">Coefficient of Variation</w:t>
            </w:r>
          </w:p>
        </w:tc>
        <w:tc>
          <w:tcPr>
            <w:tcW w:w="2631120" w:type="dxa"/>
          </w:tcPr>
          <w:p>
            <w:pPr>
              <w:pStyle w:val="Compact"/>
              <w:bidi/>
            </w:pPr>
            <w:r>
              <w:rPr>
                <w:rtl/>
              </w:rPr>
              <w:t xml:space="preserve">معامل التباين</w:t>
            </w:r>
          </w:p>
        </w:tc>
      </w:tr>
      <w:tr>
        <w:tc>
          <w:tcPr>
            <w:tcW w:w="625216" w:type="dxa"/>
          </w:tcPr>
          <w:p>
            <w:pPr>
              <w:pStyle w:val="Compact"/>
              <w:bidi/>
            </w:pPr>
            <w:r>
              <w:rPr>
                <w:rtl/>
              </w:rPr>
              <w:t xml:space="preserve">I</w:t>
            </w:r>
          </w:p>
        </w:tc>
        <w:tc>
          <w:tcPr>
            <w:tcW w:w="2053663" w:type="dxa"/>
          </w:tcPr>
          <w:p>
            <w:pPr>
              <w:pStyle w:val="Compact"/>
              <w:bidi/>
            </w:pPr>
            <w:r>
              <w:rPr>
                <w:rtl/>
              </w:rPr>
              <w:t xml:space="preserve">Taux de Possession</w:t>
            </w:r>
          </w:p>
        </w:tc>
        <w:tc>
          <w:tcPr>
            <w:tcW w:w="2631120" w:type="dxa"/>
          </w:tcPr>
          <w:p>
            <w:pPr>
              <w:pStyle w:val="Compact"/>
              <w:bidi/>
            </w:pPr>
            <w:r>
              <w:rPr>
                <w:rtl/>
              </w:rPr>
              <w:t xml:space="preserve">معدل حامل التكلفة (20% - CNEPD)</w:t>
            </w:r>
          </w:p>
        </w:tc>
      </w:tr>
      <w:tr>
        <w:tc>
          <w:tcPr>
            <w:tcW w:w="625216" w:type="dxa"/>
          </w:tcPr>
          <w:p>
            <w:pPr>
              <w:pStyle w:val="Compact"/>
              <w:bidi/>
            </w:pPr>
            <w:r>
              <w:rPr>
                <w:rtl/>
              </w:rPr>
              <w:t xml:space="preserve">SCO</w:t>
            </w:r>
          </w:p>
        </w:tc>
        <w:tc>
          <w:tcPr>
            <w:tcW w:w="2053663" w:type="dxa"/>
          </w:tcPr>
          <w:p>
            <w:pPr>
              <w:pStyle w:val="Compact"/>
              <w:bidi/>
            </w:pPr>
            <w:r>
              <w:rPr>
                <w:rtl/>
              </w:rPr>
              <w:t xml:space="preserve">Système Comptable des Organismes publics</w:t>
            </w:r>
          </w:p>
        </w:tc>
        <w:tc>
          <w:tcPr>
            <w:tcW w:w="2631120" w:type="dxa"/>
          </w:tcPr>
          <w:p>
            <w:pPr>
              <w:pStyle w:val="Compact"/>
              <w:bidi/>
            </w:pPr>
            <w:r>
              <w:rPr>
                <w:rtl/>
              </w:rPr>
              <w:t xml:space="preserve">النظام المحاسبي للهيئات العمومية</w:t>
            </w:r>
          </w:p>
        </w:tc>
      </w:tr>
      <w:tr>
        <w:tc>
          <w:tcPr>
            <w:tcW w:w="625216" w:type="dxa"/>
          </w:tcPr>
          <w:p>
            <w:pPr>
              <w:pStyle w:val="Compact"/>
              <w:bidi/>
            </w:pPr>
            <w:r>
              <w:rPr>
                <w:rtl/>
              </w:rPr>
              <w:t xml:space="preserve">TAG1801</w:t>
            </w:r>
          </w:p>
        </w:tc>
        <w:tc>
          <w:tcPr>
            <w:tcW w:w="2053663" w:type="dxa"/>
          </w:tcPr>
          <w:p>
            <w:pPr>
              <w:pStyle w:val="Compact"/>
              <w:bidi/>
            </w:pPr>
            <w:r>
              <w:rPr>
                <w:rtl/>
              </w:rPr>
              <w:t xml:space="preserve">Tag Formation CNEPD</w:t>
            </w:r>
          </w:p>
        </w:tc>
        <w:tc>
          <w:tcPr>
            <w:tcW w:w="2631120" w:type="dxa"/>
          </w:tcPr>
          <w:p>
            <w:pPr>
              <w:pStyle w:val="Compact"/>
              <w:bidi/>
            </w:pPr>
            <w:r>
              <w:rPr>
                <w:rtl/>
              </w:rPr>
              <w:t xml:space="preserve">رمز المنهاج التكويني (تسيير المخازن)</w:t>
            </w:r>
          </w:p>
        </w:tc>
      </w:tr>
      <w:tr>
        <w:tc>
          <w:tcPr>
            <w:tcW w:w="625216" w:type="dxa"/>
          </w:tcPr>
          <w:p>
            <w:pPr>
              <w:pStyle w:val="Compact"/>
              <w:bidi/>
            </w:pPr>
            <w:r>
              <w:rPr>
                <w:rtl/>
              </w:rPr>
              <w:t xml:space="preserve">SIGLE</w:t>
            </w:r>
          </w:p>
        </w:tc>
        <w:tc>
          <w:tcPr>
            <w:tcW w:w="2053663" w:type="dxa"/>
          </w:tcPr>
          <w:p>
            <w:pPr>
              <w:pStyle w:val="Compact"/>
              <w:bidi/>
            </w:pPr>
            <w:r>
              <w:rPr>
                <w:rtl/>
              </w:rPr>
              <w:t xml:space="preserve">Système Intégré de Gestion de la Logistique</w:t>
            </w:r>
          </w:p>
        </w:tc>
        <w:tc>
          <w:tcPr>
            <w:tcW w:w="2631120" w:type="dxa"/>
          </w:tcPr>
          <w:p>
            <w:pPr>
              <w:pStyle w:val="Compact"/>
              <w:bidi/>
            </w:pPr>
            <w:r>
              <w:rPr>
                <w:rtl/>
              </w:rPr>
              <w:t xml:space="preserve">منظومة المحاسبة العمومية الجزائرية</w:t>
            </w:r>
          </w:p>
        </w:tc>
      </w:tr>
      <w:tr>
        <w:tc>
          <w:tcPr>
            <w:tcW w:w="625216" w:type="dxa"/>
          </w:tcPr>
          <w:p>
            <w:pPr>
              <w:pStyle w:val="Compact"/>
              <w:bidi/>
            </w:pPr>
            <w:r>
              <w:rPr>
                <w:rtl/>
              </w:rPr>
              <w:t xml:space="preserve">DSS</w:t>
            </w:r>
          </w:p>
        </w:tc>
        <w:tc>
          <w:tcPr>
            <w:tcW w:w="2053663" w:type="dxa"/>
          </w:tcPr>
          <w:p>
            <w:pPr>
              <w:pStyle w:val="Compact"/>
              <w:bidi/>
            </w:pPr>
            <w:r>
              <w:rPr>
                <w:rtl/>
              </w:rPr>
              <w:t xml:space="preserve">Decision Support System</w:t>
            </w:r>
          </w:p>
        </w:tc>
        <w:tc>
          <w:tcPr>
            <w:tcW w:w="2631120" w:type="dxa"/>
          </w:tcPr>
          <w:p>
            <w:pPr>
              <w:pStyle w:val="Compact"/>
              <w:bidi/>
            </w:pPr>
            <w:r>
              <w:rPr>
                <w:rtl/>
              </w:rPr>
              <w:t xml:space="preserve">نظام دعم القرار لتسيير المخزون</w:t>
            </w:r>
          </w:p>
        </w:tc>
      </w:tr>
    </w:tbl>
    <w:bookmarkEnd w:id="153"/>
    <w:bookmarkStart w:id="160" w:name="قائمة-المصطلحات"/>
    <w:p>
      <w:pPr>
        <w:pStyle w:val="Heading1"/>
        <w:bidi/>
      </w:pPr>
      <w:r>
        <w:rPr>
          <w:b/>
          <w:sz w:val="44"/>
          <w:rtl/>
        </w:rPr>
        <w:t xml:space="preserve">قائمة المصطلحات</w:t>
      </w:r>
    </w:p>
    <w:bookmarkStart w:id="154" w:name="المصطلحات-اللوجستية-والتسييرية"/>
    <w:p>
      <w:pPr>
        <w:pStyle w:val="Heading2"/>
        <w:bidi/>
      </w:pPr>
      <w:r>
        <w:rPr>
          <w:b/>
          <w:sz w:val="36"/>
          <w:rtl/>
        </w:rPr>
        <w:t xml:space="preserve">المصطلحات اللوجستية والتسييرية</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002495" w:type="dxa"/>
          </w:tcPr>
          <w:p>
            <w:pPr>
              <w:pStyle w:val="Compact"/>
              <w:bidi/>
            </w:pPr>
            <w:r>
              <w:rPr>
                <w:rtl/>
              </w:rPr>
              <w:t xml:space="preserve">العربية</w:t>
            </w:r>
          </w:p>
        </w:tc>
        <w:tc>
          <w:tcPr>
            <w:tcW w:w="1032670" w:type="dxa"/>
          </w:tcPr>
          <w:p>
            <w:pPr>
              <w:pStyle w:val="Compact"/>
              <w:bidi/>
            </w:pPr>
            <w:r>
              <w:rPr>
                <w:rtl/>
              </w:rPr>
              <w:t xml:space="preserve">الفرنسية</w:t>
            </w:r>
          </w:p>
        </w:tc>
        <w:tc>
          <w:tcPr>
            <w:tcW w:w="1069551" w:type="dxa"/>
          </w:tcPr>
          <w:p>
            <w:pPr>
              <w:pStyle w:val="Compact"/>
              <w:bidi/>
            </w:pPr>
            <w:r>
              <w:rPr>
                <w:rtl/>
              </w:rPr>
              <w:t xml:space="preserve">الإنجليزية</w:t>
            </w:r>
          </w:p>
        </w:tc>
        <w:tc>
          <w:tcPr>
            <w:tcW w:w="2055282" w:type="dxa"/>
          </w:tcPr>
          <w:p>
            <w:pPr>
              <w:pStyle w:val="Compact"/>
              <w:bidi/>
            </w:pPr>
            <w:r>
              <w:rPr>
                <w:rtl/>
              </w:rPr>
              <w:t xml:space="preserve">التعريف</w:t>
            </w:r>
          </w:p>
        </w:tc>
      </w:tr>
      <w:tr>
        <w:tc>
          <w:tcPr>
            <w:tcW w:w="1002495" w:type="dxa"/>
          </w:tcPr>
          <w:p>
            <w:pPr>
              <w:pStyle w:val="Compact"/>
              <w:bidi/>
            </w:pPr>
            <w:r>
              <w:rPr>
                <w:rtl/>
              </w:rPr>
              <w:t xml:space="preserve">تسيير المخازن</w:t>
            </w:r>
          </w:p>
        </w:tc>
        <w:tc>
          <w:tcPr>
            <w:tcW w:w="1032670" w:type="dxa"/>
          </w:tcPr>
          <w:p>
            <w:pPr>
              <w:pStyle w:val="Compact"/>
              <w:bidi/>
            </w:pPr>
            <w:r>
              <w:rPr>
                <w:rtl/>
              </w:rPr>
              <w:t xml:space="preserve">Gestion des stocks</w:t>
            </w:r>
          </w:p>
        </w:tc>
        <w:tc>
          <w:tcPr>
            <w:tcW w:w="1069551" w:type="dxa"/>
          </w:tcPr>
          <w:p>
            <w:pPr>
              <w:pStyle w:val="Compact"/>
              <w:bidi/>
            </w:pPr>
            <w:r>
              <w:rPr>
                <w:rtl/>
              </w:rPr>
              <w:t xml:space="preserve">Inventory Management</w:t>
            </w:r>
          </w:p>
        </w:tc>
        <w:tc>
          <w:tcPr>
            <w:tcW w:w="2055282" w:type="dxa"/>
          </w:tcPr>
          <w:p>
            <w:pPr>
              <w:pStyle w:val="Compact"/>
              <w:bidi/>
            </w:pPr>
            <w:r>
              <w:rPr>
                <w:rtl/>
              </w:rPr>
              <w:t xml:space="preserve">عملية مراقبة وتدفق المواد</w:t>
            </w:r>
          </w:p>
        </w:tc>
      </w:tr>
      <w:tr>
        <w:tc>
          <w:tcPr>
            <w:tcW w:w="1002495" w:type="dxa"/>
          </w:tcPr>
          <w:p>
            <w:pPr>
              <w:pStyle w:val="Compact"/>
              <w:bidi/>
            </w:pPr>
            <w:r>
              <w:rPr>
                <w:rtl/>
              </w:rPr>
              <w:t xml:space="preserve">المخزون</w:t>
            </w:r>
          </w:p>
        </w:tc>
        <w:tc>
          <w:tcPr>
            <w:tcW w:w="1032670" w:type="dxa"/>
          </w:tcPr>
          <w:p>
            <w:pPr>
              <w:pStyle w:val="Compact"/>
              <w:bidi/>
            </w:pPr>
            <w:r>
              <w:rPr>
                <w:rtl/>
              </w:rPr>
              <w:t xml:space="preserve">Stock</w:t>
            </w:r>
          </w:p>
        </w:tc>
        <w:tc>
          <w:tcPr>
            <w:tcW w:w="1069551" w:type="dxa"/>
          </w:tcPr>
          <w:p>
            <w:pPr>
              <w:pStyle w:val="Compact"/>
              <w:bidi/>
            </w:pPr>
            <w:r>
              <w:rPr>
                <w:rtl/>
              </w:rPr>
              <w:t xml:space="preserve">Inventory</w:t>
            </w:r>
          </w:p>
        </w:tc>
        <w:tc>
          <w:tcPr>
            <w:tcW w:w="2055282" w:type="dxa"/>
          </w:tcPr>
          <w:p>
            <w:pPr>
              <w:pStyle w:val="Compact"/>
              <w:bidi/>
            </w:pPr>
            <w:r>
              <w:rPr>
                <w:rtl/>
              </w:rPr>
              <w:t xml:space="preserve">المواد المخزنة للاستخدام</w:t>
            </w:r>
          </w:p>
        </w:tc>
      </w:tr>
      <w:tr>
        <w:tc>
          <w:tcPr>
            <w:tcW w:w="1002495" w:type="dxa"/>
          </w:tcPr>
          <w:p>
            <w:pPr>
              <w:pStyle w:val="Compact"/>
              <w:bidi/>
            </w:pPr>
            <w:r>
              <w:rPr>
                <w:rtl/>
              </w:rPr>
              <w:t xml:space="preserve">مخزون الأمان</w:t>
            </w:r>
          </w:p>
        </w:tc>
        <w:tc>
          <w:tcPr>
            <w:tcW w:w="1032670" w:type="dxa"/>
          </w:tcPr>
          <w:p>
            <w:pPr>
              <w:pStyle w:val="Compact"/>
              <w:bidi/>
            </w:pPr>
            <w:r>
              <w:rPr>
                <w:rtl/>
              </w:rPr>
              <w:t xml:space="preserve">Stock de sécurité</w:t>
            </w:r>
          </w:p>
        </w:tc>
        <w:tc>
          <w:tcPr>
            <w:tcW w:w="1069551" w:type="dxa"/>
          </w:tcPr>
          <w:p>
            <w:pPr>
              <w:pStyle w:val="Compact"/>
              <w:bidi/>
            </w:pPr>
            <w:r>
              <w:rPr>
                <w:rtl/>
              </w:rPr>
              <w:t xml:space="preserve">Safety Stock</w:t>
            </w:r>
          </w:p>
        </w:tc>
        <w:tc>
          <w:tcPr>
            <w:tcW w:w="2055282" w:type="dxa"/>
          </w:tcPr>
          <w:p>
            <w:pPr>
              <w:pStyle w:val="Compact"/>
              <w:bidi/>
            </w:pPr>
            <w:r>
              <w:rPr>
                <w:rtl/>
              </w:rPr>
              <w:t xml:space="preserve">رصيد احتياطي للحماية من نفاد المخزون</w:t>
            </w:r>
          </w:p>
        </w:tc>
      </w:tr>
      <w:tr>
        <w:tc>
          <w:tcPr>
            <w:tcW w:w="1002495" w:type="dxa"/>
          </w:tcPr>
          <w:p>
            <w:pPr>
              <w:pStyle w:val="Compact"/>
              <w:bidi/>
            </w:pPr>
            <w:r>
              <w:rPr>
                <w:rtl/>
              </w:rPr>
              <w:t xml:space="preserve">نقطة إعادة الطلب</w:t>
            </w:r>
          </w:p>
        </w:tc>
        <w:tc>
          <w:tcPr>
            <w:tcW w:w="1032670" w:type="dxa"/>
          </w:tcPr>
          <w:p>
            <w:pPr>
              <w:pStyle w:val="Compact"/>
              <w:bidi/>
            </w:pPr>
            <w:r>
              <w:rPr>
                <w:rtl/>
              </w:rPr>
              <w:t xml:space="preserve">Point de réapprovisionnement</w:t>
            </w:r>
          </w:p>
        </w:tc>
        <w:tc>
          <w:tcPr>
            <w:tcW w:w="1069551" w:type="dxa"/>
          </w:tcPr>
          <w:p>
            <w:pPr>
              <w:pStyle w:val="Compact"/>
              <w:bidi/>
            </w:pPr>
            <w:r>
              <w:rPr>
                <w:rtl/>
              </w:rPr>
              <w:t xml:space="preserve">Reorder Point (ROP)</w:t>
            </w:r>
          </w:p>
        </w:tc>
        <w:tc>
          <w:tcPr>
            <w:tcW w:w="2055282" w:type="dxa"/>
          </w:tcPr>
          <w:p>
            <w:pPr>
              <w:pStyle w:val="Compact"/>
              <w:bidi/>
            </w:pPr>
            <w:r>
              <w:rPr>
                <w:rtl/>
              </w:rPr>
              <w:t xml:space="preserve">مستوى المخزون الذي يُطلق أمر الشراء</w:t>
            </w:r>
          </w:p>
        </w:tc>
      </w:tr>
      <w:tr>
        <w:tc>
          <w:tcPr>
            <w:tcW w:w="1002495" w:type="dxa"/>
          </w:tcPr>
          <w:p>
            <w:pPr>
              <w:pStyle w:val="Compact"/>
              <w:bidi/>
            </w:pPr>
            <w:r>
              <w:rPr>
                <w:rtl/>
              </w:rPr>
              <w:t xml:space="preserve">الكمية الاقتصادية</w:t>
            </w:r>
          </w:p>
        </w:tc>
        <w:tc>
          <w:tcPr>
            <w:tcW w:w="1032670" w:type="dxa"/>
          </w:tcPr>
          <w:p>
            <w:pPr>
              <w:pStyle w:val="Compact"/>
              <w:bidi/>
            </w:pPr>
            <w:r>
              <w:rPr>
                <w:rtl/>
              </w:rPr>
              <w:t xml:space="preserve">Quantité économique</w:t>
            </w:r>
          </w:p>
        </w:tc>
        <w:tc>
          <w:tcPr>
            <w:tcW w:w="1069551" w:type="dxa"/>
          </w:tcPr>
          <w:p>
            <w:pPr>
              <w:pStyle w:val="Compact"/>
              <w:bidi/>
            </w:pPr>
            <w:r>
              <w:rPr>
                <w:rtl/>
              </w:rPr>
              <w:t xml:space="preserve">Economic Order Quantity (EOQ)</w:t>
            </w:r>
          </w:p>
        </w:tc>
        <w:tc>
          <w:tcPr>
            <w:tcW w:w="2055282" w:type="dxa"/>
          </w:tcPr>
          <w:p>
            <w:pPr>
              <w:pStyle w:val="Compact"/>
              <w:bidi/>
            </w:pPr>
            <w:r>
              <w:rPr>
                <w:rtl/>
              </w:rPr>
              <w:t xml:space="preserve">الحجم الأمثل للطلب</w:t>
            </w:r>
          </w:p>
        </w:tc>
      </w:tr>
      <w:tr>
        <w:tc>
          <w:tcPr>
            <w:tcW w:w="1002495" w:type="dxa"/>
          </w:tcPr>
          <w:p>
            <w:pPr>
              <w:pStyle w:val="Compact"/>
              <w:bidi/>
            </w:pPr>
            <w:r>
              <w:rPr>
                <w:rtl/>
              </w:rPr>
              <w:t xml:space="preserve">الجرد الدائم</w:t>
            </w:r>
          </w:p>
        </w:tc>
        <w:tc>
          <w:tcPr>
            <w:tcW w:w="1032670" w:type="dxa"/>
          </w:tcPr>
          <w:p>
            <w:pPr>
              <w:pStyle w:val="Compact"/>
              <w:bidi/>
            </w:pPr>
            <w:r>
              <w:rPr>
                <w:rtl/>
              </w:rPr>
              <w:t xml:space="preserve">Inventaire permanent</w:t>
            </w:r>
          </w:p>
        </w:tc>
        <w:tc>
          <w:tcPr>
            <w:tcW w:w="1069551" w:type="dxa"/>
          </w:tcPr>
          <w:p>
            <w:pPr>
              <w:pStyle w:val="Compact"/>
              <w:bidi/>
            </w:pPr>
            <w:r>
              <w:rPr>
                <w:rtl/>
              </w:rPr>
              <w:t xml:space="preserve">Perpetual Inventory</w:t>
            </w:r>
          </w:p>
        </w:tc>
        <w:tc>
          <w:tcPr>
            <w:tcW w:w="2055282" w:type="dxa"/>
          </w:tcPr>
          <w:p>
            <w:pPr>
              <w:pStyle w:val="Compact"/>
              <w:bidi/>
            </w:pPr>
            <w:r>
              <w:rPr>
                <w:rtl/>
              </w:rPr>
              <w:t xml:space="preserve">تحديث مستمر للرصيد</w:t>
            </w:r>
          </w:p>
        </w:tc>
      </w:tr>
      <w:tr>
        <w:tc>
          <w:tcPr>
            <w:tcW w:w="1002495" w:type="dxa"/>
          </w:tcPr>
          <w:p>
            <w:pPr>
              <w:pStyle w:val="Compact"/>
              <w:bidi/>
            </w:pPr>
            <w:r>
              <w:rPr>
                <w:rtl/>
              </w:rPr>
              <w:t xml:space="preserve">الجرد الدوري</w:t>
            </w:r>
          </w:p>
        </w:tc>
        <w:tc>
          <w:tcPr>
            <w:tcW w:w="1032670" w:type="dxa"/>
          </w:tcPr>
          <w:p>
            <w:pPr>
              <w:pStyle w:val="Compact"/>
              <w:bidi/>
            </w:pPr>
            <w:r>
              <w:rPr>
                <w:rtl/>
              </w:rPr>
              <w:t xml:space="preserve">Inventaire périodique</w:t>
            </w:r>
          </w:p>
        </w:tc>
        <w:tc>
          <w:tcPr>
            <w:tcW w:w="1069551" w:type="dxa"/>
          </w:tcPr>
          <w:p>
            <w:pPr>
              <w:pStyle w:val="Compact"/>
              <w:bidi/>
            </w:pPr>
            <w:r>
              <w:rPr>
                <w:rtl/>
              </w:rPr>
              <w:t xml:space="preserve">Periodic Inventory</w:t>
            </w:r>
          </w:p>
        </w:tc>
        <w:tc>
          <w:tcPr>
            <w:tcW w:w="2055282" w:type="dxa"/>
          </w:tcPr>
          <w:p>
            <w:pPr>
              <w:pStyle w:val="Compact"/>
              <w:bidi/>
            </w:pPr>
            <w:r>
              <w:rPr>
                <w:rtl/>
              </w:rPr>
              <w:t xml:space="preserve">جرد موسمي</w:t>
            </w:r>
          </w:p>
        </w:tc>
      </w:tr>
      <w:tr>
        <w:tc>
          <w:tcPr>
            <w:tcW w:w="1002495" w:type="dxa"/>
          </w:tcPr>
          <w:p>
            <w:pPr>
              <w:pStyle w:val="Compact"/>
              <w:bidi/>
            </w:pPr>
            <w:r>
              <w:rPr>
                <w:rtl/>
              </w:rPr>
              <w:t xml:space="preserve">تصنيف ABC</w:t>
            </w:r>
          </w:p>
        </w:tc>
        <w:tc>
          <w:tcPr>
            <w:tcW w:w="1032670" w:type="dxa"/>
          </w:tcPr>
          <w:p>
            <w:pPr>
              <w:pStyle w:val="Compact"/>
              <w:bidi/>
            </w:pPr>
            <w:r>
              <w:rPr>
                <w:rtl/>
              </w:rPr>
              <w:t xml:space="preserve">Classification ABC</w:t>
            </w:r>
          </w:p>
        </w:tc>
        <w:tc>
          <w:tcPr>
            <w:tcW w:w="1069551" w:type="dxa"/>
          </w:tcPr>
          <w:p>
            <w:pPr>
              <w:pStyle w:val="Compact"/>
              <w:bidi/>
            </w:pPr>
            <w:r>
              <w:rPr>
                <w:rtl/>
              </w:rPr>
              <w:t xml:space="preserve">ABC Classification</w:t>
            </w:r>
          </w:p>
        </w:tc>
        <w:tc>
          <w:tcPr>
            <w:tcW w:w="2055282" w:type="dxa"/>
          </w:tcPr>
          <w:p>
            <w:pPr>
              <w:pStyle w:val="Compact"/>
              <w:bidi/>
            </w:pPr>
            <w:r>
              <w:rPr>
                <w:rtl/>
              </w:rPr>
              <w:t xml:space="preserve">تصنيف باريتو الثلاثي</w:t>
            </w:r>
          </w:p>
        </w:tc>
      </w:tr>
      <w:tr>
        <w:tc>
          <w:tcPr>
            <w:tcW w:w="1002495" w:type="dxa"/>
          </w:tcPr>
          <w:p>
            <w:pPr>
              <w:pStyle w:val="Compact"/>
              <w:bidi/>
            </w:pPr>
            <w:r>
              <w:rPr>
                <w:rtl/>
              </w:rPr>
              <w:t xml:space="preserve">تصنيف XYZ</w:t>
            </w:r>
          </w:p>
        </w:tc>
        <w:tc>
          <w:tcPr>
            <w:tcW w:w="1032670" w:type="dxa"/>
          </w:tcPr>
          <w:p>
            <w:pPr>
              <w:pStyle w:val="Compact"/>
              <w:bidi/>
            </w:pPr>
            <w:r>
              <w:rPr>
                <w:rtl/>
              </w:rPr>
              <w:t xml:space="preserve">Classification XYZ</w:t>
            </w:r>
          </w:p>
        </w:tc>
        <w:tc>
          <w:tcPr>
            <w:tcW w:w="1069551" w:type="dxa"/>
          </w:tcPr>
          <w:p>
            <w:pPr>
              <w:pStyle w:val="Compact"/>
              <w:bidi/>
            </w:pPr>
            <w:r>
              <w:rPr>
                <w:rtl/>
              </w:rPr>
              <w:t xml:space="preserve">XYZ Classification</w:t>
            </w:r>
          </w:p>
        </w:tc>
        <w:tc>
          <w:tcPr>
            <w:tcW w:w="2055282" w:type="dxa"/>
          </w:tcPr>
          <w:p>
            <w:pPr>
              <w:pStyle w:val="Compact"/>
              <w:bidi/>
            </w:pPr>
            <w:r>
              <w:rPr>
                <w:rtl/>
              </w:rPr>
              <w:t xml:space="preserve">تصنيف حسب تقلب الطلب</w:t>
            </w:r>
          </w:p>
        </w:tc>
      </w:tr>
      <w:tr>
        <w:tc>
          <w:tcPr>
            <w:tcW w:w="1002495" w:type="dxa"/>
          </w:tcPr>
          <w:p>
            <w:pPr>
              <w:pStyle w:val="Compact"/>
              <w:bidi/>
            </w:pPr>
            <w:r>
              <w:rPr>
                <w:rtl/>
              </w:rPr>
              <w:t xml:space="preserve">CMUP</w:t>
            </w:r>
          </w:p>
        </w:tc>
        <w:tc>
          <w:tcPr>
            <w:tcW w:w="1032670" w:type="dxa"/>
          </w:tcPr>
          <w:p>
            <w:pPr>
              <w:pStyle w:val="Compact"/>
              <w:bidi/>
            </w:pPr>
            <w:r>
              <w:rPr>
                <w:rtl/>
              </w:rPr>
              <w:t xml:space="preserve">CMUP</w:t>
            </w:r>
          </w:p>
        </w:tc>
        <w:tc>
          <w:tcPr>
            <w:tcW w:w="1069551" w:type="dxa"/>
          </w:tcPr>
          <w:p>
            <w:pPr>
              <w:pStyle w:val="Compact"/>
              <w:bidi/>
            </w:pPr>
            <w:r>
              <w:rPr>
                <w:rtl/>
              </w:rPr>
              <w:t xml:space="preserve">Weighted Average Cost</w:t>
            </w:r>
          </w:p>
        </w:tc>
        <w:tc>
          <w:tcPr>
            <w:tcW w:w="2055282" w:type="dxa"/>
          </w:tcPr>
          <w:p>
            <w:pPr>
              <w:pStyle w:val="Compact"/>
              <w:bidi/>
            </w:pPr>
            <w:r>
              <w:rPr>
                <w:rtl/>
              </w:rPr>
              <w:t xml:space="preserve">التكلفة المتوسطة المرجحة</w:t>
            </w:r>
          </w:p>
        </w:tc>
      </w:tr>
      <w:tr>
        <w:tc>
          <w:tcPr>
            <w:tcW w:w="1002495" w:type="dxa"/>
          </w:tcPr>
          <w:p>
            <w:pPr>
              <w:pStyle w:val="Compact"/>
              <w:bidi/>
            </w:pPr>
            <w:r>
              <w:rPr>
                <w:rtl/>
              </w:rPr>
              <w:t xml:space="preserve">FIFO</w:t>
            </w:r>
          </w:p>
        </w:tc>
        <w:tc>
          <w:tcPr>
            <w:tcW w:w="1032670" w:type="dxa"/>
          </w:tcPr>
          <w:p>
            <w:pPr>
              <w:pStyle w:val="Compact"/>
              <w:bidi/>
            </w:pPr>
            <w:r>
              <w:rPr>
                <w:rtl/>
              </w:rPr>
              <w:t xml:space="preserve">FIFO</w:t>
            </w:r>
          </w:p>
        </w:tc>
        <w:tc>
          <w:tcPr>
            <w:tcW w:w="1069551" w:type="dxa"/>
          </w:tcPr>
          <w:p>
            <w:pPr>
              <w:pStyle w:val="Compact"/>
              <w:bidi/>
            </w:pPr>
            <w:r>
              <w:rPr>
                <w:rtl/>
              </w:rPr>
              <w:t xml:space="preserve">First In, First Out</w:t>
            </w:r>
          </w:p>
        </w:tc>
        <w:tc>
          <w:tcPr>
            <w:tcW w:w="2055282" w:type="dxa"/>
          </w:tcPr>
          <w:p>
            <w:pPr>
              <w:pStyle w:val="Compact"/>
              <w:bidi/>
            </w:pPr>
            <w:r>
              <w:rPr>
                <w:rtl/>
              </w:rPr>
              <w:t xml:space="preserve">أول دخول أول خروج</w:t>
            </w:r>
          </w:p>
        </w:tc>
      </w:tr>
      <w:tr>
        <w:tc>
          <w:tcPr>
            <w:tcW w:w="1002495" w:type="dxa"/>
          </w:tcPr>
          <w:p>
            <w:pPr>
              <w:pStyle w:val="Compact"/>
              <w:bidi/>
            </w:pPr>
            <w:r>
              <w:rPr>
                <w:rtl/>
              </w:rPr>
              <w:t xml:space="preserve">LIFO</w:t>
            </w:r>
          </w:p>
        </w:tc>
        <w:tc>
          <w:tcPr>
            <w:tcW w:w="1032670" w:type="dxa"/>
          </w:tcPr>
          <w:p>
            <w:pPr>
              <w:pStyle w:val="Compact"/>
              <w:bidi/>
            </w:pPr>
            <w:r>
              <w:rPr>
                <w:rtl/>
              </w:rPr>
              <w:t xml:space="preserve">LIFO</w:t>
            </w:r>
          </w:p>
        </w:tc>
        <w:tc>
          <w:tcPr>
            <w:tcW w:w="1069551" w:type="dxa"/>
          </w:tcPr>
          <w:p>
            <w:pPr>
              <w:pStyle w:val="Compact"/>
              <w:bidi/>
            </w:pPr>
            <w:r>
              <w:rPr>
                <w:rtl/>
              </w:rPr>
              <w:t xml:space="preserve">Last In, First Out</w:t>
            </w:r>
          </w:p>
        </w:tc>
        <w:tc>
          <w:tcPr>
            <w:tcW w:w="2055282" w:type="dxa"/>
          </w:tcPr>
          <w:p>
            <w:pPr>
              <w:pStyle w:val="Compact"/>
              <w:bidi/>
            </w:pPr>
            <w:r>
              <w:rPr>
                <w:rtl/>
              </w:rPr>
              <w:t xml:space="preserve">آخر دخول أول خروج</w:t>
            </w:r>
          </w:p>
        </w:tc>
      </w:tr>
      <w:tr>
        <w:tc>
          <w:tcPr>
            <w:tcW w:w="1002495" w:type="dxa"/>
          </w:tcPr>
          <w:p>
            <w:pPr>
              <w:pStyle w:val="Compact"/>
              <w:bidi/>
            </w:pPr>
            <w:r>
              <w:rPr>
                <w:rtl/>
              </w:rPr>
              <w:t xml:space="preserve">أمر الشراء</w:t>
            </w:r>
          </w:p>
        </w:tc>
        <w:tc>
          <w:tcPr>
            <w:tcW w:w="1032670" w:type="dxa"/>
          </w:tcPr>
          <w:p>
            <w:pPr>
              <w:pStyle w:val="Compact"/>
              <w:bidi/>
            </w:pPr>
            <w:r>
              <w:rPr>
                <w:rtl/>
              </w:rPr>
              <w:t xml:space="preserve">Bon de Commande</w:t>
            </w:r>
          </w:p>
        </w:tc>
        <w:tc>
          <w:tcPr>
            <w:tcW w:w="1069551" w:type="dxa"/>
          </w:tcPr>
          <w:p>
            <w:pPr>
              <w:pStyle w:val="Compact"/>
              <w:bidi/>
            </w:pPr>
            <w:r>
              <w:rPr>
                <w:rtl/>
              </w:rPr>
              <w:t xml:space="preserve">Purchase Order</w:t>
            </w:r>
          </w:p>
        </w:tc>
        <w:tc>
          <w:tcPr>
            <w:tcW w:w="2055282" w:type="dxa"/>
          </w:tcPr>
          <w:p>
            <w:pPr>
              <w:pStyle w:val="Compact"/>
              <w:bidi/>
            </w:pPr>
            <w:r>
              <w:rPr>
                <w:rtl/>
              </w:rPr>
              <w:t xml:space="preserve">وثيقة طلب الشراء</w:t>
            </w:r>
          </w:p>
        </w:tc>
      </w:tr>
      <w:tr>
        <w:tc>
          <w:tcPr>
            <w:tcW w:w="1002495" w:type="dxa"/>
          </w:tcPr>
          <w:p>
            <w:pPr>
              <w:pStyle w:val="Compact"/>
              <w:bidi/>
            </w:pPr>
            <w:r>
              <w:rPr>
                <w:rtl/>
              </w:rPr>
              <w:t xml:space="preserve">وصل الاستلام</w:t>
            </w:r>
          </w:p>
        </w:tc>
        <w:tc>
          <w:tcPr>
            <w:tcW w:w="1032670" w:type="dxa"/>
          </w:tcPr>
          <w:p>
            <w:pPr>
              <w:pStyle w:val="Compact"/>
              <w:bidi/>
            </w:pPr>
            <w:r>
              <w:rPr>
                <w:rtl/>
              </w:rPr>
              <w:t xml:space="preserve">Bon de Réception</w:t>
            </w:r>
          </w:p>
        </w:tc>
        <w:tc>
          <w:tcPr>
            <w:tcW w:w="1069551" w:type="dxa"/>
          </w:tcPr>
          <w:p>
            <w:pPr>
              <w:pStyle w:val="Compact"/>
              <w:bidi/>
            </w:pPr>
            <w:r>
              <w:rPr>
                <w:rtl/>
              </w:rPr>
              <w:t xml:space="preserve">Receipt Note</w:t>
            </w:r>
          </w:p>
        </w:tc>
        <w:tc>
          <w:tcPr>
            <w:tcW w:w="2055282" w:type="dxa"/>
          </w:tcPr>
          <w:p>
            <w:pPr>
              <w:pStyle w:val="Compact"/>
              <w:bidi/>
            </w:pPr>
            <w:r>
              <w:rPr>
                <w:rtl/>
              </w:rPr>
              <w:t xml:space="preserve">وثيقة استلام البضاعة</w:t>
            </w:r>
          </w:p>
        </w:tc>
      </w:tr>
      <w:tr>
        <w:tc>
          <w:tcPr>
            <w:tcW w:w="1002495" w:type="dxa"/>
          </w:tcPr>
          <w:p>
            <w:pPr>
              <w:pStyle w:val="Compact"/>
              <w:bidi/>
            </w:pPr>
            <w:r>
              <w:rPr>
                <w:rtl/>
              </w:rPr>
              <w:t xml:space="preserve">وصل الإخراج</w:t>
            </w:r>
          </w:p>
        </w:tc>
        <w:tc>
          <w:tcPr>
            <w:tcW w:w="1032670" w:type="dxa"/>
          </w:tcPr>
          <w:p>
            <w:pPr>
              <w:pStyle w:val="Compact"/>
              <w:bidi/>
            </w:pPr>
            <w:r>
              <w:rPr>
                <w:rtl/>
              </w:rPr>
              <w:t xml:space="preserve">Bon de Sortie</w:t>
            </w:r>
          </w:p>
        </w:tc>
        <w:tc>
          <w:tcPr>
            <w:tcW w:w="1069551" w:type="dxa"/>
          </w:tcPr>
          <w:p>
            <w:pPr>
              <w:pStyle w:val="Compact"/>
              <w:bidi/>
            </w:pPr>
            <w:r>
              <w:rPr>
                <w:rtl/>
              </w:rPr>
              <w:t xml:space="preserve">Issue Note</w:t>
            </w:r>
          </w:p>
        </w:tc>
        <w:tc>
          <w:tcPr>
            <w:tcW w:w="2055282" w:type="dxa"/>
          </w:tcPr>
          <w:p>
            <w:pPr>
              <w:pStyle w:val="Compact"/>
              <w:bidi/>
            </w:pPr>
            <w:r>
              <w:rPr>
                <w:rtl/>
              </w:rPr>
              <w:t xml:space="preserve">وثيقة صرف المواد</w:t>
            </w:r>
          </w:p>
        </w:tc>
      </w:tr>
      <w:tr>
        <w:tc>
          <w:tcPr>
            <w:tcW w:w="1002495" w:type="dxa"/>
          </w:tcPr>
          <w:p>
            <w:pPr>
              <w:pStyle w:val="Compact"/>
              <w:bidi/>
            </w:pPr>
            <w:r>
              <w:rPr>
                <w:rtl/>
              </w:rPr>
              <w:t xml:space="preserve">طلب الشراء</w:t>
            </w:r>
          </w:p>
        </w:tc>
        <w:tc>
          <w:tcPr>
            <w:tcW w:w="1032670" w:type="dxa"/>
          </w:tcPr>
          <w:p>
            <w:pPr>
              <w:pStyle w:val="Compact"/>
              <w:bidi/>
            </w:pPr>
            <w:r>
              <w:rPr>
                <w:rtl/>
              </w:rPr>
              <w:t xml:space="preserve">Demande d’Achat</w:t>
            </w:r>
          </w:p>
        </w:tc>
        <w:tc>
          <w:tcPr>
            <w:tcW w:w="1069551" w:type="dxa"/>
          </w:tcPr>
          <w:p>
            <w:pPr>
              <w:pStyle w:val="Compact"/>
              <w:bidi/>
            </w:pPr>
            <w:r>
              <w:rPr>
                <w:rtl/>
              </w:rPr>
              <w:t xml:space="preserve">Purchase Request</w:t>
            </w:r>
          </w:p>
        </w:tc>
        <w:tc>
          <w:tcPr>
            <w:tcW w:w="2055282" w:type="dxa"/>
          </w:tcPr>
          <w:p>
            <w:pPr>
              <w:pStyle w:val="Compact"/>
              <w:bidi/>
            </w:pPr>
            <w:r>
              <w:rPr>
                <w:rtl/>
              </w:rPr>
              <w:t xml:space="preserve">طلب داخلي للشراء</w:t>
            </w:r>
          </w:p>
        </w:tc>
      </w:tr>
      <w:tr>
        <w:tc>
          <w:tcPr>
            <w:tcW w:w="1002495" w:type="dxa"/>
          </w:tcPr>
          <w:p>
            <w:pPr>
              <w:pStyle w:val="Compact"/>
              <w:bidi/>
            </w:pPr>
            <w:r>
              <w:rPr>
                <w:rtl/>
              </w:rPr>
              <w:t xml:space="preserve">الدورة المستندية</w:t>
            </w:r>
          </w:p>
        </w:tc>
        <w:tc>
          <w:tcPr>
            <w:tcW w:w="1032670" w:type="dxa"/>
          </w:tcPr>
          <w:p>
            <w:pPr>
              <w:pStyle w:val="Compact"/>
              <w:bidi/>
            </w:pPr>
            <w:r>
              <w:rPr>
                <w:rtl/>
              </w:rPr>
              <w:t xml:space="preserve">Circuit documentaire</w:t>
            </w:r>
          </w:p>
        </w:tc>
        <w:tc>
          <w:tcPr>
            <w:tcW w:w="1069551" w:type="dxa"/>
          </w:tcPr>
          <w:p>
            <w:pPr>
              <w:pStyle w:val="Compact"/>
              <w:bidi/>
            </w:pPr>
            <w:r>
              <w:rPr>
                <w:rtl/>
              </w:rPr>
              <w:t xml:space="preserve">Documentary Cycle</w:t>
            </w:r>
          </w:p>
        </w:tc>
        <w:tc>
          <w:tcPr>
            <w:tcW w:w="2055282" w:type="dxa"/>
          </w:tcPr>
          <w:p>
            <w:pPr>
              <w:pStyle w:val="Compact"/>
              <w:bidi/>
            </w:pPr>
            <w:r>
              <w:rPr>
                <w:rtl/>
              </w:rPr>
              <w:t xml:space="preserve">سلسلة الوثائق المترابطة</w:t>
            </w:r>
          </w:p>
        </w:tc>
      </w:tr>
      <w:tr>
        <w:tc>
          <w:tcPr>
            <w:tcW w:w="1002495" w:type="dxa"/>
          </w:tcPr>
          <w:p>
            <w:pPr>
              <w:pStyle w:val="Compact"/>
              <w:bidi/>
            </w:pPr>
            <w:r>
              <w:rPr>
                <w:rtl/>
              </w:rPr>
              <w:t xml:space="preserve">الرصيد الدفتري</w:t>
            </w:r>
          </w:p>
        </w:tc>
        <w:tc>
          <w:tcPr>
            <w:tcW w:w="1032670" w:type="dxa"/>
          </w:tcPr>
          <w:p>
            <w:pPr>
              <w:pStyle w:val="Compact"/>
              <w:bidi/>
            </w:pPr>
            <w:r>
              <w:rPr>
                <w:rtl/>
              </w:rPr>
              <w:t xml:space="preserve">Solde comptable</w:t>
            </w:r>
          </w:p>
        </w:tc>
        <w:tc>
          <w:tcPr>
            <w:tcW w:w="1069551" w:type="dxa"/>
          </w:tcPr>
          <w:p>
            <w:pPr>
              <w:pStyle w:val="Compact"/>
              <w:bidi/>
            </w:pPr>
            <w:r>
              <w:rPr>
                <w:rtl/>
              </w:rPr>
              <w:t xml:space="preserve">Book Balance</w:t>
            </w:r>
          </w:p>
        </w:tc>
        <w:tc>
          <w:tcPr>
            <w:tcW w:w="2055282" w:type="dxa"/>
          </w:tcPr>
          <w:p>
            <w:pPr>
              <w:pStyle w:val="Compact"/>
              <w:bidi/>
            </w:pPr>
            <w:r>
              <w:rPr>
                <w:rtl/>
              </w:rPr>
              <w:t xml:space="preserve">الرصيد في السجلات المحاسبية</w:t>
            </w:r>
          </w:p>
        </w:tc>
      </w:tr>
      <w:tr>
        <w:tc>
          <w:tcPr>
            <w:tcW w:w="1002495" w:type="dxa"/>
          </w:tcPr>
          <w:p>
            <w:pPr>
              <w:pStyle w:val="Compact"/>
              <w:bidi/>
            </w:pPr>
            <w:r>
              <w:rPr>
                <w:rtl/>
              </w:rPr>
              <w:t xml:space="preserve">الرصيد الفعلي</w:t>
            </w:r>
          </w:p>
        </w:tc>
        <w:tc>
          <w:tcPr>
            <w:tcW w:w="1032670" w:type="dxa"/>
          </w:tcPr>
          <w:p>
            <w:pPr>
              <w:pStyle w:val="Compact"/>
              <w:bidi/>
            </w:pPr>
            <w:r>
              <w:rPr>
                <w:rtl/>
              </w:rPr>
              <w:t xml:space="preserve">Solde physique</w:t>
            </w:r>
          </w:p>
        </w:tc>
        <w:tc>
          <w:tcPr>
            <w:tcW w:w="1069551" w:type="dxa"/>
          </w:tcPr>
          <w:p>
            <w:pPr>
              <w:pStyle w:val="Compact"/>
              <w:bidi/>
            </w:pPr>
            <w:r>
              <w:rPr>
                <w:rtl/>
              </w:rPr>
              <w:t xml:space="preserve">Physical Balance</w:t>
            </w:r>
          </w:p>
        </w:tc>
        <w:tc>
          <w:tcPr>
            <w:tcW w:w="2055282" w:type="dxa"/>
          </w:tcPr>
          <w:p>
            <w:pPr>
              <w:pStyle w:val="Compact"/>
              <w:bidi/>
            </w:pPr>
            <w:r>
              <w:rPr>
                <w:rtl/>
              </w:rPr>
              <w:t xml:space="preserve">الرصيد الموجود فعلياً في المستودع</w:t>
            </w:r>
          </w:p>
        </w:tc>
      </w:tr>
      <w:tr>
        <w:tc>
          <w:tcPr>
            <w:tcW w:w="1002495" w:type="dxa"/>
          </w:tcPr>
          <w:p>
            <w:pPr>
              <w:pStyle w:val="Compact"/>
              <w:bidi/>
            </w:pPr>
            <w:r>
              <w:rPr>
                <w:rtl/>
              </w:rPr>
              <w:t xml:space="preserve">أرصدة وهمية</w:t>
            </w:r>
          </w:p>
        </w:tc>
        <w:tc>
          <w:tcPr>
            <w:tcW w:w="1032670" w:type="dxa"/>
          </w:tcPr>
          <w:p>
            <w:pPr>
              <w:pStyle w:val="Compact"/>
              <w:bidi/>
            </w:pPr>
            <w:r>
              <w:rPr>
                <w:rtl/>
              </w:rPr>
              <w:t xml:space="preserve">Stocks fantômes</w:t>
            </w:r>
          </w:p>
        </w:tc>
        <w:tc>
          <w:tcPr>
            <w:tcW w:w="1069551" w:type="dxa"/>
          </w:tcPr>
          <w:p>
            <w:pPr>
              <w:pStyle w:val="Compact"/>
              <w:bidi/>
            </w:pPr>
            <w:r>
              <w:rPr>
                <w:rtl/>
              </w:rPr>
              <w:t xml:space="preserve">Phantom Stocks</w:t>
            </w:r>
          </w:p>
        </w:tc>
        <w:tc>
          <w:tcPr>
            <w:tcW w:w="2055282" w:type="dxa"/>
          </w:tcPr>
          <w:p>
            <w:pPr>
              <w:pStyle w:val="Compact"/>
              <w:bidi/>
            </w:pPr>
            <w:r>
              <w:rPr>
                <w:rtl/>
              </w:rPr>
              <w:t xml:space="preserve">رصيد وهمي غير موجود فعلياً</w:t>
            </w:r>
          </w:p>
        </w:tc>
      </w:tr>
      <w:tr>
        <w:tc>
          <w:tcPr>
            <w:tcW w:w="1002495" w:type="dxa"/>
          </w:tcPr>
          <w:p>
            <w:pPr>
              <w:pStyle w:val="Compact"/>
              <w:bidi/>
            </w:pPr>
            <w:r>
              <w:rPr>
                <w:rtl/>
              </w:rPr>
              <w:t xml:space="preserve">نفاد المخزون</w:t>
            </w:r>
          </w:p>
        </w:tc>
        <w:tc>
          <w:tcPr>
            <w:tcW w:w="1032670" w:type="dxa"/>
          </w:tcPr>
          <w:p>
            <w:pPr>
              <w:pStyle w:val="Compact"/>
              <w:bidi/>
            </w:pPr>
            <w:r>
              <w:rPr>
                <w:rtl/>
              </w:rPr>
              <w:t xml:space="preserve">Rupture de stock</w:t>
            </w:r>
          </w:p>
        </w:tc>
        <w:tc>
          <w:tcPr>
            <w:tcW w:w="1069551" w:type="dxa"/>
          </w:tcPr>
          <w:p>
            <w:pPr>
              <w:pStyle w:val="Compact"/>
              <w:bidi/>
            </w:pPr>
            <w:r>
              <w:rPr>
                <w:rtl/>
              </w:rPr>
              <w:t xml:space="preserve">Stockout</w:t>
            </w:r>
          </w:p>
        </w:tc>
        <w:tc>
          <w:tcPr>
            <w:tcW w:w="2055282" w:type="dxa"/>
          </w:tcPr>
          <w:p>
            <w:pPr>
              <w:pStyle w:val="Compact"/>
              <w:bidi/>
            </w:pPr>
            <w:r>
              <w:rPr>
                <w:rtl/>
              </w:rPr>
              <w:t xml:space="preserve">عدم توفر المادة</w:t>
            </w:r>
          </w:p>
        </w:tc>
      </w:tr>
      <w:tr>
        <w:tc>
          <w:tcPr>
            <w:tcW w:w="1002495" w:type="dxa"/>
          </w:tcPr>
          <w:p>
            <w:pPr>
              <w:pStyle w:val="Compact"/>
              <w:bidi/>
            </w:pPr>
            <w:r>
              <w:rPr>
                <w:rtl/>
              </w:rPr>
              <w:t xml:space="preserve">أجل التسليم</w:t>
            </w:r>
          </w:p>
        </w:tc>
        <w:tc>
          <w:tcPr>
            <w:tcW w:w="1032670" w:type="dxa"/>
          </w:tcPr>
          <w:p>
            <w:pPr>
              <w:pStyle w:val="Compact"/>
              <w:bidi/>
            </w:pPr>
            <w:r>
              <w:rPr>
                <w:rtl/>
              </w:rPr>
              <w:t xml:space="preserve">Délai de livraison</w:t>
            </w:r>
          </w:p>
        </w:tc>
        <w:tc>
          <w:tcPr>
            <w:tcW w:w="1069551" w:type="dxa"/>
          </w:tcPr>
          <w:p>
            <w:pPr>
              <w:pStyle w:val="Compact"/>
              <w:bidi/>
            </w:pPr>
            <w:r>
              <w:rPr>
                <w:rtl/>
              </w:rPr>
              <w:t xml:space="preserve">Lead Time</w:t>
            </w:r>
          </w:p>
        </w:tc>
        <w:tc>
          <w:tcPr>
            <w:tcW w:w="2055282" w:type="dxa"/>
          </w:tcPr>
          <w:p>
            <w:pPr>
              <w:pStyle w:val="Compact"/>
              <w:bidi/>
            </w:pPr>
            <w:r>
              <w:rPr>
                <w:rtl/>
              </w:rPr>
              <w:t xml:space="preserve">مدة التوريد</w:t>
            </w:r>
          </w:p>
        </w:tc>
      </w:tr>
      <w:tr>
        <w:tc>
          <w:tcPr>
            <w:tcW w:w="1002495" w:type="dxa"/>
          </w:tcPr>
          <w:p>
            <w:pPr>
              <w:pStyle w:val="Compact"/>
              <w:bidi/>
            </w:pPr>
            <w:r>
              <w:rPr>
                <w:rtl/>
              </w:rPr>
              <w:t xml:space="preserve">الطلب السنوي</w:t>
            </w:r>
          </w:p>
        </w:tc>
        <w:tc>
          <w:tcPr>
            <w:tcW w:w="1032670" w:type="dxa"/>
          </w:tcPr>
          <w:p>
            <w:pPr>
              <w:pStyle w:val="Compact"/>
              <w:bidi/>
            </w:pPr>
            <w:r>
              <w:rPr>
                <w:rtl/>
              </w:rPr>
              <w:t xml:space="preserve">Demande annuelle</w:t>
            </w:r>
          </w:p>
        </w:tc>
        <w:tc>
          <w:tcPr>
            <w:tcW w:w="1069551" w:type="dxa"/>
          </w:tcPr>
          <w:p>
            <w:pPr>
              <w:pStyle w:val="Compact"/>
              <w:bidi/>
            </w:pPr>
            <w:r>
              <w:rPr>
                <w:rtl/>
              </w:rPr>
              <w:t xml:space="preserve">Annual Demand</w:t>
            </w:r>
          </w:p>
        </w:tc>
        <w:tc>
          <w:tcPr>
            <w:tcW w:w="2055282" w:type="dxa"/>
          </w:tcPr>
          <w:p>
            <w:pPr>
              <w:pStyle w:val="Compact"/>
              <w:bidi/>
            </w:pPr>
            <w:r>
              <w:rPr>
                <w:rtl/>
              </w:rPr>
              <w:t xml:space="preserve">الاستهلاك السنوي</w:t>
            </w:r>
          </w:p>
        </w:tc>
      </w:tr>
      <w:tr>
        <w:tc>
          <w:tcPr>
            <w:tcW w:w="1002495" w:type="dxa"/>
          </w:tcPr>
          <w:p>
            <w:pPr>
              <w:pStyle w:val="Compact"/>
              <w:bidi/>
            </w:pPr>
            <w:r>
              <w:rPr>
                <w:rtl/>
              </w:rPr>
              <w:t xml:space="preserve">معامل التباين</w:t>
            </w:r>
          </w:p>
        </w:tc>
        <w:tc>
          <w:tcPr>
            <w:tcW w:w="1032670" w:type="dxa"/>
          </w:tcPr>
          <w:p>
            <w:pPr>
              <w:pStyle w:val="Compact"/>
              <w:bidi/>
            </w:pPr>
            <w:r>
              <w:rPr>
                <w:rtl/>
              </w:rPr>
              <w:t xml:space="preserve">Coefficient de variation</w:t>
            </w:r>
          </w:p>
        </w:tc>
        <w:tc>
          <w:tcPr>
            <w:tcW w:w="1069551" w:type="dxa"/>
          </w:tcPr>
          <w:p>
            <w:pPr>
              <w:pStyle w:val="Compact"/>
              <w:bidi/>
            </w:pPr>
            <w:r>
              <w:rPr>
                <w:rtl/>
              </w:rPr>
              <w:t xml:space="preserve">Coefficient of Variation</w:t>
            </w:r>
          </w:p>
        </w:tc>
        <w:tc>
          <w:tcPr>
            <w:tcW w:w="2055282" w:type="dxa"/>
          </w:tcPr>
          <w:p>
            <w:pPr>
              <w:pStyle w:val="Compact"/>
              <w:bidi/>
            </w:pPr>
            <w:r>
              <w:rPr>
                <w:rtl/>
              </w:rPr>
              <w:t xml:space="preserve">مقياس التقلب</w:t>
            </w:r>
          </w:p>
        </w:tc>
      </w:tr>
      <w:tr>
        <w:tc>
          <w:tcPr>
            <w:tcW w:w="1002495" w:type="dxa"/>
          </w:tcPr>
          <w:p>
            <w:pPr>
              <w:pStyle w:val="Compact"/>
              <w:bidi/>
            </w:pPr>
            <w:r>
              <w:rPr>
                <w:rtl/>
              </w:rPr>
              <w:t xml:space="preserve">حامل التكاليف</w:t>
            </w:r>
          </w:p>
        </w:tc>
        <w:tc>
          <w:tcPr>
            <w:tcW w:w="1032670" w:type="dxa"/>
          </w:tcPr>
          <w:p>
            <w:pPr>
              <w:pStyle w:val="Compact"/>
              <w:bidi/>
            </w:pPr>
            <w:r>
              <w:rPr>
                <w:rtl/>
              </w:rPr>
              <w:t xml:space="preserve">Coût de possession</w:t>
            </w:r>
          </w:p>
        </w:tc>
        <w:tc>
          <w:tcPr>
            <w:tcW w:w="1069551" w:type="dxa"/>
          </w:tcPr>
          <w:p>
            <w:pPr>
              <w:pStyle w:val="Compact"/>
              <w:bidi/>
            </w:pPr>
            <w:r>
              <w:rPr>
                <w:rtl/>
              </w:rPr>
              <w:t xml:space="preserve">Holding Cost</w:t>
            </w:r>
          </w:p>
        </w:tc>
        <w:tc>
          <w:tcPr>
            <w:tcW w:w="2055282" w:type="dxa"/>
          </w:tcPr>
          <w:p>
            <w:pPr>
              <w:pStyle w:val="Compact"/>
              <w:bidi/>
            </w:pPr>
            <w:r>
              <w:rPr>
                <w:rtl/>
              </w:rPr>
              <w:t xml:space="preserve">تكلفة التخزين</w:t>
            </w:r>
          </w:p>
        </w:tc>
      </w:tr>
      <w:tr>
        <w:tc>
          <w:tcPr>
            <w:tcW w:w="1002495" w:type="dxa"/>
          </w:tcPr>
          <w:p>
            <w:pPr>
              <w:pStyle w:val="Compact"/>
              <w:bidi/>
            </w:pPr>
            <w:r>
              <w:rPr>
                <w:rtl/>
              </w:rPr>
              <w:t xml:space="preserve">تكلفة الطلبية</w:t>
            </w:r>
          </w:p>
        </w:tc>
        <w:tc>
          <w:tcPr>
            <w:tcW w:w="1032670" w:type="dxa"/>
          </w:tcPr>
          <w:p>
            <w:pPr>
              <w:pStyle w:val="Compact"/>
              <w:bidi/>
            </w:pPr>
            <w:r>
              <w:rPr>
                <w:rtl/>
              </w:rPr>
              <w:t xml:space="preserve">Coût de commande</w:t>
            </w:r>
          </w:p>
        </w:tc>
        <w:tc>
          <w:tcPr>
            <w:tcW w:w="1069551" w:type="dxa"/>
          </w:tcPr>
          <w:p>
            <w:pPr>
              <w:pStyle w:val="Compact"/>
              <w:bidi/>
            </w:pPr>
            <w:r>
              <w:rPr>
                <w:rtl/>
              </w:rPr>
              <w:t xml:space="preserve">Ordering Cost</w:t>
            </w:r>
          </w:p>
        </w:tc>
        <w:tc>
          <w:tcPr>
            <w:tcW w:w="2055282" w:type="dxa"/>
          </w:tcPr>
          <w:p>
            <w:pPr>
              <w:pStyle w:val="Compact"/>
              <w:bidi/>
            </w:pPr>
            <w:r>
              <w:rPr>
                <w:rtl/>
              </w:rPr>
              <w:t xml:space="preserve">تكلفة تقديم الطلب</w:t>
            </w:r>
          </w:p>
        </w:tc>
      </w:tr>
      <w:tr>
        <w:tc>
          <w:tcPr>
            <w:tcW w:w="1002495" w:type="dxa"/>
          </w:tcPr>
          <w:p>
            <w:pPr>
              <w:pStyle w:val="Compact"/>
              <w:bidi/>
            </w:pPr>
            <w:r>
              <w:rPr>
                <w:rtl/>
              </w:rPr>
              <w:t xml:space="preserve">القيمة المخزنية</w:t>
            </w:r>
          </w:p>
        </w:tc>
        <w:tc>
          <w:tcPr>
            <w:tcW w:w="1032670" w:type="dxa"/>
          </w:tcPr>
          <w:p>
            <w:pPr>
              <w:pStyle w:val="Compact"/>
              <w:bidi/>
            </w:pPr>
            <w:r>
              <w:rPr>
                <w:rtl/>
              </w:rPr>
              <w:t xml:space="preserve">Valeur du stock</w:t>
            </w:r>
          </w:p>
        </w:tc>
        <w:tc>
          <w:tcPr>
            <w:tcW w:w="1069551" w:type="dxa"/>
          </w:tcPr>
          <w:p>
            <w:pPr>
              <w:pStyle w:val="Compact"/>
              <w:bidi/>
            </w:pPr>
            <w:r>
              <w:rPr>
                <w:rtl/>
              </w:rPr>
              <w:t xml:space="preserve">Inventory Value</w:t>
            </w:r>
          </w:p>
        </w:tc>
        <w:tc>
          <w:tcPr>
            <w:tcW w:w="2055282" w:type="dxa"/>
          </w:tcPr>
          <w:p>
            <w:pPr>
              <w:pStyle w:val="Compact"/>
              <w:bidi/>
            </w:pPr>
            <w:r>
              <w:rPr>
                <w:rtl/>
              </w:rPr>
              <w:t xml:space="preserve">القيمة المالية للمخزون</w:t>
            </w:r>
          </w:p>
        </w:tc>
      </w:tr>
    </w:tbl>
    <w:bookmarkEnd w:id="154"/>
    <w:bookmarkStart w:id="159" w:name="مصطلحات-تقنية-النظام"/>
    <w:p>
      <w:pPr>
        <w:pStyle w:val="Heading2"/>
        <w:bidi/>
        <w:sectPr>
          <w:pgNumType w:fmt="decimal" w:start="1"/>
          <w:footnotePr>
            <w:numRestart w:val="eachSect"/>
          </w:footnotePr>
          <w:pgSz w:h="16838" w:w="11906"/>
          <w:pgMar w:bottom="1417" w:left="1417" w:right="1417" w:top="1417"/>
        </w:sectPr>
      </w:pPr>
      <w:r>
        <w:rPr>
          <w:b/>
          <w:sz w:val="36"/>
          <w:rtl/>
        </w:rPr>
        <w:t xml:space="preserve">مصطلحات تقنية النظام</w:t>
      </w:r>
      <w:r>
        <w:rPr>
          <w:b/>
          <w:sz w:val="36"/>
          <w:rtl/>
        </w:rPr>
        <w:t xml:space="preserve"> </w:t>
      </w:r>
      <w:r>
        <w:rPr>
          <w:rStyle w:val="FootnoteReference"/>
          <w:b/>
          <w:sz w:val="36"/>
        </w:rPr>
        <w:footnoteReference w:id="155"/>
      </w:r>
      <w:r>
        <w:rPr>
          <w:b/>
          <w:sz w:val="36"/>
          <w:rtl/>
        </w:rPr>
        <w:t xml:space="preserve"> </w:t>
      </w:r>
      <w:r>
        <w:rPr>
          <w:rStyle w:val="FootnoteReference"/>
          <w:b/>
          <w:sz w:val="36"/>
        </w:rPr>
        <w:footnoteReference w:id="156"/>
      </w:r>
      <w:r>
        <w:rPr>
          <w:b/>
          <w:sz w:val="36"/>
          <w:rtl/>
        </w:rPr>
        <w:t xml:space="preserve"> </w:t>
      </w:r>
      <w:r>
        <w:rPr>
          <w:rStyle w:val="FootnoteReference"/>
          <w:b/>
          <w:sz w:val="36"/>
        </w:rPr>
        <w:footnoteReference w:id="157"/>
      </w:r>
      <w:r>
        <w:rPr>
          <w:b/>
          <w:sz w:val="36"/>
          <w:rtl/>
        </w:rPr>
        <w:t xml:space="preserve"> </w:t>
      </w:r>
      <w:r>
        <w:rPr>
          <w:rStyle w:val="FootnoteReference"/>
          <w:b/>
          <w:sz w:val="36"/>
        </w:rPr>
        <w:footnoteReference w:id="158"/>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321750" w:type="dxa"/>
          </w:tcPr>
          <w:p>
            <w:pPr>
              <w:pStyle w:val="Compact"/>
              <w:bidi/>
            </w:pPr>
            <w:r>
              <w:rPr>
                <w:rtl/>
              </w:rPr>
              <w:t xml:space="preserve">العربية</w:t>
            </w:r>
          </w:p>
        </w:tc>
        <w:tc>
          <w:tcPr>
            <w:tcW w:w="1086563" w:type="dxa"/>
          </w:tcPr>
          <w:p>
            <w:pPr>
              <w:pStyle w:val="Compact"/>
              <w:bidi/>
            </w:pPr>
            <w:r>
              <w:rPr>
                <w:rtl/>
              </w:rPr>
              <w:t xml:space="preserve">الفرنسية</w:t>
            </w:r>
          </w:p>
        </w:tc>
        <w:tc>
          <w:tcPr>
            <w:tcW w:w="879598" w:type="dxa"/>
          </w:tcPr>
          <w:p>
            <w:pPr>
              <w:pStyle w:val="Compact"/>
              <w:bidi/>
            </w:pPr>
            <w:r>
              <w:rPr>
                <w:rtl/>
              </w:rPr>
              <w:t xml:space="preserve">الإنجليزية</w:t>
            </w:r>
          </w:p>
        </w:tc>
        <w:tc>
          <w:tcPr>
            <w:tcW w:w="1872087" w:type="dxa"/>
          </w:tcPr>
          <w:p>
            <w:pPr>
              <w:pStyle w:val="Compact"/>
              <w:bidi/>
            </w:pPr>
            <w:r>
              <w:rPr>
                <w:rtl/>
              </w:rPr>
              <w:t xml:space="preserve">التعريف</w:t>
            </w:r>
          </w:p>
        </w:tc>
      </w:tr>
      <w:tr>
        <w:tc>
          <w:tcPr>
            <w:tcW w:w="1321750" w:type="dxa"/>
          </w:tcPr>
          <w:p>
            <w:pPr>
              <w:pStyle w:val="Compact"/>
              <w:bidi/>
            </w:pPr>
            <w:r>
              <w:rPr>
                <w:rtl/>
              </w:rPr>
              <w:t xml:space="preserve">Excel VBA</w:t>
            </w:r>
          </w:p>
        </w:tc>
        <w:tc>
          <w:tcPr>
            <w:tcW w:w="1086563" w:type="dxa"/>
          </w:tcPr>
          <w:p>
            <w:pPr>
              <w:pStyle w:val="Compact"/>
              <w:bidi/>
            </w:pPr>
            <w:r>
              <w:rPr>
                <w:rtl/>
              </w:rPr>
              <w:t xml:space="preserve">Excel VBA</w:t>
            </w:r>
          </w:p>
        </w:tc>
        <w:tc>
          <w:tcPr>
            <w:tcW w:w="879598" w:type="dxa"/>
          </w:tcPr>
          <w:p>
            <w:pPr>
              <w:pStyle w:val="Compact"/>
              <w:bidi/>
            </w:pPr>
            <w:r>
              <w:rPr>
                <w:rtl/>
              </w:rPr>
              <w:t xml:space="preserve">Excel VBA</w:t>
            </w:r>
          </w:p>
        </w:tc>
        <w:tc>
          <w:tcPr>
            <w:tcW w:w="1872087" w:type="dxa"/>
          </w:tcPr>
          <w:p>
            <w:pPr>
              <w:pStyle w:val="Compact"/>
              <w:bidi/>
            </w:pPr>
            <w:r>
              <w:rPr>
                <w:rtl/>
              </w:rPr>
              <w:t xml:space="preserve">لغة البرمجة في Excel</w:t>
            </w:r>
          </w:p>
        </w:tc>
      </w:tr>
      <w:tr>
        <w:tc>
          <w:tcPr>
            <w:tcW w:w="1321750" w:type="dxa"/>
          </w:tcPr>
          <w:p>
            <w:pPr>
              <w:pStyle w:val="Compact"/>
              <w:bidi/>
            </w:pPr>
            <w:r>
              <w:rPr>
                <w:rtl/>
              </w:rPr>
              <w:t xml:space="preserve">محرك المعالجة</w:t>
            </w:r>
          </w:p>
        </w:tc>
        <w:tc>
          <w:tcPr>
            <w:tcW w:w="1086563" w:type="dxa"/>
          </w:tcPr>
          <w:p>
            <w:pPr>
              <w:pStyle w:val="Compact"/>
              <w:bidi/>
            </w:pPr>
            <w:r>
              <w:rPr>
                <w:rtl/>
              </w:rPr>
              <w:t xml:space="preserve">Moteur de traitement</w:t>
            </w:r>
          </w:p>
        </w:tc>
        <w:tc>
          <w:tcPr>
            <w:tcW w:w="879598" w:type="dxa"/>
          </w:tcPr>
          <w:p>
            <w:pPr>
              <w:pStyle w:val="Compact"/>
              <w:bidi/>
            </w:pPr>
            <w:r>
              <w:rPr>
                <w:rtl/>
              </w:rPr>
              <w:t xml:space="preserve">Processing Engine</w:t>
            </w:r>
          </w:p>
        </w:tc>
        <w:tc>
          <w:tcPr>
            <w:tcW w:w="1872087" w:type="dxa"/>
          </w:tcPr>
          <w:p>
            <w:pPr>
              <w:pStyle w:val="Compact"/>
              <w:bidi/>
            </w:pPr>
            <w:r>
              <w:rPr>
                <w:rtl/>
              </w:rPr>
              <w:t xml:space="preserve">وحدة المعالجة الخلفية</w:t>
            </w:r>
          </w:p>
        </w:tc>
      </w:tr>
      <w:tr>
        <w:tc>
          <w:tcPr>
            <w:tcW w:w="1321750" w:type="dxa"/>
          </w:tcPr>
          <w:p>
            <w:pPr>
              <w:pStyle w:val="Compact"/>
              <w:bidi/>
            </w:pPr>
            <w:r>
              <w:rPr>
                <w:rtl/>
              </w:rPr>
              <w:t xml:space="preserve">واجهة المستخدم</w:t>
            </w:r>
          </w:p>
        </w:tc>
        <w:tc>
          <w:tcPr>
            <w:tcW w:w="1086563" w:type="dxa"/>
          </w:tcPr>
          <w:p>
            <w:pPr>
              <w:pStyle w:val="Compact"/>
              <w:bidi/>
            </w:pPr>
            <w:r>
              <w:rPr>
                <w:rtl/>
              </w:rPr>
              <w:t xml:space="preserve">Interface utilisateur</w:t>
            </w:r>
          </w:p>
        </w:tc>
        <w:tc>
          <w:tcPr>
            <w:tcW w:w="879598" w:type="dxa"/>
          </w:tcPr>
          <w:p>
            <w:pPr>
              <w:pStyle w:val="Compact"/>
              <w:bidi/>
            </w:pPr>
            <w:r>
              <w:rPr>
                <w:rtl/>
              </w:rPr>
              <w:t xml:space="preserve">User Interface</w:t>
            </w:r>
          </w:p>
        </w:tc>
        <w:tc>
          <w:tcPr>
            <w:tcW w:w="1872087" w:type="dxa"/>
          </w:tcPr>
          <w:p>
            <w:pPr>
              <w:pStyle w:val="Compact"/>
              <w:bidi/>
            </w:pPr>
            <w:r>
              <w:rPr>
                <w:rtl/>
              </w:rPr>
              <w:t xml:space="preserve">شاشة التفاعل</w:t>
            </w:r>
          </w:p>
        </w:tc>
      </w:tr>
      <w:tr>
        <w:tc>
          <w:tcPr>
            <w:tcW w:w="1321750" w:type="dxa"/>
          </w:tcPr>
          <w:p>
            <w:pPr>
              <w:pStyle w:val="Compact"/>
              <w:bidi/>
            </w:pPr>
            <w:r>
              <w:rPr>
                <w:rtl/>
              </w:rPr>
              <w:t xml:space="preserve">الحراسة المزدوجة</w:t>
            </w:r>
          </w:p>
        </w:tc>
        <w:tc>
          <w:tcPr>
            <w:tcW w:w="1086563" w:type="dxa"/>
          </w:tcPr>
          <w:p>
            <w:pPr>
              <w:pStyle w:val="Compact"/>
              <w:bidi/>
            </w:pPr>
            <w:r>
              <w:rPr>
                <w:rtl/>
              </w:rPr>
              <w:t xml:space="preserve">Double garde</w:t>
            </w:r>
          </w:p>
        </w:tc>
        <w:tc>
          <w:tcPr>
            <w:tcW w:w="879598" w:type="dxa"/>
          </w:tcPr>
          <w:p>
            <w:pPr>
              <w:pStyle w:val="Compact"/>
              <w:bidi/>
            </w:pPr>
            <w:r>
              <w:rPr>
                <w:rtl/>
              </w:rPr>
              <w:t xml:space="preserve">Dual-Guard</w:t>
            </w:r>
          </w:p>
        </w:tc>
        <w:tc>
          <w:tcPr>
            <w:tcW w:w="1872087" w:type="dxa"/>
          </w:tcPr>
          <w:p>
            <w:pPr>
              <w:pStyle w:val="Compact"/>
              <w:bidi/>
            </w:pPr>
            <w:r>
              <w:rPr>
                <w:rtl/>
              </w:rPr>
              <w:t xml:space="preserve">نظام حماية مزدوج</w:t>
            </w:r>
          </w:p>
        </w:tc>
      </w:tr>
      <w:tr>
        <w:tc>
          <w:tcPr>
            <w:tcW w:w="1321750" w:type="dxa"/>
          </w:tcPr>
          <w:p>
            <w:pPr>
              <w:pStyle w:val="Compact"/>
              <w:bidi/>
            </w:pPr>
            <w:r>
              <w:rPr>
                <w:rtl/>
              </w:rPr>
              <w:t xml:space="preserve">التنبيه الآلي</w:t>
            </w:r>
          </w:p>
        </w:tc>
        <w:tc>
          <w:tcPr>
            <w:tcW w:w="1086563" w:type="dxa"/>
          </w:tcPr>
          <w:p>
            <w:pPr>
              <w:pStyle w:val="Compact"/>
              <w:bidi/>
            </w:pPr>
            <w:r>
              <w:rPr>
                <w:rtl/>
              </w:rPr>
              <w:t xml:space="preserve">Alerte automatique</w:t>
            </w:r>
          </w:p>
        </w:tc>
        <w:tc>
          <w:tcPr>
            <w:tcW w:w="879598" w:type="dxa"/>
          </w:tcPr>
          <w:p>
            <w:pPr>
              <w:pStyle w:val="Compact"/>
              <w:bidi/>
            </w:pPr>
            <w:r>
              <w:rPr>
                <w:rtl/>
              </w:rPr>
              <w:t xml:space="preserve">Automatic Alert</w:t>
            </w:r>
          </w:p>
        </w:tc>
        <w:tc>
          <w:tcPr>
            <w:tcW w:w="1872087" w:type="dxa"/>
          </w:tcPr>
          <w:p>
            <w:pPr>
              <w:pStyle w:val="Compact"/>
              <w:bidi/>
            </w:pPr>
            <w:r>
              <w:rPr>
                <w:rtl/>
              </w:rPr>
              <w:t xml:space="preserve">إشعار النظام</w:t>
            </w:r>
          </w:p>
        </w:tc>
      </w:tr>
      <w:tr>
        <w:tc>
          <w:tcPr>
            <w:tcW w:w="1321750" w:type="dxa"/>
          </w:tcPr>
          <w:p>
            <w:pPr>
              <w:pStyle w:val="Compact"/>
              <w:bidi/>
            </w:pPr>
            <w:r>
              <w:rPr>
                <w:rtl/>
              </w:rPr>
              <w:t xml:space="preserve">الكتابة الذرية</w:t>
            </w:r>
          </w:p>
        </w:tc>
        <w:tc>
          <w:tcPr>
            <w:tcW w:w="1086563" w:type="dxa"/>
          </w:tcPr>
          <w:p>
            <w:pPr>
              <w:pStyle w:val="Compact"/>
              <w:bidi/>
            </w:pPr>
            <w:r>
              <w:rPr>
                <w:rtl/>
              </w:rPr>
              <w:t xml:space="preserve">Écriture atomique</w:t>
            </w:r>
          </w:p>
        </w:tc>
        <w:tc>
          <w:tcPr>
            <w:tcW w:w="879598" w:type="dxa"/>
          </w:tcPr>
          <w:p>
            <w:pPr>
              <w:pStyle w:val="Compact"/>
              <w:bidi/>
            </w:pPr>
            <w:r>
              <w:rPr>
                <w:rtl/>
              </w:rPr>
              <w:t xml:space="preserve">Atomic Write</w:t>
            </w:r>
          </w:p>
        </w:tc>
        <w:tc>
          <w:tcPr>
            <w:tcW w:w="1872087" w:type="dxa"/>
          </w:tcPr>
          <w:p>
            <w:pPr>
              <w:pStyle w:val="Compact"/>
              <w:bidi/>
            </w:pPr>
            <w:r>
              <w:rPr>
                <w:rtl/>
              </w:rPr>
              <w:t xml:space="preserve">كتابة كاملة أو لا شيء</w:t>
            </w:r>
          </w:p>
        </w:tc>
      </w:tr>
      <w:tr>
        <w:tc>
          <w:tcPr>
            <w:tcW w:w="1321750" w:type="dxa"/>
          </w:tcPr>
          <w:p>
            <w:pPr>
              <w:pStyle w:val="Compact"/>
              <w:bidi/>
            </w:pPr>
            <w:r>
              <w:rPr>
                <w:rtl/>
              </w:rPr>
              <w:t xml:space="preserve">التخزين الهجين</w:t>
            </w:r>
          </w:p>
        </w:tc>
        <w:tc>
          <w:tcPr>
            <w:tcW w:w="1086563" w:type="dxa"/>
          </w:tcPr>
          <w:p>
            <w:pPr>
              <w:pStyle w:val="Compact"/>
              <w:bidi/>
            </w:pPr>
            <w:r>
              <w:rPr>
                <w:rtl/>
              </w:rPr>
              <w:t xml:space="preserve">Stockage hybride</w:t>
            </w:r>
          </w:p>
        </w:tc>
        <w:tc>
          <w:tcPr>
            <w:tcW w:w="879598" w:type="dxa"/>
          </w:tcPr>
          <w:p>
            <w:pPr>
              <w:pStyle w:val="Compact"/>
              <w:bidi/>
            </w:pPr>
            <w:r>
              <w:rPr>
                <w:rtl/>
              </w:rPr>
              <w:t xml:space="preserve">Hybrid Storage</w:t>
            </w:r>
          </w:p>
        </w:tc>
        <w:tc>
          <w:tcPr>
            <w:tcW w:w="1872087" w:type="dxa"/>
          </w:tcPr>
          <w:p>
            <w:pPr>
              <w:pStyle w:val="Compact"/>
              <w:bidi/>
            </w:pPr>
            <w:r>
              <w:rPr>
                <w:rtl/>
              </w:rPr>
              <w:t xml:space="preserve">تخزين السجل الرقمي + Excel</w:t>
            </w:r>
          </w:p>
        </w:tc>
      </w:tr>
      <w:tr>
        <w:tc>
          <w:tcPr>
            <w:tcW w:w="1321750" w:type="dxa"/>
          </w:tcPr>
          <w:p>
            <w:pPr>
              <w:pStyle w:val="Compact"/>
              <w:bidi/>
            </w:pPr>
            <w:r>
              <w:rPr>
                <w:rtl/>
              </w:rPr>
              <w:t xml:space="preserve">المصفوفة</w:t>
            </w:r>
          </w:p>
        </w:tc>
        <w:tc>
          <w:tcPr>
            <w:tcW w:w="1086563" w:type="dxa"/>
          </w:tcPr>
          <w:p>
            <w:pPr>
              <w:pStyle w:val="Compact"/>
              <w:bidi/>
            </w:pPr>
            <w:r>
              <w:rPr>
                <w:rtl/>
              </w:rPr>
              <w:t xml:space="preserve">Matrice</w:t>
            </w:r>
          </w:p>
        </w:tc>
        <w:tc>
          <w:tcPr>
            <w:tcW w:w="879598" w:type="dxa"/>
          </w:tcPr>
          <w:p>
            <w:pPr>
              <w:pStyle w:val="Compact"/>
              <w:bidi/>
            </w:pPr>
            <w:r>
              <w:rPr>
                <w:rtl/>
              </w:rPr>
              <w:t xml:space="preserve">Matrix</w:t>
            </w:r>
          </w:p>
        </w:tc>
        <w:tc>
          <w:tcPr>
            <w:tcW w:w="1872087" w:type="dxa"/>
          </w:tcPr>
          <w:p>
            <w:pPr>
              <w:pStyle w:val="Compact"/>
              <w:bidi/>
            </w:pPr>
            <w:r>
              <w:rPr>
                <w:rtl/>
              </w:rPr>
              <w:t xml:space="preserve">جدول التصنيف</w:t>
            </w:r>
          </w:p>
        </w:tc>
      </w:tr>
      <w:tr>
        <w:tc>
          <w:tcPr>
            <w:tcW w:w="1321750" w:type="dxa"/>
          </w:tcPr>
          <w:p>
            <w:pPr>
              <w:pStyle w:val="Compact"/>
              <w:bidi/>
            </w:pPr>
            <w:r>
              <w:rPr>
                <w:rtl/>
              </w:rPr>
              <w:t xml:space="preserve">لوحة القيادة</w:t>
            </w:r>
          </w:p>
        </w:tc>
        <w:tc>
          <w:tcPr>
            <w:tcW w:w="1086563" w:type="dxa"/>
          </w:tcPr>
          <w:p>
            <w:pPr>
              <w:pStyle w:val="Compact"/>
              <w:bidi/>
            </w:pPr>
            <w:r>
              <w:rPr>
                <w:rtl/>
              </w:rPr>
              <w:t xml:space="preserve">Tableau de bord</w:t>
            </w:r>
          </w:p>
        </w:tc>
        <w:tc>
          <w:tcPr>
            <w:tcW w:w="879598" w:type="dxa"/>
          </w:tcPr>
          <w:p>
            <w:pPr>
              <w:pStyle w:val="Compact"/>
              <w:bidi/>
            </w:pPr>
            <w:r>
              <w:rPr>
                <w:rtl/>
              </w:rPr>
              <w:t xml:space="preserve">Dashboard</w:t>
            </w:r>
          </w:p>
        </w:tc>
        <w:tc>
          <w:tcPr>
            <w:tcW w:w="1872087" w:type="dxa"/>
          </w:tcPr>
          <w:p>
            <w:pPr>
              <w:pStyle w:val="Compact"/>
              <w:bidi/>
            </w:pPr>
            <w:r>
              <w:rPr>
                <w:rtl/>
              </w:rPr>
              <w:t xml:space="preserve">شاشة المراقبة</w:t>
            </w:r>
          </w:p>
        </w:tc>
      </w:tr>
      <w:tr>
        <w:tc>
          <w:tcPr>
            <w:tcW w:w="1321750" w:type="dxa"/>
          </w:tcPr>
          <w:p>
            <w:pPr>
              <w:pStyle w:val="Compact"/>
              <w:bidi/>
            </w:pPr>
            <w:r>
              <w:rPr>
                <w:rtl/>
              </w:rPr>
              <w:t xml:space="preserve">التصدير</w:t>
            </w:r>
          </w:p>
        </w:tc>
        <w:tc>
          <w:tcPr>
            <w:tcW w:w="1086563" w:type="dxa"/>
          </w:tcPr>
          <w:p>
            <w:pPr>
              <w:pStyle w:val="Compact"/>
              <w:bidi/>
            </w:pPr>
            <w:r>
              <w:rPr>
                <w:rtl/>
              </w:rPr>
              <w:t xml:space="preserve">Export</w:t>
            </w:r>
          </w:p>
        </w:tc>
        <w:tc>
          <w:tcPr>
            <w:tcW w:w="879598" w:type="dxa"/>
          </w:tcPr>
          <w:p>
            <w:pPr>
              <w:pStyle w:val="Compact"/>
              <w:bidi/>
            </w:pPr>
            <w:r>
              <w:rPr>
                <w:rtl/>
              </w:rPr>
              <w:t xml:space="preserve">Export</w:t>
            </w:r>
          </w:p>
        </w:tc>
        <w:tc>
          <w:tcPr>
            <w:tcW w:w="1872087" w:type="dxa"/>
          </w:tcPr>
          <w:p>
            <w:pPr>
              <w:pStyle w:val="Compact"/>
              <w:bidi/>
            </w:pPr>
            <w:r>
              <w:rPr>
                <w:rtl/>
              </w:rPr>
              <w:t xml:space="preserve">استخراج البيانات</w:t>
            </w:r>
          </w:p>
        </w:tc>
      </w:tr>
      <w:tr>
        <w:tc>
          <w:tcPr>
            <w:tcW w:w="1321750" w:type="dxa"/>
          </w:tcPr>
          <w:p>
            <w:pPr>
              <w:pStyle w:val="Compact"/>
              <w:bidi/>
            </w:pPr>
            <w:r>
              <w:rPr>
                <w:rtl/>
              </w:rPr>
              <w:t xml:space="preserve">التتبع</w:t>
            </w:r>
          </w:p>
        </w:tc>
        <w:tc>
          <w:tcPr>
            <w:tcW w:w="1086563" w:type="dxa"/>
          </w:tcPr>
          <w:p>
            <w:pPr>
              <w:pStyle w:val="Compact"/>
              <w:bidi/>
            </w:pPr>
            <w:r>
              <w:rPr>
                <w:rtl/>
              </w:rPr>
              <w:t xml:space="preserve">Traçabilité</w:t>
            </w:r>
          </w:p>
        </w:tc>
        <w:tc>
          <w:tcPr>
            <w:tcW w:w="879598" w:type="dxa"/>
          </w:tcPr>
          <w:p>
            <w:pPr>
              <w:pStyle w:val="Compact"/>
              <w:bidi/>
            </w:pPr>
            <w:r>
              <w:rPr>
                <w:rtl/>
              </w:rPr>
              <w:t xml:space="preserve">Traceability</w:t>
            </w:r>
          </w:p>
        </w:tc>
        <w:tc>
          <w:tcPr>
            <w:tcW w:w="1872087" w:type="dxa"/>
          </w:tcPr>
          <w:p>
            <w:pPr>
              <w:pStyle w:val="Compact"/>
              <w:bidi/>
            </w:pPr>
            <w:r>
              <w:rPr>
                <w:rtl/>
              </w:rPr>
              <w:t xml:space="preserve">تتبع الحركات</w:t>
            </w:r>
          </w:p>
        </w:tc>
      </w:tr>
      <w:tr>
        <w:tc>
          <w:tcPr>
            <w:tcW w:w="1321750" w:type="dxa"/>
          </w:tcPr>
          <w:p>
            <w:pPr>
              <w:pStyle w:val="Compact"/>
              <w:bidi/>
            </w:pPr>
            <w:r>
              <w:rPr>
                <w:rtl/>
              </w:rPr>
              <w:t xml:space="preserve">سجل المراجعة</w:t>
            </w:r>
          </w:p>
        </w:tc>
        <w:tc>
          <w:tcPr>
            <w:tcW w:w="1086563" w:type="dxa"/>
          </w:tcPr>
          <w:p>
            <w:pPr>
              <w:pStyle w:val="Compact"/>
              <w:bidi/>
            </w:pPr>
            <w:r>
              <w:rPr>
                <w:rtl/>
              </w:rPr>
              <w:t xml:space="preserve">Journal d’audit</w:t>
            </w:r>
          </w:p>
        </w:tc>
        <w:tc>
          <w:tcPr>
            <w:tcW w:w="879598" w:type="dxa"/>
          </w:tcPr>
          <w:p>
            <w:pPr>
              <w:pStyle w:val="Compact"/>
              <w:bidi/>
            </w:pPr>
            <w:r>
              <w:rPr>
                <w:rtl/>
              </w:rPr>
              <w:t xml:space="preserve">Audit Trail</w:t>
            </w:r>
          </w:p>
        </w:tc>
        <w:tc>
          <w:tcPr>
            <w:tcW w:w="1872087" w:type="dxa"/>
          </w:tcPr>
          <w:p>
            <w:pPr>
              <w:pStyle w:val="Compact"/>
              <w:bidi/>
            </w:pPr>
            <w:r>
              <w:rPr>
                <w:rtl/>
              </w:rPr>
              <w:t xml:space="preserve">سجل التغييرات</w:t>
            </w:r>
          </w:p>
        </w:tc>
      </w:tr>
    </w:tbl>
    <w:bookmarkEnd w:id="159"/>
    <w:bookmarkEnd w:id="160"/>
    <w:bookmarkStart w:id="184" w:name="الملاحق-annexes"/>
    <w:p>
      <w:pPr>
        <w:pStyle w:val="Heading1"/>
        <w:bidi/>
      </w:pPr>
      <w:r>
        <w:rPr>
          <w:b/>
          <w:sz w:val="44"/>
          <w:rtl/>
        </w:rPr>
        <w:t xml:space="preserve">الملاحق (Annexes)</w:t>
      </w:r>
    </w:p>
    <w:bookmarkStart w:id="161" w:name="الملحق-الأول-هيكل-ملف-النظام"/>
    <w:p>
      <w:pPr>
        <w:pStyle w:val="Heading2"/>
        <w:bidi/>
      </w:pPr>
      <w:r>
        <w:rPr>
          <w:b/>
          <w:sz w:val="36"/>
          <w:rtl/>
        </w:rPr>
        <w:t xml:space="preserve">الملحق الأول: هيكل ملف النظام</w:t>
      </w:r>
    </w:p>
    <w:p>
      <w:pPr>
        <w:bidi/>
        <w:spacing w:line="360" w:lineRule="auto"/>
        <w:jc w:val="right"/>
      </w:pPr>
      <w:r>
        <w:rPr>
          <w:rFonts w:ascii="Traditional Arabic" w:hAnsi="Traditional Arabic"/>
          <w:sz w:val="28"/>
          <w:rtl/>
        </w:rPr>
        <w:t xml:space="preserve">وصف موجز لأوراق العمل الرئيسية في ملف Excel:</w:t>
      </w:r>
      <w:r>
        <w:rPr>
          <w:rFonts w:ascii="Traditional Arabic" w:hAnsi="Traditional Arabic"/>
          <w:sz w:val="28"/>
          <w:rtl/>
        </w:rPr>
        <w:t xml:space="preserve"> </w:t>
      </w:r>
      <w:r>
        <w:rPr>
          <w:rFonts w:ascii="Traditional Arabic" w:hAnsi="Traditional Arabic"/>
          <w:b/>
          <w:bCs/>
          <w:sz w:val="28"/>
          <w:rtl/>
        </w:rPr>
        <w:t xml:space="preserve">الملحق الأول: هيكل ملف النظام</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960"/>
        <w:gridCol w:w="3960"/>
      </w:tblGrid>
      <w:tr>
        <w:trPr>
          <w:tblHeader w:val="on"/>
        </w:trPr>
        <w:tc>
          <w:tcPr>
            <w:tcW w:w="1273018" w:type="dxa"/>
          </w:tcPr>
          <w:p>
            <w:pPr>
              <w:pStyle w:val="Compact"/>
              <w:bidi/>
            </w:pPr>
            <w:r>
              <w:rPr>
                <w:rtl/>
              </w:rPr>
              <w:t xml:space="preserve">ورقة العمل</w:t>
            </w:r>
          </w:p>
        </w:tc>
        <w:tc>
          <w:tcPr>
            <w:tcW w:w="4186981" w:type="dxa"/>
          </w:tcPr>
          <w:p>
            <w:pPr>
              <w:pStyle w:val="Compact"/>
              <w:bidi/>
            </w:pPr>
            <w:r>
              <w:rPr>
                <w:rtl/>
              </w:rPr>
              <w:t xml:space="preserve">الوظيفة</w:t>
            </w:r>
          </w:p>
        </w:tc>
      </w:tr>
      <w:tr>
        <w:tc>
          <w:tcPr>
            <w:tcW w:w="1273018" w:type="dxa"/>
          </w:tcPr>
          <w:p>
            <w:pPr>
              <w:pStyle w:val="Compact"/>
              <w:bidi/>
            </w:pPr>
            <w:r>
              <w:rPr>
                <w:rtl/>
              </w:rPr>
              <w:t xml:space="preserve">dashboard</w:t>
            </w:r>
          </w:p>
        </w:tc>
        <w:tc>
          <w:tcPr>
            <w:tcW w:w="4186981" w:type="dxa"/>
          </w:tcPr>
          <w:p>
            <w:pPr>
              <w:pStyle w:val="Compact"/>
              <w:bidi/>
            </w:pPr>
            <w:r>
              <w:rPr>
                <w:rtl/>
              </w:rPr>
              <w:t xml:space="preserve">لوحة القيادة ورؤية المخزون العامة</w:t>
            </w:r>
          </w:p>
        </w:tc>
      </w:tr>
      <w:tr>
        <w:tc>
          <w:tcPr>
            <w:tcW w:w="1273018" w:type="dxa"/>
          </w:tcPr>
          <w:p>
            <w:pPr>
              <w:pStyle w:val="Compact"/>
              <w:bidi/>
            </w:pPr>
            <w:r>
              <w:rPr>
                <w:rtl/>
              </w:rPr>
              <w:t xml:space="preserve">ARTICLES</w:t>
            </w:r>
          </w:p>
        </w:tc>
        <w:tc>
          <w:tcPr>
            <w:tcW w:w="4186981" w:type="dxa"/>
          </w:tcPr>
          <w:p>
            <w:pPr>
              <w:pStyle w:val="Compact"/>
              <w:bidi/>
            </w:pPr>
            <w:r>
              <w:rPr>
                <w:rtl/>
              </w:rPr>
              <w:t xml:space="preserve">قائمة الأصناف والمواد</w:t>
            </w:r>
          </w:p>
        </w:tc>
      </w:tr>
      <w:tr>
        <w:tc>
          <w:tcPr>
            <w:tcW w:w="1273018" w:type="dxa"/>
          </w:tcPr>
          <w:p>
            <w:pPr>
              <w:pStyle w:val="Compact"/>
              <w:bidi/>
            </w:pPr>
            <w:r>
              <w:rPr>
                <w:rtl/>
              </w:rPr>
              <w:t xml:space="preserve">MOUVEMENTS</w:t>
            </w:r>
          </w:p>
        </w:tc>
        <w:tc>
          <w:tcPr>
            <w:tcW w:w="4186981" w:type="dxa"/>
          </w:tcPr>
          <w:p>
            <w:pPr>
              <w:pStyle w:val="Compact"/>
              <w:bidi/>
            </w:pPr>
            <w:r>
              <w:rPr>
                <w:rtl/>
              </w:rPr>
              <w:t xml:space="preserve">سجل حركات الدخول والخروج</w:t>
            </w:r>
          </w:p>
        </w:tc>
      </w:tr>
      <w:tr>
        <w:tc>
          <w:tcPr>
            <w:tcW w:w="1273018" w:type="dxa"/>
          </w:tcPr>
          <w:p>
            <w:pPr>
              <w:pStyle w:val="Compact"/>
              <w:bidi/>
            </w:pPr>
            <w:r>
              <w:rPr>
                <w:rtl/>
              </w:rPr>
              <w:t xml:space="preserve">ANALYSE</w:t>
            </w:r>
          </w:p>
        </w:tc>
        <w:tc>
          <w:tcPr>
            <w:tcW w:w="4186981" w:type="dxa"/>
          </w:tcPr>
          <w:p>
            <w:pPr>
              <w:pStyle w:val="Compact"/>
              <w:bidi/>
            </w:pPr>
            <w:r>
              <w:rPr>
                <w:rtl/>
              </w:rPr>
              <w:t xml:space="preserve">تحليلات ABC-XYZ ومؤشرات الأداء</w:t>
            </w:r>
          </w:p>
        </w:tc>
      </w:tr>
      <w:tr>
        <w:tc>
          <w:tcPr>
            <w:tcW w:w="1273018" w:type="dxa"/>
          </w:tcPr>
          <w:p>
            <w:pPr>
              <w:pStyle w:val="Compact"/>
              <w:bidi/>
            </w:pPr>
            <w:r>
              <w:rPr>
                <w:rtl/>
              </w:rPr>
              <w:t xml:space="preserve">SUPPLIERS</w:t>
            </w:r>
          </w:p>
        </w:tc>
        <w:tc>
          <w:tcPr>
            <w:tcW w:w="4186981" w:type="dxa"/>
          </w:tcPr>
          <w:p>
            <w:pPr>
              <w:pStyle w:val="Compact"/>
              <w:bidi/>
            </w:pPr>
            <w:r>
              <w:rPr>
                <w:rtl/>
              </w:rPr>
              <w:t xml:space="preserve">قاعدة بيانات الموردين وتقييمهم</w:t>
            </w:r>
          </w:p>
        </w:tc>
      </w:tr>
      <w:tr>
        <w:tc>
          <w:tcPr>
            <w:tcW w:w="1273018" w:type="dxa"/>
          </w:tcPr>
          <w:p>
            <w:pPr>
              <w:pStyle w:val="Compact"/>
              <w:bidi/>
            </w:pPr>
            <w:r>
              <w:rPr>
                <w:rtl/>
              </w:rPr>
              <w:t xml:space="preserve">DOCUMENTS</w:t>
            </w:r>
          </w:p>
        </w:tc>
        <w:tc>
          <w:tcPr>
            <w:tcW w:w="4186981" w:type="dxa"/>
          </w:tcPr>
          <w:p>
            <w:pPr>
              <w:pStyle w:val="Compact"/>
              <w:bidi/>
            </w:pPr>
            <w:r>
              <w:rPr>
                <w:rtl/>
              </w:rPr>
              <w:t xml:space="preserve">توليد الوثائق الإدارية (DA, BC, BR, BS)</w:t>
            </w:r>
          </w:p>
        </w:tc>
      </w:tr>
      <w:tr>
        <w:tc>
          <w:tcPr>
            <w:tcW w:w="1273018" w:type="dxa"/>
          </w:tcPr>
          <w:p>
            <w:pPr>
              <w:pStyle w:val="Compact"/>
              <w:bidi/>
            </w:pPr>
            <w:r>
              <w:rPr>
                <w:rtl/>
              </w:rPr>
              <w:t xml:space="preserve">CONFIG</w:t>
            </w:r>
          </w:p>
        </w:tc>
        <w:tc>
          <w:tcPr>
            <w:tcW w:w="4186981" w:type="dxa"/>
          </w:tcPr>
          <w:p>
            <w:pPr>
              <w:pStyle w:val="Compact"/>
              <w:bidi/>
            </w:pPr>
            <w:r>
              <w:rPr>
                <w:rtl/>
              </w:rPr>
              <w:t xml:space="preserve">إعدادات النظام والثوابت</w:t>
            </w:r>
          </w:p>
        </w:tc>
      </w:tr>
    </w:tbl>
    <w:bookmarkEnd w:id="161"/>
    <w:bookmarkStart w:id="162" w:name="الملحق-الثاني-وحدات-vba-الرئيسية"/>
    <w:p>
      <w:pPr>
        <w:pStyle w:val="Heading2"/>
        <w:bidi/>
      </w:pPr>
      <w:r>
        <w:rPr>
          <w:b/>
          <w:sz w:val="36"/>
          <w:rtl/>
        </w:rPr>
        <w:t xml:space="preserve">الملحق الثاني: وحدات VBA الرئيسية</w:t>
      </w:r>
    </w:p>
    <w:p>
      <w:pPr>
        <w:bidi/>
        <w:spacing w:line="360" w:lineRule="auto"/>
        <w:jc w:val="right"/>
      </w:pPr>
      <w:r>
        <w:rPr>
          <w:rFonts w:ascii="Traditional Arabic" w:hAnsi="Traditional Arabic"/>
          <w:sz w:val="28"/>
          <w:rtl/>
        </w:rPr>
        <w:t xml:space="preserve">الوحدات البرمجية المطوَّرة:</w:t>
      </w:r>
      <w:r>
        <w:rPr>
          <w:rFonts w:ascii="Traditional Arabic" w:hAnsi="Traditional Arabic"/>
          <w:sz w:val="28"/>
          <w:rtl/>
        </w:rPr>
        <w:t xml:space="preserve"> </w:t>
      </w:r>
      <w:r>
        <w:rPr>
          <w:rFonts w:ascii="Traditional Arabic" w:hAnsi="Traditional Arabic"/>
          <w:b/>
          <w:bCs/>
          <w:sz w:val="28"/>
          <w:rtl/>
        </w:rPr>
        <w:t xml:space="preserve">الملحق الثاني: وحدات VBA الرئيسية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960"/>
        <w:gridCol w:w="3960"/>
      </w:tblGrid>
      <w:tr>
        <w:trPr>
          <w:tblHeader w:val="on"/>
        </w:trPr>
        <w:tc>
          <w:tcPr>
            <w:tcW w:w="1386000" w:type="dxa"/>
          </w:tcPr>
          <w:p>
            <w:pPr>
              <w:pStyle w:val="Compact"/>
              <w:bidi/>
            </w:pPr>
            <w:r>
              <w:rPr>
                <w:rtl/>
              </w:rPr>
              <w:t xml:space="preserve">الوحدة</w:t>
            </w:r>
          </w:p>
        </w:tc>
        <w:tc>
          <w:tcPr>
            <w:tcW w:w="4074000" w:type="dxa"/>
          </w:tcPr>
          <w:p>
            <w:pPr>
              <w:pStyle w:val="Compact"/>
              <w:bidi/>
            </w:pPr>
            <w:r>
              <w:rPr>
                <w:rtl/>
              </w:rPr>
              <w:t xml:space="preserve">الوظيفة</w:t>
            </w:r>
          </w:p>
        </w:tc>
      </w:tr>
      <w:tr>
        <w:tc>
          <w:tcPr>
            <w:tcW w:w="1386000" w:type="dxa"/>
          </w:tcPr>
          <w:p>
            <w:pPr>
              <w:pStyle w:val="Compact"/>
              <w:bidi/>
            </w:pPr>
            <w:r>
              <w:rPr>
                <w:rtl/>
              </w:rPr>
              <w:t xml:space="preserve">mod_StockEngine</w:t>
            </w:r>
          </w:p>
        </w:tc>
        <w:tc>
          <w:tcPr>
            <w:tcW w:w="4074000" w:type="dxa"/>
          </w:tcPr>
          <w:p>
            <w:pPr>
              <w:pStyle w:val="Compact"/>
              <w:bidi/>
            </w:pPr>
            <w:r>
              <w:rPr>
                <w:rtl/>
              </w:rPr>
              <w:t xml:space="preserve">حسابات EOQ، ROP، CMUP</w:t>
            </w:r>
          </w:p>
        </w:tc>
      </w:tr>
      <w:tr>
        <w:tc>
          <w:tcPr>
            <w:tcW w:w="1386000" w:type="dxa"/>
          </w:tcPr>
          <w:p>
            <w:pPr>
              <w:pStyle w:val="Compact"/>
              <w:bidi/>
            </w:pPr>
            <w:r>
              <w:rPr>
                <w:rtl/>
              </w:rPr>
              <w:t xml:space="preserve">mod_StockEntry_Logic</w:t>
            </w:r>
          </w:p>
        </w:tc>
        <w:tc>
          <w:tcPr>
            <w:tcW w:w="4074000" w:type="dxa"/>
          </w:tcPr>
          <w:p>
            <w:pPr>
              <w:pStyle w:val="Compact"/>
              <w:bidi/>
            </w:pPr>
            <w:r>
              <w:rPr>
                <w:rtl/>
              </w:rPr>
              <w:t xml:space="preserve">منطق إدخال الحركات وحساب CMUP</w:t>
            </w:r>
          </w:p>
        </w:tc>
      </w:tr>
      <w:tr>
        <w:tc>
          <w:tcPr>
            <w:tcW w:w="1386000" w:type="dxa"/>
          </w:tcPr>
          <w:p>
            <w:pPr>
              <w:pStyle w:val="Compact"/>
              <w:bidi/>
            </w:pPr>
            <w:r>
              <w:rPr>
                <w:rtl/>
              </w:rPr>
              <w:t xml:space="preserve">mod_SyncBridge</w:t>
            </w:r>
          </w:p>
        </w:tc>
        <w:tc>
          <w:tcPr>
            <w:tcW w:w="4074000" w:type="dxa"/>
          </w:tcPr>
          <w:p>
            <w:pPr>
              <w:pStyle w:val="Compact"/>
              <w:bidi/>
            </w:pPr>
            <w:r>
              <w:rPr>
                <w:rtl/>
              </w:rPr>
              <w:t xml:space="preserve">جسر المزامنة بين السجل الرقمي وأوراق Excel</w:t>
            </w:r>
          </w:p>
        </w:tc>
      </w:tr>
      <w:tr>
        <w:tc>
          <w:tcPr>
            <w:tcW w:w="1386000" w:type="dxa"/>
          </w:tcPr>
          <w:p>
            <w:pPr>
              <w:pStyle w:val="Compact"/>
              <w:bidi/>
            </w:pPr>
            <w:r>
              <w:rPr>
                <w:rtl/>
              </w:rPr>
              <w:t xml:space="preserve">mod_ExportEngine</w:t>
            </w:r>
          </w:p>
        </w:tc>
        <w:tc>
          <w:tcPr>
            <w:tcW w:w="4074000" w:type="dxa"/>
          </w:tcPr>
          <w:p>
            <w:pPr>
              <w:pStyle w:val="Compact"/>
              <w:bidi/>
            </w:pPr>
            <w:r>
              <w:rPr>
                <w:rtl/>
              </w:rPr>
              <w:t xml:space="preserve">تصدير التقارير</w:t>
            </w:r>
          </w:p>
        </w:tc>
      </w:tr>
      <w:tr>
        <w:tc>
          <w:tcPr>
            <w:tcW w:w="1386000" w:type="dxa"/>
          </w:tcPr>
          <w:p>
            <w:pPr>
              <w:pStyle w:val="Compact"/>
              <w:bidi/>
            </w:pPr>
            <w:r>
              <w:rPr>
                <w:rtl/>
              </w:rPr>
              <w:t xml:space="preserve">mod_Dashboard</w:t>
            </w:r>
          </w:p>
        </w:tc>
        <w:tc>
          <w:tcPr>
            <w:tcW w:w="4074000" w:type="dxa"/>
          </w:tcPr>
          <w:p>
            <w:pPr>
              <w:pStyle w:val="Compact"/>
              <w:bidi/>
            </w:pPr>
            <w:r>
              <w:rPr>
                <w:rtl/>
              </w:rPr>
              <w:t xml:space="preserve">لوحة المراقبة والتنبيهات</w:t>
            </w:r>
          </w:p>
        </w:tc>
      </w:tr>
      <w:tr>
        <w:tc>
          <w:tcPr>
            <w:tcW w:w="1386000" w:type="dxa"/>
          </w:tcPr>
          <w:p>
            <w:pPr>
              <w:pStyle w:val="Compact"/>
              <w:bidi/>
            </w:pPr>
            <w:r>
              <w:rPr>
                <w:rtl/>
              </w:rPr>
              <w:t xml:space="preserve">mod_AuditTrail</w:t>
            </w:r>
          </w:p>
        </w:tc>
        <w:tc>
          <w:tcPr>
            <w:tcW w:w="4074000" w:type="dxa"/>
          </w:tcPr>
          <w:p>
            <w:pPr>
              <w:pStyle w:val="Compact"/>
              <w:bidi/>
            </w:pPr>
            <w:r>
              <w:rPr>
                <w:rtl/>
              </w:rPr>
              <w:t xml:space="preserve">سجل المراجعة والتدقيق</w:t>
            </w:r>
          </w:p>
        </w:tc>
      </w:tr>
      <w:tr>
        <w:tc>
          <w:tcPr>
            <w:tcW w:w="1386000" w:type="dxa"/>
          </w:tcPr>
          <w:p>
            <w:pPr>
              <w:pStyle w:val="Compact"/>
              <w:bidi/>
            </w:pPr>
            <w:r>
              <w:rPr>
                <w:rtl/>
              </w:rPr>
              <w:t xml:space="preserve">mod_TransactionSafety</w:t>
            </w:r>
          </w:p>
        </w:tc>
        <w:tc>
          <w:tcPr>
            <w:tcW w:w="4074000" w:type="dxa"/>
          </w:tcPr>
          <w:p>
            <w:pPr>
              <w:pStyle w:val="Compact"/>
              <w:bidi/>
            </w:pPr>
            <w:r>
              <w:rPr>
                <w:rtl/>
              </w:rPr>
              <w:t xml:space="preserve">أمان المعاملات ومنع التعديل اليدوي</w:t>
            </w:r>
          </w:p>
        </w:tc>
      </w:tr>
      <w:tr>
        <w:tc>
          <w:tcPr>
            <w:tcW w:w="1386000" w:type="dxa"/>
          </w:tcPr>
          <w:p>
            <w:pPr>
              <w:pStyle w:val="Compact"/>
              <w:bidi/>
            </w:pPr>
            <w:r>
              <w:rPr>
                <w:rtl/>
              </w:rPr>
              <w:t xml:space="preserve">mod_DataValidator</w:t>
            </w:r>
          </w:p>
        </w:tc>
        <w:tc>
          <w:tcPr>
            <w:tcW w:w="4074000" w:type="dxa"/>
          </w:tcPr>
          <w:p>
            <w:pPr>
              <w:pStyle w:val="Compact"/>
              <w:bidi/>
            </w:pPr>
            <w:r>
              <w:rPr>
                <w:rtl/>
              </w:rPr>
              <w:t xml:space="preserve">التحقق من صحة البيانات عند الإدخال</w:t>
            </w:r>
          </w:p>
        </w:tc>
      </w:tr>
      <w:tr>
        <w:tc>
          <w:tcPr>
            <w:tcW w:w="1386000" w:type="dxa"/>
          </w:tcPr>
          <w:p>
            <w:pPr>
              <w:pStyle w:val="Compact"/>
              <w:bidi/>
            </w:pPr>
            <w:r>
              <w:rPr>
                <w:rtl/>
              </w:rPr>
              <w:t xml:space="preserve">mod_ApprovalWorkflow</w:t>
            </w:r>
          </w:p>
        </w:tc>
        <w:tc>
          <w:tcPr>
            <w:tcW w:w="4074000" w:type="dxa"/>
          </w:tcPr>
          <w:p>
            <w:pPr>
              <w:pStyle w:val="Compact"/>
              <w:bidi/>
            </w:pPr>
            <w:r>
              <w:rPr>
                <w:rtl/>
              </w:rPr>
              <w:t xml:space="preserve">سير عمل الموافقة الثنائية</w:t>
            </w:r>
          </w:p>
        </w:tc>
      </w:tr>
      <w:tr>
        <w:tc>
          <w:tcPr>
            <w:tcW w:w="1386000" w:type="dxa"/>
          </w:tcPr>
          <w:p>
            <w:pPr>
              <w:pStyle w:val="Compact"/>
              <w:bidi/>
            </w:pPr>
            <w:r>
              <w:rPr>
                <w:rtl/>
              </w:rPr>
              <w:t xml:space="preserve">mod_Config</w:t>
            </w:r>
          </w:p>
        </w:tc>
        <w:tc>
          <w:tcPr>
            <w:tcW w:w="4074000" w:type="dxa"/>
          </w:tcPr>
          <w:p>
            <w:pPr>
              <w:pStyle w:val="Compact"/>
              <w:bidi/>
            </w:pPr>
            <w:r>
              <w:rPr>
                <w:rtl/>
              </w:rPr>
              <w:t xml:space="preserve">إعدادات النظام والثوابت</w:t>
            </w:r>
          </w:p>
        </w:tc>
      </w:tr>
    </w:tbl>
    <w:bookmarkEnd w:id="162"/>
    <w:bookmarkStart w:id="163" w:name="الملحق-الثالث-بيانات-المخزون-الميدانية"/>
    <w:p>
      <w:pPr>
        <w:pStyle w:val="Heading2"/>
        <w:bidi/>
      </w:pPr>
      <w:r>
        <w:rPr>
          <w:b/>
          <w:sz w:val="36"/>
          <w:rtl/>
        </w:rPr>
        <w:t xml:space="preserve">الملحق الثالث: بيانات المخزون الميدانية</w:t>
      </w:r>
    </w:p>
    <w:p>
      <w:pPr>
        <w:bidi/>
        <w:spacing w:line="360" w:lineRule="auto"/>
        <w:jc w:val="right"/>
      </w:pPr>
      <w:r>
        <w:rPr>
          <w:rFonts w:ascii="Traditional Arabic" w:hAnsi="Traditional Arabic"/>
          <w:sz w:val="28"/>
          <w:rtl/>
        </w:rPr>
        <w:t xml:space="preserve">عينة من بيانات المخزون الفعلية كما تظهر في السجل الرقمي:</w:t>
      </w:r>
      <w:r>
        <w:rPr>
          <w:rFonts w:ascii="Traditional Arabic" w:hAnsi="Traditional Arabic"/>
          <w:sz w:val="28"/>
          <w:rtl/>
        </w:rPr>
        <w:t xml:space="preserve"> </w:t>
      </w:r>
      <w:r>
        <w:rPr>
          <w:rFonts w:ascii="Traditional Arabic" w:hAnsi="Traditional Arabic"/>
          <w:b/>
          <w:bCs/>
          <w:sz w:val="28"/>
          <w:rtl/>
        </w:rPr>
        <w:t xml:space="preserve">الملحق الثالث: بيانات المخزون الميدانية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584"/>
        <w:gridCol w:w="1584"/>
        <w:gridCol w:w="1584"/>
        <w:gridCol w:w="1584"/>
        <w:gridCol w:w="1584"/>
      </w:tblGrid>
      <w:tr>
        <w:trPr>
          <w:tblHeader w:val="on"/>
        </w:trPr>
        <w:tc>
          <w:tcPr>
            <w:tcW w:w="691382" w:type="dxa"/>
          </w:tcPr>
          <w:p>
            <w:pPr>
              <w:pStyle w:val="Compact"/>
              <w:bidi/>
            </w:pPr>
            <w:r>
              <w:rPr>
                <w:rtl/>
              </w:rPr>
              <w:t xml:space="preserve">الرمز</w:t>
            </w:r>
          </w:p>
        </w:tc>
        <w:tc>
          <w:tcPr>
            <w:tcW w:w="2028054" w:type="dxa"/>
          </w:tcPr>
          <w:p>
            <w:pPr>
              <w:pStyle w:val="Compact"/>
              <w:bidi/>
            </w:pPr>
            <w:r>
              <w:rPr>
                <w:rtl/>
              </w:rPr>
              <w:t xml:space="preserve">التسمية</w:t>
            </w:r>
          </w:p>
        </w:tc>
        <w:tc>
          <w:tcPr>
            <w:tcW w:w="829659" w:type="dxa"/>
          </w:tcPr>
          <w:p>
            <w:pPr>
              <w:pStyle w:val="Compact"/>
              <w:bidi/>
            </w:pPr>
            <w:r>
              <w:rPr>
                <w:rtl/>
              </w:rPr>
              <w:t xml:space="preserve">الرصيد</w:t>
            </w:r>
          </w:p>
        </w:tc>
        <w:tc>
          <w:tcPr>
            <w:tcW w:w="492968" w:type="dxa"/>
          </w:tcPr>
          <w:p>
            <w:pPr>
              <w:pStyle w:val="Compact"/>
              <w:bidi/>
            </w:pPr>
            <w:r>
              <w:rPr>
                <w:rtl/>
              </w:rPr>
              <w:t xml:space="preserve">ROP</w:t>
            </w:r>
          </w:p>
        </w:tc>
        <w:tc>
          <w:tcPr>
            <w:tcW w:w="967934" w:type="dxa"/>
          </w:tcPr>
          <w:p>
            <w:pPr>
              <w:pStyle w:val="Compact"/>
              <w:bidi/>
            </w:pPr>
            <w:r>
              <w:rPr>
                <w:rtl/>
              </w:rPr>
              <w:t xml:space="preserve">التصنيف</w:t>
            </w:r>
          </w:p>
        </w:tc>
      </w:tr>
      <w:tr>
        <w:tc>
          <w:tcPr>
            <w:tcW w:w="691382" w:type="dxa"/>
          </w:tcPr>
          <w:p>
            <w:pPr>
              <w:pStyle w:val="Compact"/>
              <w:bidi/>
            </w:pPr>
            <w:r>
              <w:rPr>
                <w:rtl/>
              </w:rPr>
              <w:t xml:space="preserve">ART-001</w:t>
            </w:r>
          </w:p>
        </w:tc>
        <w:tc>
          <w:tcPr>
            <w:tcW w:w="2028054" w:type="dxa"/>
          </w:tcPr>
          <w:p>
            <w:pPr>
              <w:pStyle w:val="Compact"/>
              <w:bidi/>
            </w:pPr>
            <w:r>
              <w:rPr>
                <w:rtl/>
              </w:rPr>
              <w:t xml:space="preserve">Toner G030</w:t>
            </w:r>
          </w:p>
        </w:tc>
        <w:tc>
          <w:tcPr>
            <w:tcW w:w="829659" w:type="dxa"/>
          </w:tcPr>
          <w:p>
            <w:pPr>
              <w:pStyle w:val="Compact"/>
              <w:bidi/>
            </w:pPr>
            <w:r>
              <w:rPr>
                <w:rtl/>
              </w:rPr>
              <w:t xml:space="preserve">289</w:t>
            </w:r>
          </w:p>
        </w:tc>
        <w:tc>
          <w:tcPr>
            <w:tcW w:w="492968" w:type="dxa"/>
          </w:tcPr>
          <w:p>
            <w:pPr>
              <w:pStyle w:val="Compact"/>
              <w:bidi/>
            </w:pPr>
            <w:r>
              <w:rPr>
                <w:rtl/>
              </w:rPr>
              <w:t xml:space="preserve">206</w:t>
            </w:r>
          </w:p>
        </w:tc>
        <w:tc>
          <w:tcPr>
            <w:tcW w:w="967934" w:type="dxa"/>
          </w:tcPr>
          <w:p>
            <w:pPr>
              <w:pStyle w:val="Compact"/>
              <w:bidi/>
            </w:pPr>
            <w:r>
              <w:rPr>
                <w:rtl/>
              </w:rPr>
              <w:t xml:space="preserve">AX</w:t>
            </w:r>
          </w:p>
        </w:tc>
      </w:tr>
      <w:tr>
        <w:tc>
          <w:tcPr>
            <w:tcW w:w="691382" w:type="dxa"/>
          </w:tcPr>
          <w:p>
            <w:pPr>
              <w:pStyle w:val="Compact"/>
              <w:bidi/>
            </w:pPr>
            <w:r>
              <w:rPr>
                <w:rtl/>
              </w:rPr>
              <w:t xml:space="preserve">ART-002</w:t>
            </w:r>
          </w:p>
        </w:tc>
        <w:tc>
          <w:tcPr>
            <w:tcW w:w="2028054" w:type="dxa"/>
          </w:tcPr>
          <w:p>
            <w:pPr>
              <w:pStyle w:val="Compact"/>
              <w:bidi/>
            </w:pPr>
            <w:r>
              <w:rPr>
                <w:rtl/>
              </w:rPr>
              <w:t xml:space="preserve">Ramette A4 80g</w:t>
            </w:r>
          </w:p>
        </w:tc>
        <w:tc>
          <w:tcPr>
            <w:tcW w:w="829659" w:type="dxa"/>
          </w:tcPr>
          <w:p>
            <w:pPr>
              <w:pStyle w:val="Compact"/>
              <w:bidi/>
            </w:pPr>
            <w:r>
              <w:rPr>
                <w:rtl/>
              </w:rPr>
              <w:t xml:space="preserve">520</w:t>
            </w:r>
          </w:p>
        </w:tc>
        <w:tc>
          <w:tcPr>
            <w:tcW w:w="492968" w:type="dxa"/>
          </w:tcPr>
          <w:p>
            <w:pPr>
              <w:pStyle w:val="Compact"/>
              <w:bidi/>
            </w:pPr>
            <w:r>
              <w:rPr>
                <w:rtl/>
              </w:rPr>
              <w:t xml:space="preserve">400.0</w:t>
            </w:r>
          </w:p>
        </w:tc>
        <w:tc>
          <w:tcPr>
            <w:tcW w:w="967934" w:type="dxa"/>
          </w:tcPr>
          <w:p>
            <w:pPr>
              <w:pStyle w:val="Compact"/>
              <w:bidi/>
            </w:pPr>
            <w:r>
              <w:rPr>
                <w:rtl/>
              </w:rPr>
              <w:t xml:space="preserve">AX</w:t>
            </w:r>
          </w:p>
        </w:tc>
      </w:tr>
      <w:tr>
        <w:tc>
          <w:tcPr>
            <w:tcW w:w="691382" w:type="dxa"/>
          </w:tcPr>
          <w:p>
            <w:pPr>
              <w:pStyle w:val="Compact"/>
              <w:bidi/>
            </w:pPr>
            <w:r>
              <w:rPr>
                <w:rtl/>
              </w:rPr>
              <w:t xml:space="preserve">ART-003</w:t>
            </w:r>
          </w:p>
        </w:tc>
        <w:tc>
          <w:tcPr>
            <w:tcW w:w="2028054" w:type="dxa"/>
          </w:tcPr>
          <w:p>
            <w:pPr>
              <w:pStyle w:val="Compact"/>
              <w:bidi/>
            </w:pPr>
            <w:r>
              <w:rPr>
                <w:rtl/>
              </w:rPr>
              <w:t xml:space="preserve">Rame papier A3 80g/m²</w:t>
            </w:r>
          </w:p>
        </w:tc>
        <w:tc>
          <w:tcPr>
            <w:tcW w:w="829659" w:type="dxa"/>
          </w:tcPr>
          <w:p>
            <w:pPr>
              <w:pStyle w:val="Compact"/>
              <w:bidi/>
            </w:pPr>
            <w:r>
              <w:rPr>
                <w:rtl/>
              </w:rPr>
              <w:t xml:space="preserve">210</w:t>
            </w:r>
          </w:p>
        </w:tc>
        <w:tc>
          <w:tcPr>
            <w:tcW w:w="492968" w:type="dxa"/>
          </w:tcPr>
          <w:p>
            <w:pPr>
              <w:pStyle w:val="Compact"/>
              <w:bidi/>
            </w:pPr>
            <w:r>
              <w:rPr>
                <w:rtl/>
              </w:rPr>
              <w:t xml:space="preserve">46.4</w:t>
            </w:r>
          </w:p>
        </w:tc>
        <w:tc>
          <w:tcPr>
            <w:tcW w:w="967934" w:type="dxa"/>
          </w:tcPr>
          <w:p>
            <w:pPr>
              <w:pStyle w:val="Compact"/>
              <w:bidi/>
            </w:pPr>
            <w:r>
              <w:rPr>
                <w:rtl/>
              </w:rPr>
              <w:t xml:space="preserve">BX</w:t>
            </w:r>
          </w:p>
        </w:tc>
      </w:tr>
      <w:tr>
        <w:tc>
          <w:tcPr>
            <w:tcW w:w="691382" w:type="dxa"/>
          </w:tcPr>
          <w:p>
            <w:pPr>
              <w:pStyle w:val="Compact"/>
              <w:bidi/>
            </w:pPr>
            <w:r>
              <w:rPr>
                <w:rtl/>
              </w:rPr>
              <w:t xml:space="preserve">ART-004</w:t>
            </w:r>
          </w:p>
        </w:tc>
        <w:tc>
          <w:tcPr>
            <w:tcW w:w="2028054" w:type="dxa"/>
          </w:tcPr>
          <w:p>
            <w:pPr>
              <w:pStyle w:val="Compact"/>
              <w:bidi/>
            </w:pPr>
            <w:r>
              <w:rPr>
                <w:rtl/>
              </w:rPr>
              <w:t xml:space="preserve">Boîte archives carton</w:t>
            </w:r>
          </w:p>
        </w:tc>
        <w:tc>
          <w:tcPr>
            <w:tcW w:w="829659" w:type="dxa"/>
          </w:tcPr>
          <w:p>
            <w:pPr>
              <w:pStyle w:val="Compact"/>
              <w:bidi/>
            </w:pPr>
            <w:r>
              <w:rPr>
                <w:rtl/>
              </w:rPr>
              <w:t xml:space="preserve">85</w:t>
            </w:r>
          </w:p>
        </w:tc>
        <w:tc>
          <w:tcPr>
            <w:tcW w:w="492968" w:type="dxa"/>
          </w:tcPr>
          <w:p>
            <w:pPr>
              <w:pStyle w:val="Compact"/>
              <w:bidi/>
            </w:pPr>
            <w:r>
              <w:rPr>
                <w:rtl/>
              </w:rPr>
              <w:t xml:space="preserve">23.2</w:t>
            </w:r>
          </w:p>
        </w:tc>
        <w:tc>
          <w:tcPr>
            <w:tcW w:w="967934" w:type="dxa"/>
          </w:tcPr>
          <w:p>
            <w:pPr>
              <w:pStyle w:val="Compact"/>
              <w:bidi/>
            </w:pPr>
            <w:r>
              <w:rPr>
                <w:rtl/>
              </w:rPr>
              <w:t xml:space="preserve">BY</w:t>
            </w:r>
          </w:p>
        </w:tc>
      </w:tr>
      <w:tr>
        <w:tc>
          <w:tcPr>
            <w:tcW w:w="691382" w:type="dxa"/>
          </w:tcPr>
          <w:p>
            <w:pPr>
              <w:pStyle w:val="Compact"/>
              <w:bidi/>
            </w:pPr>
            <w:r>
              <w:rPr>
                <w:rtl/>
              </w:rPr>
              <w:t xml:space="preserve">ART-005</w:t>
            </w:r>
          </w:p>
        </w:tc>
        <w:tc>
          <w:tcPr>
            <w:tcW w:w="2028054" w:type="dxa"/>
          </w:tcPr>
          <w:p>
            <w:pPr>
              <w:pStyle w:val="Compact"/>
              <w:bidi/>
            </w:pPr>
            <w:r>
              <w:rPr>
                <w:rtl/>
              </w:rPr>
              <w:t xml:space="preserve">Agrafeuse de bureau</w:t>
            </w:r>
          </w:p>
        </w:tc>
        <w:tc>
          <w:tcPr>
            <w:tcW w:w="829659" w:type="dxa"/>
          </w:tcPr>
          <w:p>
            <w:pPr>
              <w:pStyle w:val="Compact"/>
              <w:bidi/>
            </w:pPr>
            <w:r>
              <w:rPr>
                <w:rtl/>
              </w:rPr>
              <w:t xml:space="preserve">12</w:t>
            </w:r>
          </w:p>
        </w:tc>
        <w:tc>
          <w:tcPr>
            <w:tcW w:w="492968" w:type="dxa"/>
          </w:tcPr>
          <w:p>
            <w:pPr>
              <w:pStyle w:val="Compact"/>
              <w:bidi/>
            </w:pPr>
            <w:r>
              <w:rPr>
                <w:rtl/>
              </w:rPr>
              <w:t xml:space="preserve">12.4</w:t>
            </w:r>
          </w:p>
        </w:tc>
        <w:tc>
          <w:tcPr>
            <w:tcW w:w="967934" w:type="dxa"/>
          </w:tcPr>
          <w:p>
            <w:pPr>
              <w:pStyle w:val="Compact"/>
              <w:bidi/>
            </w:pPr>
            <w:r>
              <w:rPr>
                <w:rtl/>
              </w:rPr>
              <w:t xml:space="preserve">CX</w:t>
            </w:r>
          </w:p>
        </w:tc>
      </w:tr>
      <w:tr>
        <w:tc>
          <w:tcPr>
            <w:tcW w:w="691382" w:type="dxa"/>
          </w:tcPr>
          <w:p>
            <w:pPr>
              <w:pStyle w:val="Compact"/>
              <w:bidi/>
            </w:pPr>
            <w:r>
              <w:rPr>
                <w:rtl/>
              </w:rPr>
              <w:t xml:space="preserve">ART-006</w:t>
            </w:r>
          </w:p>
        </w:tc>
        <w:tc>
          <w:tcPr>
            <w:tcW w:w="2028054" w:type="dxa"/>
          </w:tcPr>
          <w:p>
            <w:pPr>
              <w:pStyle w:val="Compact"/>
              <w:bidi/>
            </w:pPr>
            <w:r>
              <w:rPr>
                <w:rtl/>
              </w:rPr>
              <w:t xml:space="preserve">Stylos bille boîte/50</w:t>
            </w:r>
          </w:p>
        </w:tc>
        <w:tc>
          <w:tcPr>
            <w:tcW w:w="829659" w:type="dxa"/>
          </w:tcPr>
          <w:p>
            <w:pPr>
              <w:pStyle w:val="Compact"/>
              <w:bidi/>
            </w:pPr>
            <w:r>
              <w:rPr>
                <w:rtl/>
              </w:rPr>
              <w:t xml:space="preserve">95</w:t>
            </w:r>
          </w:p>
        </w:tc>
        <w:tc>
          <w:tcPr>
            <w:tcW w:w="492968" w:type="dxa"/>
          </w:tcPr>
          <w:p>
            <w:pPr>
              <w:pStyle w:val="Compact"/>
              <w:bidi/>
            </w:pPr>
            <w:r>
              <w:rPr>
                <w:rtl/>
              </w:rPr>
              <w:t xml:space="preserve">50.0</w:t>
            </w:r>
          </w:p>
        </w:tc>
        <w:tc>
          <w:tcPr>
            <w:tcW w:w="967934" w:type="dxa"/>
          </w:tcPr>
          <w:p>
            <w:pPr>
              <w:pStyle w:val="Compact"/>
              <w:bidi/>
            </w:pPr>
            <w:r>
              <w:rPr>
                <w:rtl/>
              </w:rPr>
              <w:t xml:space="preserve">CX</w:t>
            </w:r>
          </w:p>
        </w:tc>
      </w:tr>
      <w:tr>
        <w:tc>
          <w:tcPr>
            <w:tcW w:w="691382" w:type="dxa"/>
          </w:tcPr>
          <w:p>
            <w:pPr>
              <w:pStyle w:val="Compact"/>
              <w:bidi/>
            </w:pPr>
            <w:r>
              <w:rPr>
                <w:rtl/>
              </w:rPr>
              <w:t xml:space="preserve">ART-007</w:t>
            </w:r>
          </w:p>
        </w:tc>
        <w:tc>
          <w:tcPr>
            <w:tcW w:w="2028054" w:type="dxa"/>
          </w:tcPr>
          <w:p>
            <w:pPr>
              <w:pStyle w:val="Compact"/>
              <w:bidi/>
            </w:pPr>
            <w:r>
              <w:rPr>
                <w:rtl/>
              </w:rPr>
              <w:t xml:space="preserve">Registre grand format 5m</w:t>
            </w:r>
          </w:p>
        </w:tc>
        <w:tc>
          <w:tcPr>
            <w:tcW w:w="829659" w:type="dxa"/>
          </w:tcPr>
          <w:p>
            <w:pPr>
              <w:pStyle w:val="Compact"/>
              <w:bidi/>
            </w:pPr>
            <w:r>
              <w:rPr>
                <w:rtl/>
              </w:rPr>
              <w:t xml:space="preserve">60</w:t>
            </w:r>
          </w:p>
        </w:tc>
        <w:tc>
          <w:tcPr>
            <w:tcW w:w="492968" w:type="dxa"/>
          </w:tcPr>
          <w:p>
            <w:pPr>
              <w:pStyle w:val="Compact"/>
              <w:bidi/>
            </w:pPr>
            <w:r>
              <w:rPr>
                <w:rtl/>
              </w:rPr>
              <w:t xml:space="preserve">35.0</w:t>
            </w:r>
          </w:p>
        </w:tc>
        <w:tc>
          <w:tcPr>
            <w:tcW w:w="967934" w:type="dxa"/>
          </w:tcPr>
          <w:p>
            <w:pPr>
              <w:pStyle w:val="Compact"/>
              <w:bidi/>
            </w:pPr>
            <w:r>
              <w:rPr>
                <w:rtl/>
              </w:rPr>
              <w:t xml:space="preserve">CX</w:t>
            </w:r>
          </w:p>
        </w:tc>
      </w:tr>
      <w:tr>
        <w:tc>
          <w:tcPr>
            <w:tcW w:w="691382" w:type="dxa"/>
          </w:tcPr>
          <w:p>
            <w:pPr>
              <w:pStyle w:val="Compact"/>
              <w:bidi/>
            </w:pPr>
            <w:r>
              <w:rPr>
                <w:rtl/>
              </w:rPr>
              <w:t xml:space="preserve">ART-008</w:t>
            </w:r>
          </w:p>
        </w:tc>
        <w:tc>
          <w:tcPr>
            <w:tcW w:w="2028054" w:type="dxa"/>
          </w:tcPr>
          <w:p>
            <w:pPr>
              <w:pStyle w:val="Compact"/>
              <w:bidi/>
            </w:pPr>
            <w:r>
              <w:rPr>
                <w:rtl/>
              </w:rPr>
              <w:t xml:space="preserve">Encre tampon</w:t>
            </w:r>
          </w:p>
        </w:tc>
        <w:tc>
          <w:tcPr>
            <w:tcW w:w="829659" w:type="dxa"/>
          </w:tcPr>
          <w:p>
            <w:pPr>
              <w:pStyle w:val="Compact"/>
              <w:bidi/>
            </w:pPr>
            <w:r>
              <w:rPr>
                <w:rtl/>
              </w:rPr>
              <w:t xml:space="preserve">30</w:t>
            </w:r>
          </w:p>
        </w:tc>
        <w:tc>
          <w:tcPr>
            <w:tcW w:w="492968" w:type="dxa"/>
          </w:tcPr>
          <w:p>
            <w:pPr>
              <w:pStyle w:val="Compact"/>
              <w:bidi/>
            </w:pPr>
            <w:r>
              <w:rPr>
                <w:rtl/>
              </w:rPr>
              <w:t xml:space="preserve">20.0</w:t>
            </w:r>
          </w:p>
        </w:tc>
        <w:tc>
          <w:tcPr>
            <w:tcW w:w="967934" w:type="dxa"/>
          </w:tcPr>
          <w:p>
            <w:pPr>
              <w:pStyle w:val="Compact"/>
              <w:bidi/>
            </w:pPr>
            <w:r>
              <w:rPr>
                <w:rtl/>
              </w:rPr>
              <w:t xml:space="preserve">CX</w:t>
            </w:r>
          </w:p>
        </w:tc>
      </w:tr>
      <w:tr>
        <w:tc>
          <w:tcPr>
            <w:tcW w:w="691382" w:type="dxa"/>
          </w:tcPr>
          <w:p>
            <w:pPr>
              <w:pStyle w:val="Compact"/>
              <w:bidi/>
            </w:pPr>
            <w:r>
              <w:rPr>
                <w:rtl/>
              </w:rPr>
              <w:t xml:space="preserve">ART-009</w:t>
            </w:r>
          </w:p>
        </w:tc>
        <w:tc>
          <w:tcPr>
            <w:tcW w:w="2028054" w:type="dxa"/>
          </w:tcPr>
          <w:p>
            <w:pPr>
              <w:pStyle w:val="Compact"/>
              <w:bidi/>
            </w:pPr>
            <w:r>
              <w:rPr>
                <w:rtl/>
              </w:rPr>
              <w:t xml:space="preserve">Sous-chemise carton</w:t>
            </w:r>
          </w:p>
        </w:tc>
        <w:tc>
          <w:tcPr>
            <w:tcW w:w="829659" w:type="dxa"/>
          </w:tcPr>
          <w:p>
            <w:pPr>
              <w:pStyle w:val="Compact"/>
              <w:bidi/>
            </w:pPr>
            <w:r>
              <w:rPr>
                <w:rtl/>
              </w:rPr>
              <w:t xml:space="preserve">45</w:t>
            </w:r>
          </w:p>
        </w:tc>
        <w:tc>
          <w:tcPr>
            <w:tcW w:w="492968" w:type="dxa"/>
          </w:tcPr>
          <w:p>
            <w:pPr>
              <w:pStyle w:val="Compact"/>
              <w:bidi/>
            </w:pPr>
            <w:r>
              <w:rPr>
                <w:rtl/>
              </w:rPr>
              <w:t xml:space="preserve">25.0</w:t>
            </w:r>
          </w:p>
        </w:tc>
        <w:tc>
          <w:tcPr>
            <w:tcW w:w="967934" w:type="dxa"/>
          </w:tcPr>
          <w:p>
            <w:pPr>
              <w:pStyle w:val="Compact"/>
              <w:bidi/>
            </w:pPr>
            <w:r>
              <w:rPr>
                <w:rtl/>
              </w:rPr>
              <w:t xml:space="preserve">CX</w:t>
            </w:r>
          </w:p>
        </w:tc>
      </w:tr>
      <w:tr>
        <w:tc>
          <w:tcPr>
            <w:tcW w:w="691382" w:type="dxa"/>
          </w:tcPr>
          <w:p>
            <w:pPr>
              <w:pStyle w:val="Compact"/>
              <w:bidi/>
            </w:pPr>
            <w:r>
              <w:rPr>
                <w:rtl/>
              </w:rPr>
              <w:t xml:space="preserve">ART-010</w:t>
            </w:r>
          </w:p>
        </w:tc>
        <w:tc>
          <w:tcPr>
            <w:tcW w:w="2028054" w:type="dxa"/>
          </w:tcPr>
          <w:p>
            <w:pPr>
              <w:pStyle w:val="Compact"/>
              <w:bidi/>
            </w:pPr>
            <w:r>
              <w:rPr>
                <w:rtl/>
              </w:rPr>
              <w:t xml:space="preserve">Chemise cartonnée</w:t>
            </w:r>
          </w:p>
        </w:tc>
        <w:tc>
          <w:tcPr>
            <w:tcW w:w="829659" w:type="dxa"/>
          </w:tcPr>
          <w:p>
            <w:pPr>
              <w:pStyle w:val="Compact"/>
              <w:bidi/>
            </w:pPr>
            <w:r>
              <w:rPr>
                <w:rtl/>
              </w:rPr>
              <w:t xml:space="preserve">150</w:t>
            </w:r>
          </w:p>
        </w:tc>
        <w:tc>
          <w:tcPr>
            <w:tcW w:w="492968" w:type="dxa"/>
          </w:tcPr>
          <w:p>
            <w:pPr>
              <w:pStyle w:val="Compact"/>
              <w:bidi/>
            </w:pPr>
            <w:r>
              <w:rPr>
                <w:rtl/>
              </w:rPr>
              <w:t xml:space="preserve">80.0</w:t>
            </w:r>
          </w:p>
        </w:tc>
        <w:tc>
          <w:tcPr>
            <w:tcW w:w="967934" w:type="dxa"/>
          </w:tcPr>
          <w:p>
            <w:pPr>
              <w:pStyle w:val="Compact"/>
              <w:bidi/>
            </w:pPr>
            <w:r>
              <w:rPr>
                <w:rtl/>
              </w:rPr>
              <w:t xml:space="preserve">BY</w:t>
            </w:r>
          </w:p>
        </w:tc>
      </w:tr>
      <w:tr>
        <w:tc>
          <w:tcPr>
            <w:tcW w:w="691382" w:type="dxa"/>
          </w:tcPr>
          <w:p>
            <w:pPr>
              <w:pStyle w:val="Compact"/>
              <w:bidi/>
            </w:pPr>
            <w:r>
              <w:rPr>
                <w:rtl/>
              </w:rPr>
              <w:t xml:space="preserve">ART-011</w:t>
            </w:r>
          </w:p>
        </w:tc>
        <w:tc>
          <w:tcPr>
            <w:tcW w:w="2028054" w:type="dxa"/>
          </w:tcPr>
          <w:p>
            <w:pPr>
              <w:pStyle w:val="Compact"/>
              <w:bidi/>
            </w:pPr>
            <w:r>
              <w:rPr>
                <w:rtl/>
              </w:rPr>
              <w:t xml:space="preserve">Rouleau papier fax</w:t>
            </w:r>
          </w:p>
        </w:tc>
        <w:tc>
          <w:tcPr>
            <w:tcW w:w="829659" w:type="dxa"/>
          </w:tcPr>
          <w:p>
            <w:pPr>
              <w:pStyle w:val="Compact"/>
              <w:bidi/>
            </w:pPr>
            <w:r>
              <w:rPr>
                <w:rtl/>
              </w:rPr>
              <w:t xml:space="preserve">40</w:t>
            </w:r>
          </w:p>
        </w:tc>
        <w:tc>
          <w:tcPr>
            <w:tcW w:w="492968" w:type="dxa"/>
          </w:tcPr>
          <w:p>
            <w:pPr>
              <w:pStyle w:val="Compact"/>
              <w:bidi/>
            </w:pPr>
            <w:r>
              <w:rPr>
                <w:rtl/>
              </w:rPr>
              <w:t xml:space="preserve">22.0</w:t>
            </w:r>
          </w:p>
        </w:tc>
        <w:tc>
          <w:tcPr>
            <w:tcW w:w="967934" w:type="dxa"/>
          </w:tcPr>
          <w:p>
            <w:pPr>
              <w:pStyle w:val="Compact"/>
              <w:bidi/>
            </w:pPr>
            <w:r>
              <w:rPr>
                <w:rtl/>
              </w:rPr>
              <w:t xml:space="preserve">CX</w:t>
            </w:r>
          </w:p>
        </w:tc>
      </w:tr>
      <w:tr>
        <w:tc>
          <w:tcPr>
            <w:tcW w:w="691382" w:type="dxa"/>
          </w:tcPr>
          <w:p>
            <w:pPr>
              <w:pStyle w:val="Compact"/>
              <w:bidi/>
            </w:pPr>
            <w:r>
              <w:rPr>
                <w:rtl/>
              </w:rPr>
              <w:t xml:space="preserve">ART-012</w:t>
            </w:r>
          </w:p>
        </w:tc>
        <w:tc>
          <w:tcPr>
            <w:tcW w:w="2028054" w:type="dxa"/>
          </w:tcPr>
          <w:p>
            <w:pPr>
              <w:pStyle w:val="Compact"/>
              <w:bidi/>
            </w:pPr>
            <w:r>
              <w:rPr>
                <w:rtl/>
              </w:rPr>
              <w:t xml:space="preserve">Marqueur permanent noir</w:t>
            </w:r>
          </w:p>
        </w:tc>
        <w:tc>
          <w:tcPr>
            <w:tcW w:w="829659" w:type="dxa"/>
          </w:tcPr>
          <w:p>
            <w:pPr>
              <w:pStyle w:val="Compact"/>
              <w:bidi/>
            </w:pPr>
            <w:r>
              <w:rPr>
                <w:rtl/>
              </w:rPr>
              <w:t xml:space="preserve">70</w:t>
            </w:r>
          </w:p>
        </w:tc>
        <w:tc>
          <w:tcPr>
            <w:tcW w:w="492968" w:type="dxa"/>
          </w:tcPr>
          <w:p>
            <w:pPr>
              <w:pStyle w:val="Compact"/>
              <w:bidi/>
            </w:pPr>
            <w:r>
              <w:rPr>
                <w:rtl/>
              </w:rPr>
              <w:t xml:space="preserve">30.0</w:t>
            </w:r>
          </w:p>
        </w:tc>
        <w:tc>
          <w:tcPr>
            <w:tcW w:w="967934" w:type="dxa"/>
          </w:tcPr>
          <w:p>
            <w:pPr>
              <w:pStyle w:val="Compact"/>
              <w:bidi/>
            </w:pPr>
            <w:r>
              <w:rPr>
                <w:rtl/>
              </w:rPr>
              <w:t xml:space="preserve">CX</w:t>
            </w:r>
          </w:p>
        </w:tc>
      </w:tr>
    </w:tbl>
    <w:p>
      <w:pPr>
        <w:bidi/>
        <w:spacing w:line="360" w:lineRule="auto"/>
        <w:jc w:val="right"/>
      </w:pPr>
      <w:r>
        <w:rPr>
          <w:rFonts w:ascii="Traditional Arabic" w:hAnsi="Traditional Arabic"/>
          <w:b/>
          <w:bCs/>
          <w:sz w:val="28"/>
          <w:rtl/>
        </w:rPr>
        <w:t xml:space="preserve">ملاحظة: يتم تخزين البيانات في أوراق Excel محمية بكلمة مرور مع تعطيل التعديل اليدوي المباشر.</w:t>
      </w:r>
    </w:p>
    <w:bookmarkEnd w:id="163"/>
    <w:bookmarkStart w:id="164" w:name="الملحق-الرابع-نماذج-الوثائق-الإدارية"/>
    <w:p>
      <w:pPr>
        <w:pStyle w:val="Heading2"/>
        <w:bidi/>
      </w:pPr>
      <w:r>
        <w:rPr>
          <w:b/>
          <w:sz w:val="36"/>
          <w:rtl/>
        </w:rPr>
        <w:t xml:space="preserve">الملحق الرابع: نماذج الوثائق الإدارية</w:t>
      </w:r>
    </w:p>
    <w:p>
      <w:pPr>
        <w:bidi/>
        <w:spacing w:line="360" w:lineRule="auto"/>
        <w:jc w:val="right"/>
      </w:pPr>
      <w:r>
        <w:rPr>
          <w:rFonts w:ascii="Traditional Arabic" w:hAnsi="Traditional Arabic"/>
          <w:sz w:val="28"/>
          <w:rtl/>
        </w:rPr>
        <w:t xml:space="preserve">الوثائق المولَّدة آلياً بواسطة النظام:</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DA (Demande d’Achat): طلب الشراء الداخلي — يُصدَر عند انخفاض المخزون إلى مستوى ROP</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BC (Bon de Commande): أمر الشراء — يُصدَر بعد الموافقة على طلب الشراء</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BR (Bon de Réception): وصل الاستلام — يُصدَر عند استلام البضاعة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BS (Bon de Sortie): وصل الإخراج — يُصدَر عند صرف المواد للوحدات المستفيدة جميع الوثائق تُولَّد بصيغة PDF قابلة للطباعة والتوقيع، مع تضمين رمز شريطي (QR Code) للتحقق من أصالتها.</w:t>
      </w:r>
    </w:p>
    <w:bookmarkEnd w:id="164"/>
    <w:bookmarkStart w:id="165" w:name="X2ba466c7822f1b4b8d4c28ae81ff579f1d28271"/>
    <w:p>
      <w:pPr>
        <w:pStyle w:val="Heading2"/>
        <w:bidi/>
      </w:pPr>
      <w:r>
        <w:rPr>
          <w:b/>
          <w:sz w:val="36"/>
          <w:rtl/>
        </w:rPr>
        <w:t xml:space="preserve">الملحق الخامس: نشر النماذج اللغوية الكبيرة (LLM Deployment)</w:t>
      </w:r>
    </w:p>
    <w:p>
      <w:pPr>
        <w:bidi/>
        <w:spacing w:line="360" w:lineRule="auto"/>
        <w:jc w:val="right"/>
      </w:pPr>
      <w:r>
        <w:rPr>
          <w:rFonts w:ascii="Traditional Arabic" w:hAnsi="Traditional Arabic"/>
          <w:sz w:val="28"/>
          <w:rtl/>
        </w:rPr>
        <w:t xml:space="preserve">تم استخدام نماذج لغوية كبيرة (LLM) كأدوات مساعدة في تطوير نظام دعم القرار وتحسين جودة المذكرة الأكاديمية:</w:t>
      </w:r>
      <w:r>
        <w:rPr>
          <w:rFonts w:ascii="Traditional Arabic" w:hAnsi="Traditional Arabic"/>
          <w:sz w:val="28"/>
          <w:rtl/>
        </w:rPr>
        <w:t xml:space="preserve"> </w:t>
      </w:r>
      <w:r>
        <w:rPr>
          <w:rFonts w:ascii="Traditional Arabic" w:hAnsi="Traditional Arabic"/>
          <w:b/>
          <w:bCs/>
          <w:sz w:val="28"/>
          <w:rtl/>
        </w:rPr>
        <w:t xml:space="preserve">الملحق الخامس: نشر النماذج اللغوية الكبيرة (LLM Deployment)</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960"/>
        <w:gridCol w:w="3960"/>
      </w:tblGrid>
      <w:tr>
        <w:trPr>
          <w:tblHeader w:val="on"/>
        </w:trPr>
        <w:tc>
          <w:tcPr>
            <w:tcW w:w="960106" w:type="dxa"/>
          </w:tcPr>
          <w:p>
            <w:pPr>
              <w:pStyle w:val="Compact"/>
              <w:bidi/>
            </w:pPr>
            <w:r>
              <w:rPr>
                <w:rtl/>
              </w:rPr>
              <w:t xml:space="preserve">المعيار</w:t>
            </w:r>
          </w:p>
        </w:tc>
        <w:tc>
          <w:tcPr>
            <w:tcW w:w="4499893" w:type="dxa"/>
          </w:tcPr>
          <w:p>
            <w:pPr>
              <w:pStyle w:val="Compact"/>
              <w:bidi/>
            </w:pPr>
            <w:r>
              <w:rPr>
                <w:rtl/>
              </w:rPr>
              <w:t xml:space="preserve">التفاصيل</w:t>
            </w:r>
          </w:p>
        </w:tc>
      </w:tr>
      <w:tr>
        <w:tc>
          <w:tcPr>
            <w:tcW w:w="960106" w:type="dxa"/>
          </w:tcPr>
          <w:p>
            <w:pPr>
              <w:pStyle w:val="Compact"/>
              <w:bidi/>
            </w:pPr>
            <w:r>
              <w:rPr>
                <w:rtl/>
              </w:rPr>
              <w:t xml:space="preserve">الهدف</w:t>
            </w:r>
          </w:p>
        </w:tc>
        <w:tc>
          <w:tcPr>
            <w:tcW w:w="4499893" w:type="dxa"/>
          </w:tcPr>
          <w:p>
            <w:pPr>
              <w:pStyle w:val="Compact"/>
              <w:bidi/>
            </w:pPr>
            <w:r>
              <w:rPr>
                <w:rtl/>
              </w:rPr>
              <w:t xml:space="preserve">تسريع تطوير وحدات VBA وتحسين الصياغة الأكاديمية</w:t>
            </w:r>
          </w:p>
        </w:tc>
      </w:tr>
      <w:tr>
        <w:tc>
          <w:tcPr>
            <w:tcW w:w="960106" w:type="dxa"/>
          </w:tcPr>
          <w:p>
            <w:pPr>
              <w:pStyle w:val="Compact"/>
              <w:bidi/>
            </w:pPr>
            <w:r>
              <w:rPr>
                <w:rtl/>
              </w:rPr>
              <w:t xml:space="preserve">الاستخدام</w:t>
            </w:r>
          </w:p>
        </w:tc>
        <w:tc>
          <w:tcPr>
            <w:tcW w:w="4499893" w:type="dxa"/>
          </w:tcPr>
          <w:p>
            <w:pPr>
              <w:pStyle w:val="Compact"/>
              <w:bidi/>
            </w:pPr>
            <w:r>
              <w:rPr>
                <w:rtl/>
              </w:rPr>
              <w:t xml:space="preserve">مراجعة الكود، تحسين الصياغة، التحقق من الثوابت</w:t>
            </w:r>
          </w:p>
        </w:tc>
      </w:tr>
      <w:tr>
        <w:tc>
          <w:tcPr>
            <w:tcW w:w="960106" w:type="dxa"/>
          </w:tcPr>
          <w:p>
            <w:pPr>
              <w:pStyle w:val="Compact"/>
              <w:bidi/>
            </w:pPr>
            <w:r>
              <w:rPr>
                <w:rtl/>
              </w:rPr>
              <w:t xml:space="preserve">الاستقلالية</w:t>
            </w:r>
          </w:p>
        </w:tc>
        <w:tc>
          <w:tcPr>
            <w:tcW w:w="4499893" w:type="dxa"/>
          </w:tcPr>
          <w:p>
            <w:pPr>
              <w:pStyle w:val="Compact"/>
              <w:bidi/>
            </w:pPr>
            <w:r>
              <w:rPr>
                <w:rtl/>
              </w:rPr>
              <w:t xml:space="preserve">النظام يعمل بدون اتصال بالإنترنت — LLM كان أداة تطوير فقط</w:t>
            </w:r>
          </w:p>
        </w:tc>
      </w:tr>
      <w:tr>
        <w:tc>
          <w:tcPr>
            <w:tcW w:w="960106" w:type="dxa"/>
          </w:tcPr>
          <w:p>
            <w:pPr>
              <w:pStyle w:val="Compact"/>
              <w:bidi/>
            </w:pPr>
            <w:r>
              <w:rPr>
                <w:rtl/>
              </w:rPr>
              <w:t xml:space="preserve">الاعتماد</w:t>
            </w:r>
          </w:p>
        </w:tc>
        <w:tc>
          <w:tcPr>
            <w:tcW w:w="4499893" w:type="dxa"/>
          </w:tcPr>
          <w:p>
            <w:pPr>
              <w:pStyle w:val="Compact"/>
              <w:bidi/>
            </w:pPr>
            <w:r>
              <w:rPr>
                <w:rtl/>
              </w:rPr>
              <w:t xml:space="preserve">لا يعتمد النظام على أي نموذج لغوي في التشغيل الفعلي</w:t>
            </w:r>
          </w:p>
        </w:tc>
      </w:tr>
    </w:tbl>
    <w:p>
      <w:pPr>
        <w:bidi/>
        <w:spacing w:line="360" w:lineRule="auto"/>
        <w:jc w:val="right"/>
      </w:pPr>
      <w:r>
        <w:rPr>
          <w:rFonts w:ascii="Traditional Arabic" w:hAnsi="Traditional Arabic"/>
          <w:b/>
          <w:bCs/>
          <w:sz w:val="28"/>
          <w:rtl/>
        </w:rPr>
        <w:t xml:space="preserve">ملاحظة هامة: 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اصطناعي، مما يضمن الاستقلالية التشغيلية التامة وفقاً لمبدأ Offline-First.</w:t>
      </w:r>
    </w:p>
    <w:bookmarkEnd w:id="165"/>
    <w:bookmarkStart w:id="183" w:name="X1148525acfd03c2ffb8a3bcaf8453ddfd410d6d"/>
    <w:p>
      <w:pPr>
        <w:pStyle w:val="Heading2"/>
        <w:bidi/>
      </w:pPr>
      <w:r>
        <w:rPr>
          <w:b/>
          <w:sz w:val="36"/>
          <w:rtl/>
        </w:rPr>
        <w:t xml:space="preserve">الملحق السادس: نظام دعم القرار والمرجعيات الجزائرية — الربط الذكي</w:t>
      </w:r>
    </w:p>
    <w:bookmarkStart w:id="166" w:name="X540dee732a69215b730bef105cf0059b0b377be"/>
    <w:p>
      <w:pPr>
        <w:pStyle w:val="Heading3"/>
        <w:bidi/>
      </w:pPr>
      <w:r>
        <w:rPr>
          <w:b/>
          <w:sz w:val="32"/>
          <w:rtl/>
        </w:rPr>
        <w:t xml:space="preserve">1. الإطار المرجعي لنظام دعم القرار في القطاع التعليمي الجزائري</w:t>
      </w:r>
    </w:p>
    <w:p>
      <w:pPr>
        <w:bidi/>
        <w:spacing w:line="360" w:lineRule="auto"/>
        <w:jc w:val="right"/>
      </w:pPr>
      <w:r>
        <w:rPr>
          <w:rFonts w:ascii="Traditional Arabic" w:hAnsi="Traditional Arabic"/>
          <w:b/>
          <w:bCs/>
          <w:sz w:val="28"/>
          <w:rtl/>
        </w:rPr>
        <w:t xml:space="preserve">يُدرَج هذا المشروع ضمن المنظومة الوطنية لتكوين الأطر في مجال التسيير اللوجستي التي يشرف عليها المركز الوطني لتطوير الكفاءات المهنية (CNEPD)، وذلك وفق المنهاج TAG1801 المخصص لتكوين تقنيي سامي في تسيير المخزونات واللوجستيك. يربط النظام بين ستة سداسيات منهجية من المنهاج الرسمي:</w:t>
      </w:r>
      <w:r>
        <w:rPr>
          <w:rFonts w:ascii="Traditional Arabic" w:hAnsi="Traditional Arabic"/>
          <w:sz w:val="28"/>
          <w:rtl/>
        </w:rPr>
        <w:t xml:space="preserve"> </w:t>
      </w:r>
      <w:r>
        <w:rPr>
          <w:rFonts w:ascii="Traditional Arabic" w:hAnsi="Traditional Arabic"/>
          <w:b/>
          <w:bCs/>
          <w:sz w:val="28"/>
          <w:rtl/>
        </w:rPr>
        <w:t xml:space="preserve">1. الإطار المرجعي لنظام دعم القرار في القطاع التعليمي الجزائري</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891061" w:type="dxa"/>
          </w:tcPr>
          <w:p>
            <w:pPr>
              <w:pStyle w:val="Compact"/>
              <w:bidi/>
            </w:pPr>
            <w:r>
              <w:rPr>
                <w:rtl/>
              </w:rPr>
              <w:t xml:space="preserve">السداسي</w:t>
            </w:r>
          </w:p>
        </w:tc>
        <w:tc>
          <w:tcPr>
            <w:tcW w:w="1756664" w:type="dxa"/>
          </w:tcPr>
          <w:p>
            <w:pPr>
              <w:pStyle w:val="Compact"/>
              <w:bidi/>
            </w:pPr>
            <w:r>
              <w:rPr>
                <w:rtl/>
              </w:rPr>
              <w:t xml:space="preserve">المحور المنهاجي</w:t>
            </w:r>
          </w:p>
        </w:tc>
        <w:tc>
          <w:tcPr>
            <w:tcW w:w="2662274" w:type="dxa"/>
          </w:tcPr>
          <w:p>
            <w:pPr>
              <w:pStyle w:val="Compact"/>
              <w:bidi/>
            </w:pPr>
            <w:r>
              <w:rPr>
                <w:rtl/>
              </w:rPr>
              <w:t xml:space="preserve">التطبيق في نظام دعم القرار</w:t>
            </w:r>
          </w:p>
        </w:tc>
      </w:tr>
      <w:tr>
        <w:tc>
          <w:tcPr>
            <w:tcW w:w="891061" w:type="dxa"/>
          </w:tcPr>
          <w:p>
            <w:pPr>
              <w:pStyle w:val="Compact"/>
              <w:bidi/>
            </w:pPr>
            <w:r>
              <w:rPr>
                <w:rtl/>
              </w:rPr>
              <w:t xml:space="preserve">السداسي الأول</w:t>
            </w:r>
          </w:p>
        </w:tc>
        <w:tc>
          <w:tcPr>
            <w:tcW w:w="1756664" w:type="dxa"/>
          </w:tcPr>
          <w:p>
            <w:pPr>
              <w:pStyle w:val="Compact"/>
              <w:bidi/>
            </w:pPr>
            <w:r>
              <w:rPr>
                <w:rtl/>
              </w:rPr>
              <w:t xml:space="preserve">دراسات الأسعار وشروط التفاوض</w:t>
            </w:r>
          </w:p>
        </w:tc>
        <w:tc>
          <w:tcPr>
            <w:tcW w:w="2662274" w:type="dxa"/>
          </w:tcPr>
          <w:p>
            <w:pPr>
              <w:pStyle w:val="Compact"/>
              <w:bidi/>
            </w:pPr>
            <w:r>
              <w:rPr>
                <w:rtl/>
              </w:rPr>
              <w:t xml:space="preserve">حساب التكاليف والمقارنة بين الموردين</w:t>
            </w:r>
          </w:p>
        </w:tc>
      </w:tr>
      <w:tr>
        <w:tc>
          <w:tcPr>
            <w:tcW w:w="891061" w:type="dxa"/>
          </w:tcPr>
          <w:p>
            <w:pPr>
              <w:pStyle w:val="Compact"/>
              <w:bidi/>
            </w:pPr>
            <w:r>
              <w:rPr>
                <w:rtl/>
              </w:rPr>
              <w:t xml:space="preserve">السداسي الثاني</w:t>
            </w:r>
          </w:p>
        </w:tc>
        <w:tc>
          <w:tcPr>
            <w:tcW w:w="1756664" w:type="dxa"/>
          </w:tcPr>
          <w:p>
            <w:pPr>
              <w:pStyle w:val="Compact"/>
              <w:bidi/>
            </w:pPr>
            <w:r>
              <w:rPr>
                <w:rtl/>
              </w:rPr>
              <w:t xml:space="preserve">إجراءات الشراءات</w:t>
            </w:r>
          </w:p>
        </w:tc>
        <w:tc>
          <w:tcPr>
            <w:tcW w:w="2662274" w:type="dxa"/>
          </w:tcPr>
          <w:p>
            <w:pPr>
              <w:pStyle w:val="Compact"/>
              <w:bidi/>
            </w:pPr>
            <w:r>
              <w:rPr>
                <w:rtl/>
              </w:rPr>
              <w:t xml:space="preserve">أتمتة الدورة المستندية (DA → BC → BR → BS)</w:t>
            </w:r>
          </w:p>
        </w:tc>
      </w:tr>
      <w:tr>
        <w:tc>
          <w:tcPr>
            <w:tcW w:w="891061" w:type="dxa"/>
          </w:tcPr>
          <w:p>
            <w:pPr>
              <w:pStyle w:val="Compact"/>
              <w:bidi/>
            </w:pPr>
            <w:r>
              <w:rPr>
                <w:rtl/>
              </w:rPr>
              <w:t xml:space="preserve">السداسي الثالث</w:t>
            </w:r>
          </w:p>
        </w:tc>
        <w:tc>
          <w:tcPr>
            <w:tcW w:w="1756664" w:type="dxa"/>
          </w:tcPr>
          <w:p>
            <w:pPr>
              <w:pStyle w:val="Compact"/>
              <w:bidi/>
            </w:pPr>
            <w:r>
              <w:rPr>
                <w:rtl/>
              </w:rPr>
              <w:t xml:space="preserve">النماذج الرياضية (EOQ, ROP)</w:t>
            </w:r>
          </w:p>
        </w:tc>
        <w:tc>
          <w:tcPr>
            <w:tcW w:w="2662274" w:type="dxa"/>
          </w:tcPr>
          <w:p>
            <w:pPr>
              <w:pStyle w:val="Compact"/>
              <w:bidi/>
            </w:pPr>
            <w:r>
              <w:rPr>
                <w:rtl/>
              </w:rPr>
              <w:t xml:space="preserve">تطبيق ويلسون + حساب نقطة إعادة الطلب آلياً</w:t>
            </w:r>
          </w:p>
        </w:tc>
      </w:tr>
      <w:tr>
        <w:tc>
          <w:tcPr>
            <w:tcW w:w="891061" w:type="dxa"/>
          </w:tcPr>
          <w:p>
            <w:pPr>
              <w:pStyle w:val="Compact"/>
              <w:bidi/>
            </w:pPr>
            <w:r>
              <w:rPr>
                <w:rtl/>
              </w:rPr>
              <w:t xml:space="preserve">السداسي الثالث</w:t>
            </w:r>
          </w:p>
        </w:tc>
        <w:tc>
          <w:tcPr>
            <w:tcW w:w="1756664" w:type="dxa"/>
          </w:tcPr>
          <w:p>
            <w:pPr>
              <w:pStyle w:val="Compact"/>
              <w:bidi/>
            </w:pPr>
            <w:r>
              <w:rPr>
                <w:rtl/>
              </w:rPr>
              <w:t xml:space="preserve">تحليل ABC/باريتو</w:t>
            </w:r>
          </w:p>
        </w:tc>
        <w:tc>
          <w:tcPr>
            <w:tcW w:w="2662274" w:type="dxa"/>
          </w:tcPr>
          <w:p>
            <w:pPr>
              <w:pStyle w:val="Compact"/>
              <w:bidi/>
            </w:pPr>
            <w:r>
              <w:rPr>
                <w:rtl/>
              </w:rPr>
              <w:t xml:space="preserve">تصنيف الأصناف الـ12 حسب القيمة والاستهلاك</w:t>
            </w:r>
          </w:p>
        </w:tc>
      </w:tr>
      <w:tr>
        <w:tc>
          <w:tcPr>
            <w:tcW w:w="891061" w:type="dxa"/>
          </w:tcPr>
          <w:p>
            <w:pPr>
              <w:pStyle w:val="Compact"/>
              <w:bidi/>
            </w:pPr>
            <w:r>
              <w:rPr>
                <w:rtl/>
              </w:rPr>
              <w:t xml:space="preserve">السداسي الرابع</w:t>
            </w:r>
          </w:p>
        </w:tc>
        <w:tc>
          <w:tcPr>
            <w:tcW w:w="1756664" w:type="dxa"/>
          </w:tcPr>
          <w:p>
            <w:pPr>
              <w:pStyle w:val="Compact"/>
              <w:bidi/>
            </w:pPr>
            <w:r>
              <w:rPr>
                <w:rtl/>
              </w:rPr>
              <w:t xml:space="preserve">الجرد الدائم والتتبع</w:t>
            </w:r>
          </w:p>
        </w:tc>
        <w:tc>
          <w:tcPr>
            <w:tcW w:w="2662274" w:type="dxa"/>
          </w:tcPr>
          <w:p>
            <w:pPr>
              <w:pStyle w:val="Compact"/>
              <w:bidi/>
            </w:pPr>
            <w:r>
              <w:rPr>
                <w:rtl/>
              </w:rPr>
              <w:t xml:space="preserve">تحديث آني للأرصدة مع سلسلة الحراسة السداسية</w:t>
            </w:r>
          </w:p>
        </w:tc>
      </w:tr>
      <w:tr>
        <w:tc>
          <w:tcPr>
            <w:tcW w:w="891061" w:type="dxa"/>
          </w:tcPr>
          <w:p>
            <w:pPr>
              <w:pStyle w:val="Compact"/>
              <w:bidi/>
            </w:pPr>
            <w:r>
              <w:rPr>
                <w:rtl/>
              </w:rPr>
              <w:t xml:space="preserve">السداسي الرابع</w:t>
            </w:r>
          </w:p>
        </w:tc>
        <w:tc>
          <w:tcPr>
            <w:tcW w:w="1756664" w:type="dxa"/>
          </w:tcPr>
          <w:p>
            <w:pPr>
              <w:pStyle w:val="Compact"/>
              <w:bidi/>
            </w:pPr>
            <w:r>
              <w:rPr>
                <w:rtl/>
              </w:rPr>
              <w:t xml:space="preserve">التتبع وسلسلة المراجعة</w:t>
            </w:r>
          </w:p>
        </w:tc>
        <w:tc>
          <w:tcPr>
            <w:tcW w:w="2662274" w:type="dxa"/>
          </w:tcPr>
          <w:p>
            <w:pPr>
              <w:pStyle w:val="Compact"/>
              <w:bidi/>
            </w:pPr>
            <w:r>
              <w:rPr>
                <w:rtl/>
              </w:rPr>
              <w:t xml:space="preserve">سجل المراجعة غير قابل للتعديل</w:t>
            </w:r>
          </w:p>
        </w:tc>
      </w:tr>
    </w:tbl>
    <w:bookmarkEnd w:id="166"/>
    <w:bookmarkStart w:id="167" w:name="التوافق-مع-التشريعات-الجزائرية"/>
    <w:p>
      <w:pPr>
        <w:pStyle w:val="Heading3"/>
        <w:bidi/>
      </w:pPr>
      <w:r>
        <w:rPr>
          <w:b/>
          <w:sz w:val="32"/>
          <w:rtl/>
        </w:rPr>
        <w:t xml:space="preserve">2. التوافق مع التشريعات الجزائرية</w:t>
      </w:r>
    </w:p>
    <w:p>
      <w:pPr>
        <w:bidi/>
        <w:spacing w:line="360" w:lineRule="auto"/>
        <w:jc w:val="right"/>
      </w:pPr>
      <w:r>
        <w:rPr>
          <w:rFonts w:ascii="Traditional Arabic" w:hAnsi="Traditional Arabic"/>
          <w:sz w:val="28"/>
          <w:rtl/>
        </w:rPr>
        <w:t xml:space="preserve">يتوافق نظام دعم القرار مع الإطار القانوني والتنظيمي التالي:</w:t>
      </w:r>
      <w:r>
        <w:rPr>
          <w:rFonts w:ascii="Traditional Arabic" w:hAnsi="Traditional Arabic"/>
          <w:sz w:val="28"/>
          <w:rtl/>
        </w:rPr>
        <w:t xml:space="preserve"> </w:t>
      </w:r>
      <w:r>
        <w:rPr>
          <w:rFonts w:ascii="Traditional Arabic" w:hAnsi="Traditional Arabic"/>
          <w:b/>
          <w:bCs/>
          <w:sz w:val="28"/>
          <w:rtl/>
        </w:rPr>
        <w:t xml:space="preserve">2. التوافق مع التشريعات الجزائرية</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1214160" w:type="dxa"/>
          </w:tcPr>
          <w:p>
            <w:pPr>
              <w:pStyle w:val="Compact"/>
              <w:bidi/>
            </w:pPr>
            <w:r>
              <w:rPr>
                <w:rtl/>
              </w:rPr>
              <w:t xml:space="preserve">المرجع</w:t>
            </w:r>
          </w:p>
        </w:tc>
        <w:tc>
          <w:tcPr>
            <w:tcW w:w="1784764" w:type="dxa"/>
          </w:tcPr>
          <w:p>
            <w:pPr>
              <w:pStyle w:val="Compact"/>
              <w:bidi/>
            </w:pPr>
            <w:r>
              <w:rPr>
                <w:rtl/>
              </w:rPr>
              <w:t xml:space="preserve">الصفة</w:t>
            </w:r>
          </w:p>
        </w:tc>
        <w:tc>
          <w:tcPr>
            <w:tcW w:w="2311074" w:type="dxa"/>
          </w:tcPr>
          <w:p>
            <w:pPr>
              <w:pStyle w:val="Compact"/>
              <w:bidi/>
            </w:pPr>
            <w:r>
              <w:rPr>
                <w:rtl/>
              </w:rPr>
              <w:t xml:space="preserve">العلاقة بالنظام</w:t>
            </w:r>
          </w:p>
        </w:tc>
      </w:tr>
      <w:tr>
        <w:tc>
          <w:tcPr>
            <w:tcW w:w="1214160" w:type="dxa"/>
          </w:tcPr>
          <w:p>
            <w:pPr>
              <w:pStyle w:val="Compact"/>
              <w:bidi/>
            </w:pPr>
            <w:r>
              <w:rPr>
                <w:rtl/>
              </w:rPr>
              <w:t xml:space="preserve">المرسوم التنفيذي 20-270 (2020)</w:t>
            </w:r>
          </w:p>
        </w:tc>
        <w:tc>
          <w:tcPr>
            <w:tcW w:w="1784764" w:type="dxa"/>
          </w:tcPr>
          <w:p>
            <w:pPr>
              <w:pStyle w:val="Compact"/>
              <w:bidi/>
            </w:pPr>
            <w:r>
              <w:rPr>
                <w:rtl/>
              </w:rPr>
              <w:t xml:space="preserve">تنظيم الميزانية والمحاسبة العمومية</w:t>
            </w:r>
          </w:p>
        </w:tc>
        <w:tc>
          <w:tcPr>
            <w:tcW w:w="2311074" w:type="dxa"/>
          </w:tcPr>
          <w:p>
            <w:pPr>
              <w:pStyle w:val="Compact"/>
              <w:bidi/>
            </w:pPr>
            <w:r>
              <w:rPr>
                <w:rtl/>
              </w:rPr>
              <w:t xml:space="preserve">يطبق مبدأ الرقابة المالية الداخلية على حركات المخزون</w:t>
            </w:r>
          </w:p>
        </w:tc>
      </w:tr>
      <w:tr>
        <w:tc>
          <w:tcPr>
            <w:tcW w:w="1214160" w:type="dxa"/>
          </w:tcPr>
          <w:p>
            <w:pPr>
              <w:pStyle w:val="Compact"/>
              <w:bidi/>
            </w:pPr>
            <w:r>
              <w:rPr>
                <w:rtl/>
              </w:rPr>
              <w:t xml:space="preserve">المنشور الوزاري (2023)</w:t>
            </w:r>
          </w:p>
        </w:tc>
        <w:tc>
          <w:tcPr>
            <w:tcW w:w="1784764" w:type="dxa"/>
          </w:tcPr>
          <w:p>
            <w:pPr>
              <w:pStyle w:val="Compact"/>
              <w:bidi/>
            </w:pPr>
            <w:r>
              <w:rPr>
                <w:rtl/>
              </w:rPr>
              <w:t xml:space="preserve">تسيير المستودعات في المؤسسات التربوية</w:t>
            </w:r>
          </w:p>
        </w:tc>
        <w:tc>
          <w:tcPr>
            <w:tcW w:w="2311074" w:type="dxa"/>
          </w:tcPr>
          <w:p>
            <w:pPr>
              <w:pStyle w:val="Compact"/>
              <w:bidi/>
            </w:pPr>
            <w:r>
              <w:rPr>
                <w:rtl/>
              </w:rPr>
              <w:t xml:space="preserve">يطبق إجراءات الدخول/الإخراج والتوثيق الرسمي</w:t>
            </w:r>
          </w:p>
        </w:tc>
      </w:tr>
      <w:tr>
        <w:tc>
          <w:tcPr>
            <w:tcW w:w="1214160" w:type="dxa"/>
          </w:tcPr>
          <w:p>
            <w:pPr>
              <w:pStyle w:val="Compact"/>
              <w:bidi/>
            </w:pPr>
            <w:r>
              <w:rPr>
                <w:rtl/>
              </w:rPr>
              <w:t xml:space="preserve">النظام المحاسبي العمومي (SCO)</w:t>
            </w:r>
          </w:p>
        </w:tc>
        <w:tc>
          <w:tcPr>
            <w:tcW w:w="1784764" w:type="dxa"/>
          </w:tcPr>
          <w:p>
            <w:pPr>
              <w:pStyle w:val="Compact"/>
              <w:bidi/>
            </w:pPr>
            <w:r>
              <w:rPr>
                <w:rtl/>
              </w:rPr>
              <w:t xml:space="preserve">الإطار المحاسبي للدولة</w:t>
            </w:r>
          </w:p>
        </w:tc>
        <w:tc>
          <w:tcPr>
            <w:tcW w:w="2311074" w:type="dxa"/>
          </w:tcPr>
          <w:p>
            <w:pPr>
              <w:pStyle w:val="Compact"/>
              <w:bidi/>
            </w:pPr>
            <w:r>
              <w:rPr>
                <w:rtl/>
              </w:rPr>
              <w:t xml:space="preserve">يطبق CMUP كأسلوب تقييم معتمد في القطاع العمومي</w:t>
            </w:r>
          </w:p>
        </w:tc>
      </w:tr>
      <w:tr>
        <w:tc>
          <w:tcPr>
            <w:tcW w:w="1214160" w:type="dxa"/>
          </w:tcPr>
          <w:p>
            <w:pPr>
              <w:pStyle w:val="Compact"/>
              <w:bidi/>
            </w:pPr>
            <w:r>
              <w:rPr>
                <w:rtl/>
              </w:rPr>
              <w:t xml:space="preserve">معيار CNEPD للتخزين</w:t>
            </w:r>
          </w:p>
        </w:tc>
        <w:tc>
          <w:tcPr>
            <w:tcW w:w="1784764" w:type="dxa"/>
          </w:tcPr>
          <w:p>
            <w:pPr>
              <w:pStyle w:val="Compact"/>
              <w:bidi/>
            </w:pPr>
            <w:r>
              <w:rPr>
                <w:rtl/>
              </w:rPr>
              <w:t xml:space="preserve">معدل حامل التكلفة I = 0.20 (20%)</w:t>
            </w:r>
          </w:p>
        </w:tc>
        <w:tc>
          <w:tcPr>
            <w:tcW w:w="2311074" w:type="dxa"/>
          </w:tcPr>
          <w:p>
            <w:pPr>
              <w:pStyle w:val="Compact"/>
              <w:bidi/>
            </w:pPr>
            <w:r>
              <w:rPr>
                <w:rtl/>
              </w:rPr>
              <w:t xml:space="preserve">مُضمَّن في معادلة ويلسون EOQ للنظام</w:t>
            </w:r>
          </w:p>
        </w:tc>
      </w:tr>
      <w:tr>
        <w:tc>
          <w:tcPr>
            <w:tcW w:w="1214160" w:type="dxa"/>
          </w:tcPr>
          <w:p>
            <w:pPr>
              <w:pStyle w:val="Compact"/>
              <w:bidi/>
            </w:pPr>
            <w:r>
              <w:rPr>
                <w:rtl/>
              </w:rPr>
              <w:t xml:space="preserve">معايير CNEPD للابتكار</w:t>
            </w:r>
          </w:p>
        </w:tc>
        <w:tc>
          <w:tcPr>
            <w:tcW w:w="1784764" w:type="dxa"/>
          </w:tcPr>
          <w:p>
            <w:pPr>
              <w:pStyle w:val="Compact"/>
              <w:bidi/>
            </w:pPr>
            <w:r>
              <w:rPr>
                <w:rtl/>
              </w:rPr>
              <w:t xml:space="preserve">تقييم درجة الأصالة في المشاريع التطبيقية</w:t>
            </w:r>
          </w:p>
        </w:tc>
        <w:tc>
          <w:tcPr>
            <w:tcW w:w="2311074" w:type="dxa"/>
          </w:tcPr>
          <w:p>
            <w:pPr>
              <w:pStyle w:val="Compact"/>
              <w:bidi/>
            </w:pPr>
            <w:r>
              <w:rPr>
                <w:rtl/>
              </w:rPr>
              <w:t xml:space="preserve">اجتاز جميع معايير الأصالة الخمسة بنجاح</w:t>
            </w:r>
          </w:p>
        </w:tc>
      </w:tr>
    </w:tbl>
    <w:bookmarkEnd w:id="167"/>
    <w:bookmarkStart w:id="171" w:name="الربط-بين-المذكرة-والواقع-البرمجي"/>
    <w:p>
      <w:pPr>
        <w:pStyle w:val="Heading3"/>
        <w:bidi/>
      </w:pPr>
      <w:r>
        <w:rPr>
          <w:b/>
          <w:sz w:val="32"/>
          <w:rtl/>
        </w:rPr>
        <w:t xml:space="preserve">3. الربط بين المذكرة والواقع البرمجي</w:t>
      </w:r>
    </w:p>
    <w:p>
      <w:pPr>
        <w:bidi/>
        <w:spacing w:line="360" w:lineRule="auto"/>
        <w:jc w:val="right"/>
      </w:pPr>
      <w:r>
        <w:rPr>
          <w:rFonts w:ascii="Traditional Arabic" w:hAnsi="Traditional Arabic"/>
          <w:sz w:val="28"/>
          <w:rtl/>
        </w:rPr>
        <w:t xml:space="preserve">يربط هذا الملحق الفجوة بين الإطار الأكاديمي للمذكرة والواقع التقني لنظام دعم القرار:</w:t>
      </w:r>
    </w:p>
    <w:bookmarkStart w:id="168" w:name="أ.-من-المنهاج-إلى-الكود"/>
    <w:p>
      <w:pPr>
        <w:pStyle w:val="Heading4"/>
        <w:bidi/>
      </w:pPr>
      <w:r>
        <w:rPr>
          <w:rtl/>
        </w:rPr>
        <w:t xml:space="preserve">أ. من المنهاج إلى الكود</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1095790" w:type="dxa"/>
          </w:tcPr>
          <w:p>
            <w:pPr>
              <w:pStyle w:val="Compact"/>
              <w:bidi/>
            </w:pPr>
            <w:r>
              <w:rPr>
                <w:rtl/>
              </w:rPr>
              <w:t xml:space="preserve">مفهوم أكاديمي</w:t>
            </w:r>
          </w:p>
        </w:tc>
        <w:tc>
          <w:tcPr>
            <w:tcW w:w="1308190" w:type="dxa"/>
          </w:tcPr>
          <w:p>
            <w:pPr>
              <w:pStyle w:val="Compact"/>
              <w:bidi/>
            </w:pPr>
            <w:r>
              <w:rPr>
                <w:rtl/>
              </w:rPr>
              <w:t xml:space="preserve">وحدة VBA المناظرة</w:t>
            </w:r>
          </w:p>
        </w:tc>
        <w:tc>
          <w:tcPr>
            <w:tcW w:w="2906019" w:type="dxa"/>
          </w:tcPr>
          <w:p>
            <w:pPr>
              <w:pStyle w:val="Compact"/>
              <w:bidi/>
            </w:pPr>
            <w:r>
              <w:rPr>
                <w:rtl/>
              </w:rPr>
              <w:t xml:space="preserve">الوظيفة</w:t>
            </w:r>
          </w:p>
        </w:tc>
      </w:tr>
      <w:tr>
        <w:tc>
          <w:tcPr>
            <w:tcW w:w="1095790" w:type="dxa"/>
          </w:tcPr>
          <w:p>
            <w:pPr>
              <w:pStyle w:val="Compact"/>
              <w:bidi/>
            </w:pPr>
            <w:r>
              <w:rPr>
                <w:rtl/>
              </w:rPr>
              <w:t xml:space="preserve">EOQ / Q*</w:t>
            </w:r>
          </w:p>
        </w:tc>
        <w:tc>
          <w:tcPr>
            <w:tcW w:w="1308190" w:type="dxa"/>
          </w:tcPr>
          <w:p>
            <w:pPr>
              <w:pStyle w:val="Compact"/>
              <w:bidi/>
            </w:pPr>
            <w:r>
              <w:rPr>
                <w:rtl/>
              </w:rPr>
              <w:t xml:space="preserve">mod_StockEngine</w:t>
            </w:r>
          </w:p>
        </w:tc>
        <w:tc>
          <w:tcPr>
            <w:tcW w:w="2906019" w:type="dxa"/>
          </w:tcPr>
          <w:p>
            <w:pPr>
              <w:pStyle w:val="Compact"/>
              <w:bidi/>
            </w:pPr>
            <w:r>
              <w:rPr>
                <w:rtl/>
              </w:rPr>
              <w:t xml:space="preserve">حساب الكمية الاقتصادية بـ 37 وحدة</w:t>
            </w:r>
          </w:p>
        </w:tc>
      </w:tr>
      <w:tr>
        <w:tc>
          <w:tcPr>
            <w:tcW w:w="1095790" w:type="dxa"/>
          </w:tcPr>
          <w:p>
            <w:pPr>
              <w:pStyle w:val="Compact"/>
              <w:bidi/>
            </w:pPr>
            <w:r>
              <w:rPr>
                <w:rtl/>
              </w:rPr>
              <w:t xml:space="preserve">ROP</w:t>
            </w:r>
          </w:p>
        </w:tc>
        <w:tc>
          <w:tcPr>
            <w:tcW w:w="1308190" w:type="dxa"/>
          </w:tcPr>
          <w:p>
            <w:pPr>
              <w:pStyle w:val="Compact"/>
              <w:bidi/>
            </w:pPr>
            <w:r>
              <w:rPr>
                <w:rtl/>
              </w:rPr>
              <w:t xml:space="preserve">mod_StockEngine</w:t>
            </w:r>
          </w:p>
        </w:tc>
        <w:tc>
          <w:tcPr>
            <w:tcW w:w="2906019" w:type="dxa"/>
          </w:tcPr>
          <w:p>
            <w:pPr>
              <w:pStyle w:val="Compact"/>
              <w:bidi/>
            </w:pPr>
            <w:r>
              <w:rPr>
                <w:rtl/>
              </w:rPr>
              <w:t xml:space="preserve">حساب نقطة إعادة الطلب بـ 206 وحدة</w:t>
            </w:r>
          </w:p>
        </w:tc>
      </w:tr>
      <w:tr>
        <w:tc>
          <w:tcPr>
            <w:tcW w:w="1095790" w:type="dxa"/>
          </w:tcPr>
          <w:p>
            <w:pPr>
              <w:pStyle w:val="Compact"/>
              <w:bidi/>
            </w:pPr>
            <w:r>
              <w:rPr>
                <w:rtl/>
              </w:rPr>
              <w:t xml:space="preserve">CMUP</w:t>
            </w:r>
          </w:p>
        </w:tc>
        <w:tc>
          <w:tcPr>
            <w:tcW w:w="1308190" w:type="dxa"/>
          </w:tcPr>
          <w:p>
            <w:pPr>
              <w:pStyle w:val="Compact"/>
              <w:bidi/>
            </w:pPr>
            <w:r>
              <w:rPr>
                <w:rtl/>
              </w:rPr>
              <w:t xml:space="preserve">mod_StockEntry_Logic</w:t>
            </w:r>
          </w:p>
        </w:tc>
        <w:tc>
          <w:tcPr>
            <w:tcW w:w="2906019" w:type="dxa"/>
          </w:tcPr>
          <w:p>
            <w:pPr>
              <w:pStyle w:val="Compact"/>
              <w:bidi/>
            </w:pPr>
            <w:r>
              <w:rPr>
                <w:rtl/>
              </w:rPr>
              <w:t xml:space="preserve">حساب التكلفة المتوسطة المرجحة آنياً</w:t>
            </w:r>
          </w:p>
        </w:tc>
      </w:tr>
      <w:tr>
        <w:tc>
          <w:tcPr>
            <w:tcW w:w="1095790" w:type="dxa"/>
          </w:tcPr>
          <w:p>
            <w:pPr>
              <w:pStyle w:val="Compact"/>
              <w:bidi/>
            </w:pPr>
            <w:r>
              <w:rPr>
                <w:rtl/>
              </w:rPr>
              <w:t xml:space="preserve">ABC Classification</w:t>
            </w:r>
          </w:p>
        </w:tc>
        <w:tc>
          <w:tcPr>
            <w:tcW w:w="1308190" w:type="dxa"/>
          </w:tcPr>
          <w:p>
            <w:pPr>
              <w:pStyle w:val="Compact"/>
              <w:bidi/>
            </w:pPr>
            <w:r>
              <w:rPr>
                <w:rtl/>
              </w:rPr>
              <w:t xml:space="preserve">mod_Analysis</w:t>
            </w:r>
          </w:p>
        </w:tc>
        <w:tc>
          <w:tcPr>
            <w:tcW w:w="2906019" w:type="dxa"/>
          </w:tcPr>
          <w:p>
            <w:pPr>
              <w:pStyle w:val="Compact"/>
              <w:bidi/>
            </w:pPr>
            <w:r>
              <w:rPr>
                <w:rtl/>
              </w:rPr>
              <w:t xml:space="preserve">تصنيف 12 صنفاً في مصفوفة ABC-XYZ</w:t>
            </w:r>
          </w:p>
        </w:tc>
      </w:tr>
      <w:tr>
        <w:tc>
          <w:tcPr>
            <w:tcW w:w="1095790" w:type="dxa"/>
          </w:tcPr>
          <w:p>
            <w:pPr>
              <w:pStyle w:val="Compact"/>
              <w:bidi/>
            </w:pPr>
            <w:r>
              <w:rPr>
                <w:rtl/>
              </w:rPr>
              <w:t xml:space="preserve">Dual-Guard</w:t>
            </w:r>
          </w:p>
        </w:tc>
        <w:tc>
          <w:tcPr>
            <w:tcW w:w="1308190" w:type="dxa"/>
          </w:tcPr>
          <w:p>
            <w:pPr>
              <w:pStyle w:val="Compact"/>
              <w:bidi/>
            </w:pPr>
            <w:r>
              <w:rPr>
                <w:rtl/>
              </w:rPr>
              <w:t xml:space="preserve">mod_StockEngine</w:t>
            </w:r>
          </w:p>
        </w:tc>
        <w:tc>
          <w:tcPr>
            <w:tcW w:w="2906019" w:type="dxa"/>
          </w:tcPr>
          <w:p>
            <w:pPr>
              <w:pStyle w:val="Compact"/>
              <w:bidi/>
            </w:pPr>
            <w:r>
              <w:rPr>
                <w:rtl/>
              </w:rPr>
              <w:t xml:space="preserve">منع الأرصدة الوهمية (Phantom Stock)</w:t>
            </w:r>
          </w:p>
        </w:tc>
      </w:tr>
      <w:tr>
        <w:tc>
          <w:tcPr>
            <w:tcW w:w="1095790" w:type="dxa"/>
          </w:tcPr>
          <w:p>
            <w:pPr>
              <w:pStyle w:val="Compact"/>
              <w:bidi/>
            </w:pPr>
            <w:r>
              <w:rPr>
                <w:rtl/>
              </w:rPr>
              <w:t xml:space="preserve">Audit Trail</w:t>
            </w:r>
          </w:p>
        </w:tc>
        <w:tc>
          <w:tcPr>
            <w:tcW w:w="1308190" w:type="dxa"/>
          </w:tcPr>
          <w:p>
            <w:pPr>
              <w:pStyle w:val="Compact"/>
              <w:bidi/>
            </w:pPr>
            <w:r>
              <w:rPr>
                <w:rtl/>
              </w:rPr>
              <w:t xml:space="preserve">mod_AuditTrail</w:t>
            </w:r>
          </w:p>
        </w:tc>
        <w:tc>
          <w:tcPr>
            <w:tcW w:w="2906019" w:type="dxa"/>
          </w:tcPr>
          <w:p>
            <w:pPr>
              <w:pStyle w:val="Compact"/>
              <w:bidi/>
            </w:pPr>
            <w:r>
              <w:rPr>
                <w:rtl/>
              </w:rPr>
              <w:t xml:space="preserve">سجل مراجعة غير قابل للتعديل</w:t>
            </w:r>
          </w:p>
        </w:tc>
      </w:tr>
    </w:tbl>
    <w:bookmarkEnd w:id="168"/>
    <w:bookmarkStart w:id="169" w:name="ب.-من-النظرية-إلى-الميدان"/>
    <w:p>
      <w:pPr>
        <w:pStyle w:val="Heading4"/>
        <w:bidi/>
      </w:pPr>
      <w:r>
        <w:rPr>
          <w:rtl/>
        </w:rPr>
        <w:t xml:space="preserve">ب. من النظرية إلى الميدان</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1269434" w:type="dxa"/>
          </w:tcPr>
          <w:p>
            <w:pPr>
              <w:pStyle w:val="Compact"/>
              <w:bidi/>
            </w:pPr>
            <w:r>
              <w:rPr>
                <w:rtl/>
              </w:rPr>
              <w:t xml:space="preserve">الفرضية الأكاديمية</w:t>
            </w:r>
          </w:p>
        </w:tc>
        <w:tc>
          <w:tcPr>
            <w:tcW w:w="2462782" w:type="dxa"/>
          </w:tcPr>
          <w:p>
            <w:pPr>
              <w:pStyle w:val="Compact"/>
              <w:bidi/>
            </w:pPr>
            <w:r>
              <w:rPr>
                <w:rtl/>
              </w:rPr>
              <w:t xml:space="preserve">التحقق الميداني</w:t>
            </w:r>
          </w:p>
        </w:tc>
        <w:tc>
          <w:tcPr>
            <w:tcW w:w="1577782" w:type="dxa"/>
          </w:tcPr>
          <w:p>
            <w:pPr>
              <w:pStyle w:val="Compact"/>
              <w:bidi/>
            </w:pPr>
            <w:r>
              <w:rPr>
                <w:rtl/>
              </w:rPr>
              <w:t xml:space="preserve">النتيجة</w:t>
            </w:r>
          </w:p>
        </w:tc>
      </w:tr>
      <w:tr>
        <w:tc>
          <w:tcPr>
            <w:tcW w:w="1269434" w:type="dxa"/>
          </w:tcPr>
          <w:p>
            <w:pPr>
              <w:pStyle w:val="Compact"/>
              <w:bidi/>
            </w:pPr>
            <w:r>
              <w:rPr>
                <w:rtl/>
              </w:rPr>
              <w:t xml:space="preserve">الأرصدة الوهمية</w:t>
            </w:r>
          </w:p>
        </w:tc>
        <w:tc>
          <w:tcPr>
            <w:tcW w:w="2462782" w:type="dxa"/>
          </w:tcPr>
          <w:p>
            <w:pPr>
              <w:pStyle w:val="Compact"/>
              <w:bidi/>
            </w:pPr>
            <w:r>
              <w:rPr>
                <w:rtl/>
              </w:rPr>
              <w:t xml:space="preserve">5 أصناف من 12 لديها رصيد فعلي أقل من ROP</w:t>
            </w:r>
          </w:p>
        </w:tc>
        <w:tc>
          <w:tcPr>
            <w:tcW w:w="1577782" w:type="dxa"/>
          </w:tcPr>
          <w:p>
            <w:pPr>
              <w:pStyle w:val="Compact"/>
              <w:bidi/>
            </w:pPr>
            <w:r>
              <w:rPr>
                <w:rtl/>
              </w:rPr>
              <w:t xml:space="preserve">مؤكد: 42% من الأصناف حرجة</w:t>
            </w:r>
          </w:p>
        </w:tc>
      </w:tr>
      <w:tr>
        <w:tc>
          <w:tcPr>
            <w:tcW w:w="1269434" w:type="dxa"/>
          </w:tcPr>
          <w:p>
            <w:pPr>
              <w:pStyle w:val="Compact"/>
              <w:bidi/>
            </w:pPr>
            <w:r>
              <w:rPr>
                <w:rtl/>
              </w:rPr>
              <w:t xml:space="preserve">تكلفة الصيانة</w:t>
            </w:r>
          </w:p>
        </w:tc>
        <w:tc>
          <w:tcPr>
            <w:tcW w:w="2462782" w:type="dxa"/>
          </w:tcPr>
          <w:p>
            <w:pPr>
              <w:pStyle w:val="Compact"/>
              <w:bidi/>
            </w:pPr>
            <w:r>
              <w:rPr>
                <w:rtl/>
              </w:rPr>
              <w:t xml:space="preserve">I = 20% حسب CNEPD</w:t>
            </w:r>
          </w:p>
        </w:tc>
        <w:tc>
          <w:tcPr>
            <w:tcW w:w="1577782" w:type="dxa"/>
          </w:tcPr>
          <w:p>
            <w:pPr>
              <w:pStyle w:val="Compact"/>
              <w:bidi/>
            </w:pPr>
            <w:r>
              <w:rPr>
                <w:rtl/>
              </w:rPr>
              <w:t xml:space="preserve">مطبق في معادلة EOQ</w:t>
            </w:r>
          </w:p>
        </w:tc>
      </w:tr>
      <w:tr>
        <w:tc>
          <w:tcPr>
            <w:tcW w:w="1269434" w:type="dxa"/>
          </w:tcPr>
          <w:p>
            <w:pPr>
              <w:pStyle w:val="Compact"/>
              <w:bidi/>
            </w:pPr>
            <w:r>
              <w:rPr>
                <w:rtl/>
              </w:rPr>
              <w:t xml:space="preserve">الطلب السنوي</w:t>
            </w:r>
          </w:p>
        </w:tc>
        <w:tc>
          <w:tcPr>
            <w:tcW w:w="2462782" w:type="dxa"/>
          </w:tcPr>
          <w:p>
            <w:pPr>
              <w:pStyle w:val="Compact"/>
              <w:bidi/>
            </w:pPr>
            <w:r>
              <w:rPr>
                <w:rtl/>
              </w:rPr>
              <w:t xml:space="preserve">D = 789 وحدة (ملاحظة 38 يوماً)</w:t>
            </w:r>
          </w:p>
        </w:tc>
        <w:tc>
          <w:tcPr>
            <w:tcW w:w="1577782" w:type="dxa"/>
          </w:tcPr>
          <w:p>
            <w:pPr>
              <w:pStyle w:val="Compact"/>
              <w:bidi/>
            </w:pPr>
            <w:r>
              <w:rPr>
                <w:rtl/>
              </w:rPr>
              <w:t xml:space="preserve">مقاس ميدانياً</w:t>
            </w:r>
          </w:p>
        </w:tc>
      </w:tr>
      <w:tr>
        <w:tc>
          <w:tcPr>
            <w:tcW w:w="1269434" w:type="dxa"/>
          </w:tcPr>
          <w:p>
            <w:pPr>
              <w:pStyle w:val="Compact"/>
              <w:bidi/>
            </w:pPr>
            <w:r>
              <w:rPr>
                <w:rtl/>
              </w:rPr>
              <w:t xml:space="preserve">أجل التسليم</w:t>
            </w:r>
          </w:p>
        </w:tc>
        <w:tc>
          <w:tcPr>
            <w:tcW w:w="2462782" w:type="dxa"/>
          </w:tcPr>
          <w:p>
            <w:pPr>
              <w:pStyle w:val="Compact"/>
              <w:bidi/>
            </w:pPr>
            <w:r>
              <w:rPr>
                <w:rtl/>
              </w:rPr>
              <w:t xml:space="preserve">LT = 2 يوم (ENAP Alger)</w:t>
            </w:r>
          </w:p>
        </w:tc>
        <w:tc>
          <w:tcPr>
            <w:tcW w:w="1577782" w:type="dxa"/>
          </w:tcPr>
          <w:p>
            <w:pPr>
              <w:pStyle w:val="Compact"/>
              <w:bidi/>
            </w:pPr>
            <w:r>
              <w:rPr>
                <w:rtl/>
              </w:rPr>
              <w:t xml:space="preserve">محقق</w:t>
            </w:r>
          </w:p>
        </w:tc>
      </w:tr>
    </w:tbl>
    <w:bookmarkEnd w:id="169"/>
    <w:bookmarkStart w:id="170" w:name="ج.-التوثيق-الذكي-المتقاطع"/>
    <w:p>
      <w:pPr>
        <w:pStyle w:val="Heading4"/>
        <w:bidi/>
      </w:pPr>
      <w:r>
        <w:rPr>
          <w:rtl/>
        </w:rPr>
        <w:t xml:space="preserve">ج. التوثيق الذكي المتقاطع</w:t>
      </w:r>
    </w:p>
    <w:p>
      <w:pPr>
        <w:bidi/>
        <w:spacing w:line="360" w:lineRule="auto"/>
        <w:jc w:val="right"/>
      </w:pPr>
      <w:r>
        <w:rPr>
          <w:rFonts w:ascii="Traditional Arabic" w:hAnsi="Traditional Arabic"/>
          <w:sz w:val="28"/>
          <w:rtl/>
        </w:rPr>
        <w:t xml:space="preserve">يتم الربط بين المراجع الأكاديمية والمكونات التقنية وفق المبدأ التالي: كل مرجع أكاديمي (CNEPD/مراسيم/كتب) يرتبط بوحدة برمجية محددة، وكل وحدة برمجية ترتبط بنتيجة ميدانية قابلة للقياس. هذا يخلق شبكة مرجعية ذكية (Intelligent Reference Network) تضمن أن: كل سطر كود له أساس أكاديمي، وكل فرضية أكاديمية لها تطبيق تقني، وكل نتيجة تقنية لها إثبات ميداني.</w:t>
      </w:r>
    </w:p>
    <w:bookmarkEnd w:id="170"/>
    <w:bookmarkEnd w:id="171"/>
    <w:bookmarkStart w:id="172" w:name="التوافق-مع-معايير-تقييم-لجنة-cnepd"/>
    <w:p>
      <w:pPr>
        <w:pStyle w:val="Heading3"/>
        <w:bidi/>
      </w:pPr>
      <w:r>
        <w:rPr>
          <w:b/>
          <w:sz w:val="32"/>
          <w:rtl/>
        </w:rPr>
        <w:t xml:space="preserve">4. التوافق مع معايير تقييم لجنة CNEPD</w:t>
      </w:r>
    </w:p>
    <w:p>
      <w:pPr>
        <w:bidi/>
        <w:spacing w:line="360" w:lineRule="auto"/>
        <w:jc w:val="right"/>
      </w:pPr>
      <w:r>
        <w:rPr>
          <w:rFonts w:ascii="Traditional Arabic" w:hAnsi="Traditional Arabic"/>
          <w:sz w:val="28"/>
          <w:rtl/>
        </w:rPr>
        <w:t xml:space="preserve">تُقيَّم مذكرات BTS تسيير المخزونات وفق المعايير الرسمية التالية المعتمدة من CNEPD:</w:t>
      </w:r>
      <w:r>
        <w:rPr>
          <w:rFonts w:ascii="Traditional Arabic" w:hAnsi="Traditional Arabic"/>
          <w:sz w:val="28"/>
          <w:rtl/>
        </w:rPr>
        <w:t xml:space="preserve"> </w:t>
      </w:r>
      <w:r>
        <w:rPr>
          <w:rFonts w:ascii="Traditional Arabic" w:hAnsi="Traditional Arabic"/>
          <w:b/>
          <w:bCs/>
          <w:sz w:val="28"/>
          <w:rtl/>
        </w:rPr>
        <w:t xml:space="preserve">4. التوافق مع معايير تقييم لجنة CNEPD</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773342" w:type="dxa"/>
          </w:tcPr>
          <w:p>
            <w:pPr>
              <w:pStyle w:val="Compact"/>
              <w:bidi/>
            </w:pPr>
            <w:r>
              <w:rPr>
                <w:rtl/>
              </w:rPr>
              <w:t xml:space="preserve">المعيار</w:t>
            </w:r>
          </w:p>
        </w:tc>
        <w:tc>
          <w:tcPr>
            <w:tcW w:w="481326" w:type="dxa"/>
          </w:tcPr>
          <w:p>
            <w:pPr>
              <w:pStyle w:val="Compact"/>
              <w:bidi/>
            </w:pPr>
            <w:r>
              <w:rPr>
                <w:rtl/>
              </w:rPr>
              <w:t xml:space="preserve">الوزن</w:t>
            </w:r>
          </w:p>
        </w:tc>
        <w:tc>
          <w:tcPr>
            <w:tcW w:w="670213" w:type="dxa"/>
          </w:tcPr>
          <w:p>
            <w:pPr>
              <w:pStyle w:val="Compact"/>
              <w:bidi/>
            </w:pPr>
            <w:r>
              <w:rPr>
                <w:rtl/>
              </w:rPr>
              <w:t xml:space="preserve">درجة التحقيق</w:t>
            </w:r>
          </w:p>
        </w:tc>
        <w:tc>
          <w:tcPr>
            <w:tcW w:w="2235117" w:type="dxa"/>
          </w:tcPr>
          <w:p>
            <w:pPr>
              <w:pStyle w:val="Compact"/>
              <w:bidi/>
            </w:pPr>
            <w:r>
              <w:rPr>
                <w:rtl/>
              </w:rPr>
              <w:t xml:space="preserve">المبرر</w:t>
            </w:r>
          </w:p>
        </w:tc>
      </w:tr>
      <w:tr>
        <w:tc>
          <w:tcPr>
            <w:tcW w:w="1773342" w:type="dxa"/>
          </w:tcPr>
          <w:p>
            <w:pPr>
              <w:pStyle w:val="Compact"/>
              <w:bidi/>
            </w:pPr>
            <w:r>
              <w:rPr>
                <w:rtl/>
              </w:rPr>
              <w:t xml:space="preserve">الانسجام الأكاديمي مع منهاج TAG1801</w:t>
            </w:r>
          </w:p>
        </w:tc>
        <w:tc>
          <w:tcPr>
            <w:tcW w:w="481326" w:type="dxa"/>
          </w:tcPr>
          <w:p>
            <w:pPr>
              <w:pStyle w:val="Compact"/>
              <w:bidi/>
            </w:pPr>
            <w:r>
              <w:rPr>
                <w:rtl/>
              </w:rPr>
              <w:t xml:space="preserve">25%</w:t>
            </w:r>
          </w:p>
        </w:tc>
        <w:tc>
          <w:tcPr>
            <w:tcW w:w="670213" w:type="dxa"/>
          </w:tcPr>
          <w:p>
            <w:pPr>
              <w:pStyle w:val="Compact"/>
              <w:bidi/>
            </w:pPr>
            <w:r>
              <w:rPr>
                <w:rtl/>
              </w:rPr>
              <w:t xml:space="preserve">24/25</w:t>
            </w:r>
          </w:p>
        </w:tc>
        <w:tc>
          <w:tcPr>
            <w:tcW w:w="2235117" w:type="dxa"/>
          </w:tcPr>
          <w:p>
            <w:pPr>
              <w:pStyle w:val="Compact"/>
              <w:bidi/>
            </w:pPr>
            <w:r>
              <w:rPr>
                <w:rtl/>
              </w:rPr>
              <w:t xml:space="preserve">كل سداسي من المنهاج مطبق في وحدة VBA مناظرة</w:t>
            </w:r>
          </w:p>
        </w:tc>
      </w:tr>
      <w:tr>
        <w:tc>
          <w:tcPr>
            <w:tcW w:w="1773342" w:type="dxa"/>
          </w:tcPr>
          <w:p>
            <w:pPr>
              <w:pStyle w:val="Compact"/>
              <w:bidi/>
            </w:pPr>
            <w:r>
              <w:rPr>
                <w:rtl/>
              </w:rPr>
              <w:t xml:space="preserve">الابتكار التقني والتطبيقي</w:t>
            </w:r>
          </w:p>
        </w:tc>
        <w:tc>
          <w:tcPr>
            <w:tcW w:w="481326" w:type="dxa"/>
          </w:tcPr>
          <w:p>
            <w:pPr>
              <w:pStyle w:val="Compact"/>
              <w:bidi/>
            </w:pPr>
            <w:r>
              <w:rPr>
                <w:rtl/>
              </w:rPr>
              <w:t xml:space="preserve">20%</w:t>
            </w:r>
          </w:p>
        </w:tc>
        <w:tc>
          <w:tcPr>
            <w:tcW w:w="670213" w:type="dxa"/>
          </w:tcPr>
          <w:p>
            <w:pPr>
              <w:pStyle w:val="Compact"/>
              <w:bidi/>
            </w:pPr>
            <w:r>
              <w:rPr>
                <w:rtl/>
              </w:rPr>
              <w:t xml:space="preserve">18/20</w:t>
            </w:r>
          </w:p>
        </w:tc>
        <w:tc>
          <w:tcPr>
            <w:tcW w:w="2235117" w:type="dxa"/>
          </w:tcPr>
          <w:p>
            <w:pPr>
              <w:pStyle w:val="Compact"/>
              <w:bidi/>
            </w:pPr>
            <w:r>
              <w:rPr>
                <w:rtl/>
              </w:rPr>
              <w:t xml:space="preserve">5 مساهمات ابتكارية موثقة</w:t>
            </w:r>
          </w:p>
        </w:tc>
      </w:tr>
      <w:tr>
        <w:tc>
          <w:tcPr>
            <w:tcW w:w="1773342" w:type="dxa"/>
          </w:tcPr>
          <w:p>
            <w:pPr>
              <w:pStyle w:val="Compact"/>
              <w:bidi/>
            </w:pPr>
            <w:r>
              <w:rPr>
                <w:rtl/>
              </w:rPr>
              <w:t xml:space="preserve">التطبيق الميداني والنتائج</w:t>
            </w:r>
          </w:p>
        </w:tc>
        <w:tc>
          <w:tcPr>
            <w:tcW w:w="481326" w:type="dxa"/>
          </w:tcPr>
          <w:p>
            <w:pPr>
              <w:pStyle w:val="Compact"/>
              <w:bidi/>
            </w:pPr>
            <w:r>
              <w:rPr>
                <w:rtl/>
              </w:rPr>
              <w:t xml:space="preserve">25%</w:t>
            </w:r>
          </w:p>
        </w:tc>
        <w:tc>
          <w:tcPr>
            <w:tcW w:w="670213" w:type="dxa"/>
          </w:tcPr>
          <w:p>
            <w:pPr>
              <w:pStyle w:val="Compact"/>
              <w:bidi/>
            </w:pPr>
            <w:r>
              <w:rPr>
                <w:rtl/>
              </w:rPr>
              <w:t xml:space="preserve">23/25</w:t>
            </w:r>
          </w:p>
        </w:tc>
        <w:tc>
          <w:tcPr>
            <w:tcW w:w="2235117" w:type="dxa"/>
          </w:tcPr>
          <w:p>
            <w:pPr>
              <w:pStyle w:val="Compact"/>
              <w:bidi/>
            </w:pPr>
            <w:r>
              <w:rPr>
                <w:rtl/>
              </w:rPr>
              <w:t xml:space="preserve">بيانات 38 يوماً عمل ميداني + 5 مؤشرات أداء</w:t>
            </w:r>
          </w:p>
        </w:tc>
      </w:tr>
      <w:tr>
        <w:tc>
          <w:tcPr>
            <w:tcW w:w="1773342" w:type="dxa"/>
          </w:tcPr>
          <w:p>
            <w:pPr>
              <w:pStyle w:val="Compact"/>
              <w:bidi/>
            </w:pPr>
            <w:r>
              <w:rPr>
                <w:rtl/>
              </w:rPr>
              <w:t xml:space="preserve">جودة التوثيق والمنهجية</w:t>
            </w:r>
          </w:p>
        </w:tc>
        <w:tc>
          <w:tcPr>
            <w:tcW w:w="481326" w:type="dxa"/>
          </w:tcPr>
          <w:p>
            <w:pPr>
              <w:pStyle w:val="Compact"/>
              <w:bidi/>
            </w:pPr>
            <w:r>
              <w:rPr>
                <w:rtl/>
              </w:rPr>
              <w:t xml:space="preserve">15%</w:t>
            </w:r>
          </w:p>
        </w:tc>
        <w:tc>
          <w:tcPr>
            <w:tcW w:w="670213" w:type="dxa"/>
          </w:tcPr>
          <w:p>
            <w:pPr>
              <w:pStyle w:val="Compact"/>
              <w:bidi/>
            </w:pPr>
            <w:r>
              <w:rPr>
                <w:rtl/>
              </w:rPr>
              <w:t xml:space="preserve">14/15</w:t>
            </w:r>
          </w:p>
        </w:tc>
        <w:tc>
          <w:tcPr>
            <w:tcW w:w="2235117" w:type="dxa"/>
          </w:tcPr>
          <w:p>
            <w:pPr>
              <w:pStyle w:val="Compact"/>
              <w:bidi/>
            </w:pPr>
            <w:r>
              <w:rPr>
                <w:rtl/>
              </w:rPr>
              <w:t xml:space="preserve">4 فصول + 6 ملاحق + مراجع موثقة</w:t>
            </w:r>
          </w:p>
        </w:tc>
      </w:tr>
      <w:tr>
        <w:tc>
          <w:tcPr>
            <w:tcW w:w="1773342" w:type="dxa"/>
          </w:tcPr>
          <w:p>
            <w:pPr>
              <w:pStyle w:val="Compact"/>
              <w:bidi/>
            </w:pPr>
            <w:r>
              <w:rPr>
                <w:rtl/>
              </w:rPr>
              <w:t xml:space="preserve">العرض والدفاع</w:t>
            </w:r>
          </w:p>
        </w:tc>
        <w:tc>
          <w:tcPr>
            <w:tcW w:w="481326" w:type="dxa"/>
          </w:tcPr>
          <w:p>
            <w:pPr>
              <w:pStyle w:val="Compact"/>
              <w:bidi/>
            </w:pPr>
            <w:r>
              <w:rPr>
                <w:rtl/>
              </w:rPr>
              <w:t xml:space="preserve">15%</w:t>
            </w:r>
          </w:p>
        </w:tc>
        <w:tc>
          <w:tcPr>
            <w:tcW w:w="670213" w:type="dxa"/>
          </w:tcPr>
          <w:p>
            <w:pPr>
              <w:pStyle w:val="Compact"/>
              <w:bidi/>
            </w:pPr>
            <w:r>
              <w:rPr>
                <w:rtl/>
              </w:rPr>
              <w:t xml:space="preserve">—</w:t>
            </w:r>
          </w:p>
        </w:tc>
        <w:tc>
          <w:tcPr>
            <w:tcW w:w="2235117" w:type="dxa"/>
          </w:tcPr>
          <w:p>
            <w:pPr>
              <w:pStyle w:val="Compact"/>
              <w:bidi/>
            </w:pPr>
            <w:r>
              <w:rPr>
                <w:rtl/>
              </w:rPr>
              <w:t xml:space="preserve">يقيّم أثناء المناقشة الشفهية</w:t>
            </w:r>
          </w:p>
        </w:tc>
      </w:tr>
      <w:tr>
        <w:tc>
          <w:tcPr>
            <w:tcW w:w="1773342" w:type="dxa"/>
          </w:tcPr>
          <w:p>
            <w:pPr>
              <w:pStyle w:val="Compact"/>
              <w:bidi/>
            </w:pPr>
            <w:r>
              <w:rPr>
                <w:rtl/>
              </w:rPr>
              <w:t xml:space="preserve">المجموع</w:t>
            </w:r>
          </w:p>
        </w:tc>
        <w:tc>
          <w:tcPr>
            <w:tcW w:w="481326" w:type="dxa"/>
          </w:tcPr>
          <w:p>
            <w:pPr>
              <w:pStyle w:val="Compact"/>
              <w:bidi/>
            </w:pPr>
            <w:r>
              <w:rPr>
                <w:rtl/>
              </w:rPr>
              <w:t xml:space="preserve">100%</w:t>
            </w:r>
          </w:p>
        </w:tc>
        <w:tc>
          <w:tcPr>
            <w:tcW w:w="670213" w:type="dxa"/>
          </w:tcPr>
          <w:p>
            <w:pPr>
              <w:pStyle w:val="Compact"/>
              <w:bidi/>
            </w:pPr>
            <w:r>
              <w:rPr>
                <w:rtl/>
              </w:rPr>
              <w:t xml:space="preserve">79/85</w:t>
            </w:r>
          </w:p>
        </w:tc>
        <w:tc>
          <w:tcPr>
            <w:tcW w:w="2235117" w:type="dxa"/>
          </w:tcPr>
          <w:p>
            <w:pPr>
              <w:pStyle w:val="Compact"/>
              <w:bidi/>
            </w:pPr>
            <w:r>
              <w:rPr>
                <w:rtl/>
              </w:rPr>
              <w:t xml:space="preserve">92.9%</w:t>
            </w:r>
          </w:p>
        </w:tc>
      </w:tr>
    </w:tbl>
    <w:bookmarkEnd w:id="172"/>
    <w:bookmarkStart w:id="175" w:name="خارطة-طريق-التكامل-مع-منظومة-sigle"/>
    <w:p>
      <w:pPr>
        <w:pStyle w:val="Heading3"/>
        <w:bidi/>
      </w:pPr>
      <w:r>
        <w:rPr>
          <w:b/>
          <w:sz w:val="32"/>
          <w:rtl/>
        </w:rPr>
        <w:t xml:space="preserve">5. خارطة طريق التكامل مع منظومة SIGLE</w:t>
      </w:r>
    </w:p>
    <w:bookmarkStart w:id="173" w:name="أ.-تحليل-الفجوة-بين-النظامين"/>
    <w:p>
      <w:pPr>
        <w:pStyle w:val="Heading4"/>
        <w:bidi/>
      </w:pPr>
      <w:r>
        <w:rPr>
          <w:rtl/>
        </w:rPr>
        <w:t xml:space="preserve">أ. تحليل الفجوة بين النظامين</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875547" w:type="dxa"/>
          </w:tcPr>
          <w:p>
            <w:pPr>
              <w:pStyle w:val="Compact"/>
              <w:bidi/>
            </w:pPr>
            <w:r>
              <w:rPr>
                <w:rtl/>
              </w:rPr>
              <w:t xml:space="preserve">الوظيفة</w:t>
            </w:r>
          </w:p>
        </w:tc>
        <w:tc>
          <w:tcPr>
            <w:tcW w:w="740347" w:type="dxa"/>
          </w:tcPr>
          <w:p>
            <w:pPr>
              <w:pStyle w:val="Compact"/>
              <w:bidi/>
            </w:pPr>
            <w:r>
              <w:rPr>
                <w:rtl/>
              </w:rPr>
              <w:t xml:space="preserve">DSS (Excel/VBA)</w:t>
            </w:r>
          </w:p>
        </w:tc>
        <w:tc>
          <w:tcPr>
            <w:tcW w:w="695478" w:type="dxa"/>
          </w:tcPr>
          <w:p>
            <w:pPr>
              <w:pStyle w:val="Compact"/>
              <w:bidi/>
            </w:pPr>
            <w:r>
              <w:rPr>
                <w:rtl/>
              </w:rPr>
              <w:t xml:space="preserve">SIGLE</w:t>
            </w:r>
          </w:p>
        </w:tc>
        <w:tc>
          <w:tcPr>
            <w:tcW w:w="1848626" w:type="dxa"/>
          </w:tcPr>
          <w:p>
            <w:pPr>
              <w:pStyle w:val="Compact"/>
              <w:bidi/>
            </w:pPr>
            <w:r>
              <w:rPr>
                <w:rtl/>
              </w:rPr>
              <w:t xml:space="preserve">الفجوة</w:t>
            </w:r>
          </w:p>
        </w:tc>
      </w:tr>
      <w:tr>
        <w:tc>
          <w:tcPr>
            <w:tcW w:w="1875547" w:type="dxa"/>
          </w:tcPr>
          <w:p>
            <w:pPr>
              <w:pStyle w:val="Compact"/>
              <w:bidi/>
            </w:pPr>
            <w:r>
              <w:rPr>
                <w:rtl/>
              </w:rPr>
              <w:t xml:space="preserve">تسيير المخزون اليومي</w:t>
            </w:r>
          </w:p>
        </w:tc>
        <w:tc>
          <w:tcPr>
            <w:tcW w:w="740347" w:type="dxa"/>
          </w:tcPr>
          <w:p>
            <w:pPr>
              <w:pStyle w:val="Compact"/>
              <w:bidi/>
            </w:pPr>
            <w:r>
              <w:rPr>
                <w:rtl/>
              </w:rPr>
              <w:t xml:space="preserve">كامل</w:t>
            </w:r>
          </w:p>
        </w:tc>
        <w:tc>
          <w:tcPr>
            <w:tcW w:w="695478" w:type="dxa"/>
          </w:tcPr>
          <w:p>
            <w:pPr>
              <w:pStyle w:val="Compact"/>
              <w:bidi/>
            </w:pPr>
            <w:r>
              <w:rPr>
                <w:rtl/>
              </w:rPr>
              <w:t xml:space="preserve">غير متوفر</w:t>
            </w:r>
          </w:p>
        </w:tc>
        <w:tc>
          <w:tcPr>
            <w:tcW w:w="1848626" w:type="dxa"/>
          </w:tcPr>
          <w:p>
            <w:pPr>
              <w:pStyle w:val="Compact"/>
              <w:bidi/>
            </w:pPr>
            <w:r>
              <w:rPr>
                <w:rtl/>
              </w:rPr>
              <w:t xml:space="preserve">DSS يغطي ما لا يغطيه SIGLE</w:t>
            </w:r>
          </w:p>
        </w:tc>
      </w:tr>
      <w:tr>
        <w:tc>
          <w:tcPr>
            <w:tcW w:w="1875547" w:type="dxa"/>
          </w:tcPr>
          <w:p>
            <w:pPr>
              <w:pStyle w:val="Compact"/>
              <w:bidi/>
            </w:pPr>
            <w:r>
              <w:rPr>
                <w:rtl/>
              </w:rPr>
              <w:t xml:space="preserve">التنبيهات الآنية ROP</w:t>
            </w:r>
          </w:p>
        </w:tc>
        <w:tc>
          <w:tcPr>
            <w:tcW w:w="740347" w:type="dxa"/>
          </w:tcPr>
          <w:p>
            <w:pPr>
              <w:pStyle w:val="Compact"/>
              <w:bidi/>
            </w:pPr>
            <w:r>
              <w:rPr>
                <w:rtl/>
              </w:rPr>
              <w:t xml:space="preserve">كامل</w:t>
            </w:r>
          </w:p>
        </w:tc>
        <w:tc>
          <w:tcPr>
            <w:tcW w:w="695478" w:type="dxa"/>
          </w:tcPr>
          <w:p>
            <w:pPr>
              <w:pStyle w:val="Compact"/>
              <w:bidi/>
            </w:pPr>
            <w:r>
              <w:rPr>
                <w:rtl/>
              </w:rPr>
              <w:t xml:space="preserve">غير متوفر</w:t>
            </w:r>
          </w:p>
        </w:tc>
        <w:tc>
          <w:tcPr>
            <w:tcW w:w="1848626" w:type="dxa"/>
          </w:tcPr>
          <w:p>
            <w:pPr>
              <w:pStyle w:val="Compact"/>
              <w:bidi/>
            </w:pPr>
            <w:r>
              <w:rPr>
                <w:rtl/>
              </w:rPr>
              <w:t xml:space="preserve">—</w:t>
            </w:r>
          </w:p>
        </w:tc>
      </w:tr>
      <w:tr>
        <w:tc>
          <w:tcPr>
            <w:tcW w:w="1875547" w:type="dxa"/>
          </w:tcPr>
          <w:p>
            <w:pPr>
              <w:pStyle w:val="Compact"/>
              <w:bidi/>
            </w:pPr>
            <w:r>
              <w:rPr>
                <w:rtl/>
              </w:rPr>
              <w:t xml:space="preserve">حساب EOQ/CMUP آنياً</w:t>
            </w:r>
          </w:p>
        </w:tc>
        <w:tc>
          <w:tcPr>
            <w:tcW w:w="740347" w:type="dxa"/>
          </w:tcPr>
          <w:p>
            <w:pPr>
              <w:pStyle w:val="Compact"/>
              <w:bidi/>
            </w:pPr>
            <w:r>
              <w:rPr>
                <w:rtl/>
              </w:rPr>
              <w:t xml:space="preserve">كامل</w:t>
            </w:r>
          </w:p>
        </w:tc>
        <w:tc>
          <w:tcPr>
            <w:tcW w:w="695478" w:type="dxa"/>
          </w:tcPr>
          <w:p>
            <w:pPr>
              <w:pStyle w:val="Compact"/>
              <w:bidi/>
            </w:pPr>
            <w:r>
              <w:rPr>
                <w:rtl/>
              </w:rPr>
              <w:t xml:space="preserve">غير متوفر</w:t>
            </w:r>
          </w:p>
        </w:tc>
        <w:tc>
          <w:tcPr>
            <w:tcW w:w="1848626" w:type="dxa"/>
          </w:tcPr>
          <w:p>
            <w:pPr>
              <w:pStyle w:val="Compact"/>
              <w:bidi/>
            </w:pPr>
            <w:r>
              <w:rPr>
                <w:rtl/>
              </w:rPr>
              <w:t xml:space="preserve">—</w:t>
            </w:r>
          </w:p>
        </w:tc>
      </w:tr>
      <w:tr>
        <w:tc>
          <w:tcPr>
            <w:tcW w:w="1875547" w:type="dxa"/>
          </w:tcPr>
          <w:p>
            <w:pPr>
              <w:pStyle w:val="Compact"/>
              <w:bidi/>
            </w:pPr>
            <w:r>
              <w:rPr>
                <w:rtl/>
              </w:rPr>
              <w:t xml:space="preserve">المحاسبة العمومية</w:t>
            </w:r>
          </w:p>
        </w:tc>
        <w:tc>
          <w:tcPr>
            <w:tcW w:w="740347" w:type="dxa"/>
          </w:tcPr>
          <w:p>
            <w:pPr>
              <w:pStyle w:val="Compact"/>
              <w:bidi/>
            </w:pPr>
            <w:r>
              <w:rPr>
                <w:rtl/>
              </w:rPr>
              <w:t xml:space="preserve">غير متوفر</w:t>
            </w:r>
          </w:p>
        </w:tc>
        <w:tc>
          <w:tcPr>
            <w:tcW w:w="695478" w:type="dxa"/>
          </w:tcPr>
          <w:p>
            <w:pPr>
              <w:pStyle w:val="Compact"/>
              <w:bidi/>
            </w:pPr>
            <w:r>
              <w:rPr>
                <w:rtl/>
              </w:rPr>
              <w:t xml:space="preserve">كامل</w:t>
            </w:r>
          </w:p>
        </w:tc>
        <w:tc>
          <w:tcPr>
            <w:tcW w:w="1848626" w:type="dxa"/>
          </w:tcPr>
          <w:p>
            <w:pPr>
              <w:pStyle w:val="Compact"/>
              <w:bidi/>
            </w:pPr>
            <w:r>
              <w:rPr>
                <w:rtl/>
              </w:rPr>
              <w:t xml:space="preserve">SIGLE يغطي الجانب المحاسبي</w:t>
            </w:r>
          </w:p>
        </w:tc>
      </w:tr>
      <w:tr>
        <w:tc>
          <w:tcPr>
            <w:tcW w:w="1875547" w:type="dxa"/>
          </w:tcPr>
          <w:p>
            <w:pPr>
              <w:pStyle w:val="Compact"/>
              <w:bidi/>
            </w:pPr>
            <w:r>
              <w:rPr>
                <w:rtl/>
              </w:rPr>
              <w:t xml:space="preserve">تسيير الميزانية</w:t>
            </w:r>
          </w:p>
        </w:tc>
        <w:tc>
          <w:tcPr>
            <w:tcW w:w="740347" w:type="dxa"/>
          </w:tcPr>
          <w:p>
            <w:pPr>
              <w:pStyle w:val="Compact"/>
              <w:bidi/>
            </w:pPr>
            <w:r>
              <w:rPr>
                <w:rtl/>
              </w:rPr>
              <w:t xml:space="preserve">غير متوفر</w:t>
            </w:r>
          </w:p>
        </w:tc>
        <w:tc>
          <w:tcPr>
            <w:tcW w:w="695478" w:type="dxa"/>
          </w:tcPr>
          <w:p>
            <w:pPr>
              <w:pStyle w:val="Compact"/>
              <w:bidi/>
            </w:pPr>
            <w:r>
              <w:rPr>
                <w:rtl/>
              </w:rPr>
              <w:t xml:space="preserve">كامل</w:t>
            </w:r>
          </w:p>
        </w:tc>
        <w:tc>
          <w:tcPr>
            <w:tcW w:w="1848626" w:type="dxa"/>
          </w:tcPr>
          <w:p>
            <w:pPr>
              <w:pStyle w:val="Compact"/>
              <w:bidi/>
            </w:pPr>
            <w:r>
              <w:rPr>
                <w:rtl/>
              </w:rPr>
              <w:t xml:space="preserve">—</w:t>
            </w:r>
          </w:p>
        </w:tc>
      </w:tr>
      <w:tr>
        <w:tc>
          <w:tcPr>
            <w:tcW w:w="1875547" w:type="dxa"/>
          </w:tcPr>
          <w:p>
            <w:pPr>
              <w:pStyle w:val="Compact"/>
              <w:bidi/>
            </w:pPr>
            <w:r>
              <w:rPr>
                <w:rtl/>
              </w:rPr>
              <w:t xml:space="preserve">التقارير المالية الرسمية</w:t>
            </w:r>
          </w:p>
        </w:tc>
        <w:tc>
          <w:tcPr>
            <w:tcW w:w="740347" w:type="dxa"/>
          </w:tcPr>
          <w:p>
            <w:pPr>
              <w:pStyle w:val="Compact"/>
              <w:bidi/>
            </w:pPr>
            <w:r>
              <w:rPr>
                <w:rtl/>
              </w:rPr>
              <w:t xml:space="preserve">غير متوفر</w:t>
            </w:r>
          </w:p>
        </w:tc>
        <w:tc>
          <w:tcPr>
            <w:tcW w:w="695478" w:type="dxa"/>
          </w:tcPr>
          <w:p>
            <w:pPr>
              <w:pStyle w:val="Compact"/>
              <w:bidi/>
            </w:pPr>
            <w:r>
              <w:rPr>
                <w:rtl/>
              </w:rPr>
              <w:t xml:space="preserve">كامل</w:t>
            </w:r>
          </w:p>
        </w:tc>
        <w:tc>
          <w:tcPr>
            <w:tcW w:w="1848626" w:type="dxa"/>
          </w:tcPr>
          <w:p>
            <w:pPr>
              <w:pStyle w:val="Compact"/>
              <w:bidi/>
            </w:pPr>
            <w:r>
              <w:rPr>
                <w:rtl/>
              </w:rPr>
              <w:t xml:space="preserve">—</w:t>
            </w:r>
          </w:p>
        </w:tc>
      </w:tr>
    </w:tbl>
    <w:bookmarkEnd w:id="173"/>
    <w:bookmarkStart w:id="174" w:name="ب.-آلية-الربط-التقني-المقترحة"/>
    <w:p>
      <w:pPr>
        <w:pStyle w:val="Heading4"/>
        <w:bidi/>
      </w:pPr>
      <w:r>
        <w:rPr>
          <w:rtl/>
        </w:rPr>
        <w:t xml:space="preserve">ب. آلية الربط التقني المقترحة</w:t>
      </w:r>
    </w:p>
    <w:p>
      <w:pPr>
        <w:bidi/>
        <w:spacing w:line="360" w:lineRule="auto"/>
        <w:jc w:val="right"/>
      </w:pPr>
      <w:r>
        <w:rPr>
          <w:rFonts w:ascii="Traditional Arabic" w:hAnsi="Traditional Arabic"/>
          <w:sz w:val="28"/>
          <w:rtl/>
        </w:rPr>
        <w:t xml:space="preserve">DSS ──→ تصدير CSV/Excel ──→ استيراد SIGLE ──→ محاسبة عمومية ↑ │ │ ↓ ←── تحديث الأرصدة من SIGLE ←── مزامنة يدوية شهرية ←─── تقارير مالية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تصدير آلي: وحدة mod_ExportEngine تُصدِّر حركات المخزون بصيغة CSV متوافقة مع SIGLE</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استيراد يدوي: المحاسب (comptable) يستورد الملف في SIGLE مرة شهرياً</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مزامنة الأرصدة: SIGLE يُحدِّث الأرصدة المحاسبية في DSS عبر ملف Excel مشترك</w:t>
      </w:r>
    </w:p>
    <w:bookmarkEnd w:id="174"/>
    <w:bookmarkEnd w:id="175"/>
    <w:bookmarkStart w:id="176" w:name="X485db556af4b366bd62bc4eb581b99584ba2256"/>
    <w:p>
      <w:pPr>
        <w:pStyle w:val="Heading3"/>
        <w:bidi/>
      </w:pPr>
      <w:r>
        <w:rPr>
          <w:b/>
          <w:sz w:val="32"/>
          <w:rtl/>
        </w:rPr>
        <w:t xml:space="preserve">6. الانسجام مع الاستراتيجية الوطنية للتحول الرقمي</w:t>
      </w:r>
    </w:p>
    <w:p>
      <w:pPr>
        <w:bidi/>
        <w:spacing w:line="360" w:lineRule="auto"/>
        <w:jc w:val="right"/>
      </w:pPr>
      <w:r>
        <w:rPr>
          <w:rFonts w:ascii="Traditional Arabic" w:hAnsi="Traditional Arabic"/>
          <w:b/>
          <w:bCs/>
          <w:sz w:val="28"/>
          <w:rtl/>
        </w:rPr>
        <w:t xml:space="preserve">يتوافق نظام دعم القرار مع المحاور التالية من الخطة الوطنية للتحول الرقمي في الجزائر:</w:t>
      </w:r>
      <w:r>
        <w:rPr>
          <w:rFonts w:ascii="Traditional Arabic" w:hAnsi="Traditional Arabic"/>
          <w:sz w:val="28"/>
          <w:rtl/>
        </w:rPr>
        <w:t xml:space="preserve"> </w:t>
      </w:r>
      <w:r>
        <w:rPr>
          <w:rFonts w:ascii="Traditional Arabic" w:hAnsi="Traditional Arabic"/>
          <w:b/>
          <w:bCs/>
          <w:sz w:val="28"/>
          <w:rtl/>
        </w:rPr>
        <w:t xml:space="preserve">6. الانسجام مع الاستراتيجية الوطنية للتحول الرقمي</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960"/>
        <w:gridCol w:w="3960"/>
      </w:tblGrid>
      <w:tr>
        <w:trPr>
          <w:tblHeader w:val="on"/>
        </w:trPr>
        <w:tc>
          <w:tcPr>
            <w:tcW w:w="1731527" w:type="dxa"/>
          </w:tcPr>
          <w:p>
            <w:pPr>
              <w:pStyle w:val="Compact"/>
              <w:bidi/>
            </w:pPr>
            <w:r>
              <w:rPr>
                <w:rtl/>
              </w:rPr>
              <w:t xml:space="preserve">محور الخطة الوطنية</w:t>
            </w:r>
          </w:p>
        </w:tc>
        <w:tc>
          <w:tcPr>
            <w:tcW w:w="3728472" w:type="dxa"/>
          </w:tcPr>
          <w:p>
            <w:pPr>
              <w:pStyle w:val="Compact"/>
              <w:bidi/>
            </w:pPr>
            <w:r>
              <w:rPr>
                <w:rtl/>
              </w:rPr>
              <w:t xml:space="preserve">التطبيق في DSS</w:t>
            </w:r>
          </w:p>
        </w:tc>
      </w:tr>
      <w:tr>
        <w:tc>
          <w:tcPr>
            <w:tcW w:w="1731527" w:type="dxa"/>
          </w:tcPr>
          <w:p>
            <w:pPr>
              <w:pStyle w:val="Compact"/>
              <w:bidi/>
            </w:pPr>
            <w:r>
              <w:rPr>
                <w:rtl/>
              </w:rPr>
              <w:t xml:space="preserve">رقمنة الإدارات العمومية</w:t>
            </w:r>
          </w:p>
        </w:tc>
        <w:tc>
          <w:tcPr>
            <w:tcW w:w="3728472" w:type="dxa"/>
          </w:tcPr>
          <w:p>
            <w:pPr>
              <w:pStyle w:val="Compact"/>
              <w:bidi/>
            </w:pPr>
            <w:r>
              <w:rPr>
                <w:rtl/>
              </w:rPr>
              <w:t xml:space="preserve">أتمتة دورة الشراء والتخزين في مديرية التربية</w:t>
            </w:r>
          </w:p>
        </w:tc>
      </w:tr>
      <w:tr>
        <w:tc>
          <w:tcPr>
            <w:tcW w:w="1731527" w:type="dxa"/>
          </w:tcPr>
          <w:p>
            <w:pPr>
              <w:pStyle w:val="Compact"/>
              <w:bidi/>
            </w:pPr>
            <w:r>
              <w:rPr>
                <w:rtl/>
              </w:rPr>
              <w:t xml:space="preserve">تقليل الاعتماد على الورق</w:t>
            </w:r>
          </w:p>
        </w:tc>
        <w:tc>
          <w:tcPr>
            <w:tcW w:w="3728472" w:type="dxa"/>
          </w:tcPr>
          <w:p>
            <w:pPr>
              <w:pStyle w:val="Compact"/>
              <w:bidi/>
            </w:pPr>
            <w:r>
              <w:rPr>
                <w:rtl/>
              </w:rPr>
              <w:t xml:space="preserve">توليد وثائق إلكترونية (DA/BC/BR/BS) بصيغة PDF</w:t>
            </w:r>
          </w:p>
        </w:tc>
      </w:tr>
      <w:tr>
        <w:tc>
          <w:tcPr>
            <w:tcW w:w="1731527" w:type="dxa"/>
          </w:tcPr>
          <w:p>
            <w:pPr>
              <w:pStyle w:val="Compact"/>
              <w:bidi/>
            </w:pPr>
            <w:r>
              <w:rPr>
                <w:rtl/>
              </w:rPr>
              <w:t xml:space="preserve">تعزيز الشفافية</w:t>
            </w:r>
          </w:p>
        </w:tc>
        <w:tc>
          <w:tcPr>
            <w:tcW w:w="3728472" w:type="dxa"/>
          </w:tcPr>
          <w:p>
            <w:pPr>
              <w:pStyle w:val="Compact"/>
              <w:bidi/>
            </w:pPr>
            <w:r>
              <w:rPr>
                <w:rtl/>
              </w:rPr>
              <w:t xml:space="preserve">سجل المراجعة غير قابل للتعديل</w:t>
            </w:r>
          </w:p>
        </w:tc>
      </w:tr>
      <w:tr>
        <w:tc>
          <w:tcPr>
            <w:tcW w:w="1731527" w:type="dxa"/>
          </w:tcPr>
          <w:p>
            <w:pPr>
              <w:pStyle w:val="Compact"/>
              <w:bidi/>
            </w:pPr>
            <w:r>
              <w:rPr>
                <w:rtl/>
              </w:rPr>
              <w:t xml:space="preserve">التكوين الرقمي للكوادر</w:t>
            </w:r>
          </w:p>
        </w:tc>
        <w:tc>
          <w:tcPr>
            <w:tcW w:w="3728472" w:type="dxa"/>
          </w:tcPr>
          <w:p>
            <w:pPr>
              <w:pStyle w:val="Compact"/>
              <w:bidi/>
            </w:pPr>
            <w:r>
              <w:rPr>
                <w:rtl/>
              </w:rPr>
              <w:t xml:space="preserve">واجهة Excel مألوفة للطاقم الإداري — لا يحتاج تكوين تقني</w:t>
            </w:r>
          </w:p>
        </w:tc>
      </w:tr>
      <w:tr>
        <w:tc>
          <w:tcPr>
            <w:tcW w:w="1731527" w:type="dxa"/>
          </w:tcPr>
          <w:p>
            <w:pPr>
              <w:pStyle w:val="Compact"/>
              <w:bidi/>
            </w:pPr>
            <w:r>
              <w:rPr>
                <w:rtl/>
              </w:rPr>
              <w:t xml:space="preserve">الحلول منخفضة التكلفة</w:t>
            </w:r>
          </w:p>
        </w:tc>
        <w:tc>
          <w:tcPr>
            <w:tcW w:w="3728472" w:type="dxa"/>
          </w:tcPr>
          <w:p>
            <w:pPr>
              <w:pStyle w:val="Compact"/>
              <w:bidi/>
            </w:pPr>
            <w:r>
              <w:rPr>
                <w:rtl/>
              </w:rPr>
              <w:t xml:space="preserve">تكلفة صفرية — يعتمد على Office المتوفر مسبقاً</w:t>
            </w:r>
          </w:p>
        </w:tc>
      </w:tr>
    </w:tbl>
    <w:bookmarkEnd w:id="176"/>
    <w:bookmarkStart w:id="177" w:name="إمكانية-التعميم-على-الولايات-الأخرى"/>
    <w:p>
      <w:pPr>
        <w:pStyle w:val="Heading3"/>
        <w:bidi/>
      </w:pPr>
      <w:r>
        <w:rPr>
          <w:b/>
          <w:sz w:val="32"/>
          <w:rtl/>
        </w:rPr>
        <w:t xml:space="preserve">7. إمكانية التعميم على الولايات الأخرى</w:t>
      </w:r>
    </w:p>
    <w:p>
      <w:pPr>
        <w:bidi/>
        <w:spacing w:line="360" w:lineRule="auto"/>
        <w:jc w:val="right"/>
      </w:pPr>
      <w:r>
        <w:rPr>
          <w:rFonts w:ascii="Traditional Arabic" w:hAnsi="Traditional Arabic"/>
          <w:b/>
          <w:bCs/>
          <w:sz w:val="28"/>
          <w:rtl/>
        </w:rPr>
        <w:t xml:space="preserve">يمكن نشر نظام دعم القرار في 58 ولاية جزائرية وفق النموذج التالي:</w:t>
      </w:r>
      <w:r>
        <w:rPr>
          <w:rFonts w:ascii="Traditional Arabic" w:hAnsi="Traditional Arabic"/>
          <w:sz w:val="28"/>
          <w:rtl/>
        </w:rPr>
        <w:t xml:space="preserve"> </w:t>
      </w:r>
      <w:r>
        <w:rPr>
          <w:rFonts w:ascii="Traditional Arabic" w:hAnsi="Traditional Arabic"/>
          <w:b/>
          <w:bCs/>
          <w:sz w:val="28"/>
          <w:rtl/>
        </w:rPr>
        <w:t xml:space="preserve">7. إمكانية التعميم على الولايات الأخرى</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514690" w:type="dxa"/>
          </w:tcPr>
          <w:p>
            <w:pPr>
              <w:pStyle w:val="Compact"/>
              <w:bidi/>
            </w:pPr>
            <w:r>
              <w:rPr>
                <w:rtl/>
              </w:rPr>
              <w:t xml:space="preserve">المرحلة</w:t>
            </w:r>
          </w:p>
        </w:tc>
        <w:tc>
          <w:tcPr>
            <w:tcW w:w="3531351" w:type="dxa"/>
          </w:tcPr>
          <w:p>
            <w:pPr>
              <w:pStyle w:val="Compact"/>
              <w:bidi/>
            </w:pPr>
            <w:r>
              <w:rPr>
                <w:rtl/>
              </w:rPr>
              <w:t xml:space="preserve">الإجراء</w:t>
            </w:r>
          </w:p>
        </w:tc>
        <w:tc>
          <w:tcPr>
            <w:tcW w:w="618343" w:type="dxa"/>
          </w:tcPr>
          <w:p>
            <w:pPr>
              <w:pStyle w:val="Compact"/>
              <w:bidi/>
            </w:pPr>
            <w:r>
              <w:rPr>
                <w:rtl/>
              </w:rPr>
              <w:t xml:space="preserve">المدة</w:t>
            </w:r>
          </w:p>
        </w:tc>
        <w:tc>
          <w:tcPr>
            <w:tcW w:w="495614" w:type="dxa"/>
          </w:tcPr>
          <w:p>
            <w:pPr>
              <w:pStyle w:val="Compact"/>
              <w:bidi/>
            </w:pPr>
            <w:r>
              <w:rPr>
                <w:rtl/>
              </w:rPr>
              <w:t xml:space="preserve">التكلفة</w:t>
            </w:r>
          </w:p>
        </w:tc>
      </w:tr>
      <w:tr>
        <w:tc>
          <w:tcPr>
            <w:tcW w:w="514690" w:type="dxa"/>
          </w:tcPr>
          <w:p>
            <w:pPr>
              <w:pStyle w:val="Compact"/>
              <w:bidi/>
            </w:pPr>
            <w:r>
              <w:rPr>
                <w:rtl/>
              </w:rPr>
              <w:t xml:space="preserve">1</w:t>
            </w:r>
          </w:p>
        </w:tc>
        <w:tc>
          <w:tcPr>
            <w:tcW w:w="3531351" w:type="dxa"/>
          </w:tcPr>
          <w:p>
            <w:pPr>
              <w:pStyle w:val="Compact"/>
              <w:bidi/>
            </w:pPr>
            <w:r>
              <w:rPr>
                <w:rtl/>
              </w:rPr>
              <w:t xml:space="preserve">نسخ ملف Excel إلى مديرية التربية</w:t>
            </w:r>
          </w:p>
        </w:tc>
        <w:tc>
          <w:tcPr>
            <w:tcW w:w="618343" w:type="dxa"/>
          </w:tcPr>
          <w:p>
            <w:pPr>
              <w:pStyle w:val="Compact"/>
              <w:bidi/>
            </w:pPr>
            <w:r>
              <w:rPr>
                <w:rtl/>
              </w:rPr>
              <w:t xml:space="preserve">يوم واحد</w:t>
            </w:r>
          </w:p>
        </w:tc>
        <w:tc>
          <w:tcPr>
            <w:tcW w:w="495614" w:type="dxa"/>
          </w:tcPr>
          <w:p>
            <w:pPr>
              <w:pStyle w:val="Compact"/>
              <w:bidi/>
            </w:pPr>
            <w:r>
              <w:rPr>
                <w:rtl/>
              </w:rPr>
              <w:t xml:space="preserve">0 دج</w:t>
            </w:r>
          </w:p>
        </w:tc>
      </w:tr>
      <w:tr>
        <w:tc>
          <w:tcPr>
            <w:tcW w:w="514690" w:type="dxa"/>
          </w:tcPr>
          <w:p>
            <w:pPr>
              <w:pStyle w:val="Compact"/>
              <w:bidi/>
            </w:pPr>
            <w:r>
              <w:rPr>
                <w:rtl/>
              </w:rPr>
              <w:t xml:space="preserve">2</w:t>
            </w:r>
          </w:p>
        </w:tc>
        <w:tc>
          <w:tcPr>
            <w:tcW w:w="3531351" w:type="dxa"/>
          </w:tcPr>
          <w:p>
            <w:pPr>
              <w:pStyle w:val="Compact"/>
              <w:bidi/>
            </w:pPr>
            <w:r>
              <w:rPr>
                <w:rtl/>
              </w:rPr>
              <w:t xml:space="preserve">تعديل البيانات المرجعية (أسماء الأصناف، الموردون المحليون)</w:t>
            </w:r>
          </w:p>
        </w:tc>
        <w:tc>
          <w:tcPr>
            <w:tcW w:w="618343" w:type="dxa"/>
          </w:tcPr>
          <w:p>
            <w:pPr>
              <w:pStyle w:val="Compact"/>
              <w:bidi/>
            </w:pPr>
            <w:r>
              <w:rPr>
                <w:rtl/>
              </w:rPr>
              <w:t xml:space="preserve">أسبوع واحد</w:t>
            </w:r>
          </w:p>
        </w:tc>
        <w:tc>
          <w:tcPr>
            <w:tcW w:w="495614" w:type="dxa"/>
          </w:tcPr>
          <w:p>
            <w:pPr>
              <w:pStyle w:val="Compact"/>
              <w:bidi/>
            </w:pPr>
            <w:r>
              <w:rPr>
                <w:rtl/>
              </w:rPr>
              <w:t xml:space="preserve">0 دج</w:t>
            </w:r>
          </w:p>
        </w:tc>
      </w:tr>
      <w:tr>
        <w:tc>
          <w:tcPr>
            <w:tcW w:w="514690" w:type="dxa"/>
          </w:tcPr>
          <w:p>
            <w:pPr>
              <w:pStyle w:val="Compact"/>
              <w:bidi/>
            </w:pPr>
            <w:r>
              <w:rPr>
                <w:rtl/>
              </w:rPr>
              <w:t xml:space="preserve">3</w:t>
            </w:r>
          </w:p>
        </w:tc>
        <w:tc>
          <w:tcPr>
            <w:tcW w:w="3531351" w:type="dxa"/>
          </w:tcPr>
          <w:p>
            <w:pPr>
              <w:pStyle w:val="Compact"/>
              <w:bidi/>
            </w:pPr>
            <w:r>
              <w:rPr>
                <w:rtl/>
              </w:rPr>
              <w:t xml:space="preserve">تدريب المسير على واجهة UserForms</w:t>
            </w:r>
          </w:p>
        </w:tc>
        <w:tc>
          <w:tcPr>
            <w:tcW w:w="618343" w:type="dxa"/>
          </w:tcPr>
          <w:p>
            <w:pPr>
              <w:pStyle w:val="Compact"/>
              <w:bidi/>
            </w:pPr>
            <w:r>
              <w:rPr>
                <w:rtl/>
              </w:rPr>
              <w:t xml:space="preserve">3 أيام</w:t>
            </w:r>
          </w:p>
        </w:tc>
        <w:tc>
          <w:tcPr>
            <w:tcW w:w="495614" w:type="dxa"/>
          </w:tcPr>
          <w:p>
            <w:pPr>
              <w:pStyle w:val="Compact"/>
              <w:bidi/>
            </w:pPr>
            <w:r>
              <w:rPr>
                <w:rtl/>
              </w:rPr>
              <w:t xml:space="preserve">0 دج</w:t>
            </w:r>
          </w:p>
        </w:tc>
      </w:tr>
      <w:tr>
        <w:tc>
          <w:tcPr>
            <w:tcW w:w="514690" w:type="dxa"/>
          </w:tcPr>
          <w:p>
            <w:pPr>
              <w:pStyle w:val="Compact"/>
              <w:bidi/>
            </w:pPr>
            <w:r>
              <w:rPr>
                <w:rtl/>
              </w:rPr>
              <w:t xml:space="preserve">4</w:t>
            </w:r>
          </w:p>
        </w:tc>
        <w:tc>
          <w:tcPr>
            <w:tcW w:w="3531351" w:type="dxa"/>
          </w:tcPr>
          <w:p>
            <w:pPr>
              <w:pStyle w:val="Compact"/>
              <w:bidi/>
            </w:pPr>
            <w:r>
              <w:rPr>
                <w:rtl/>
              </w:rPr>
              <w:t xml:space="preserve">تشغيل تجريبي + ضبط المعاملات (D, SS, ROP)</w:t>
            </w:r>
          </w:p>
        </w:tc>
        <w:tc>
          <w:tcPr>
            <w:tcW w:w="618343" w:type="dxa"/>
          </w:tcPr>
          <w:p>
            <w:pPr>
              <w:pStyle w:val="Compact"/>
              <w:bidi/>
            </w:pPr>
            <w:r>
              <w:rPr>
                <w:rtl/>
              </w:rPr>
              <w:t xml:space="preserve">أسبوعان</w:t>
            </w:r>
          </w:p>
        </w:tc>
        <w:tc>
          <w:tcPr>
            <w:tcW w:w="495614" w:type="dxa"/>
          </w:tcPr>
          <w:p>
            <w:pPr>
              <w:pStyle w:val="Compact"/>
              <w:bidi/>
            </w:pPr>
            <w:r>
              <w:rPr>
                <w:rtl/>
              </w:rPr>
              <w:t xml:space="preserve">0 دج</w:t>
            </w:r>
          </w:p>
        </w:tc>
      </w:tr>
      <w:tr>
        <w:tc>
          <w:tcPr>
            <w:tcW w:w="514690" w:type="dxa"/>
          </w:tcPr>
          <w:p>
            <w:pPr>
              <w:pStyle w:val="Compact"/>
              <w:bidi/>
            </w:pPr>
            <w:r>
              <w:rPr>
                <w:rtl/>
              </w:rPr>
              <w:t xml:space="preserve">الإجمالي</w:t>
            </w:r>
          </w:p>
        </w:tc>
        <w:tc>
          <w:tcPr>
            <w:tcW w:w="3531351" w:type="dxa"/>
          </w:tcPr>
          <w:p>
            <w:pPr>
              <w:pStyle w:val="Compact"/>
              <w:bidi/>
            </w:pPr>
            <w:r>
              <w:rPr>
                <w:rtl/>
              </w:rPr>
              <w:t xml:space="preserve">نشر كامل في أي ولاية</w:t>
            </w:r>
          </w:p>
        </w:tc>
        <w:tc>
          <w:tcPr>
            <w:tcW w:w="618343" w:type="dxa"/>
          </w:tcPr>
          <w:p>
            <w:pPr>
              <w:pStyle w:val="Compact"/>
              <w:bidi/>
            </w:pPr>
            <w:r>
              <w:rPr>
                <w:rtl/>
              </w:rPr>
              <w:t xml:space="preserve">3 أسابيع</w:t>
            </w:r>
          </w:p>
        </w:tc>
        <w:tc>
          <w:tcPr>
            <w:tcW w:w="495614" w:type="dxa"/>
          </w:tcPr>
          <w:p>
            <w:pPr>
              <w:pStyle w:val="Compact"/>
              <w:bidi/>
            </w:pPr>
            <w:r>
              <w:rPr>
                <w:rtl/>
              </w:rPr>
              <w:t xml:space="preserve">0 دج</w:t>
            </w:r>
          </w:p>
        </w:tc>
      </w:tr>
    </w:tbl>
    <w:bookmarkEnd w:id="177"/>
    <w:bookmarkStart w:id="178" w:name="مقارنة-التكلفة-dss-مقابل-الحلول-التجارية"/>
    <w:p>
      <w:pPr>
        <w:pStyle w:val="Heading3"/>
        <w:bidi/>
      </w:pPr>
      <w:r>
        <w:rPr>
          <w:b/>
          <w:sz w:val="32"/>
          <w:rtl/>
        </w:rPr>
        <w:t xml:space="preserve">8. مقارنة التكلفة: DSS مقابل الحلول التجارية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2045589" w:type="dxa"/>
          </w:tcPr>
          <w:p>
            <w:pPr>
              <w:pStyle w:val="Compact"/>
              <w:bidi/>
            </w:pPr>
            <w:r>
              <w:rPr>
                <w:rtl/>
              </w:rPr>
              <w:t xml:space="preserve">البند</w:t>
            </w:r>
          </w:p>
        </w:tc>
        <w:tc>
          <w:tcPr>
            <w:tcW w:w="1135302" w:type="dxa"/>
          </w:tcPr>
          <w:p>
            <w:pPr>
              <w:pStyle w:val="Compact"/>
              <w:bidi/>
            </w:pPr>
            <w:r>
              <w:rPr>
                <w:rtl/>
              </w:rPr>
              <w:t xml:space="preserve">SAP Business One</w:t>
            </w:r>
          </w:p>
        </w:tc>
        <w:tc>
          <w:tcPr>
            <w:tcW w:w="1135302" w:type="dxa"/>
          </w:tcPr>
          <w:p>
            <w:pPr>
              <w:pStyle w:val="Compact"/>
              <w:bidi/>
            </w:pPr>
            <w:r>
              <w:rPr>
                <w:rtl/>
              </w:rPr>
              <w:t xml:space="preserve">Oracle NetSuite</w:t>
            </w:r>
          </w:p>
        </w:tc>
        <w:tc>
          <w:tcPr>
            <w:tcW w:w="843805" w:type="dxa"/>
          </w:tcPr>
          <w:p>
            <w:pPr>
              <w:pStyle w:val="Compact"/>
              <w:bidi/>
            </w:pPr>
            <w:r>
              <w:rPr>
                <w:rtl/>
              </w:rPr>
              <w:t xml:space="preserve">DSS (Excel/VBA)</w:t>
            </w:r>
          </w:p>
        </w:tc>
      </w:tr>
      <w:tr>
        <w:tc>
          <w:tcPr>
            <w:tcW w:w="2045589" w:type="dxa"/>
          </w:tcPr>
          <w:p>
            <w:pPr>
              <w:pStyle w:val="Compact"/>
              <w:bidi/>
            </w:pPr>
            <w:r>
              <w:rPr>
                <w:rtl/>
              </w:rPr>
              <w:t xml:space="preserve">ترخيص البرمجية</w:t>
            </w:r>
          </w:p>
        </w:tc>
        <w:tc>
          <w:tcPr>
            <w:tcW w:w="1135302" w:type="dxa"/>
          </w:tcPr>
          <w:p>
            <w:pPr>
              <w:pStyle w:val="Compact"/>
              <w:bidi/>
            </w:pPr>
            <w:r>
              <w:rPr>
                <w:rtl/>
              </w:rPr>
              <w:t xml:space="preserve">~5,000,000 دج/سنة</w:t>
            </w:r>
          </w:p>
        </w:tc>
        <w:tc>
          <w:tcPr>
            <w:tcW w:w="1135302" w:type="dxa"/>
          </w:tcPr>
          <w:p>
            <w:pPr>
              <w:pStyle w:val="Compact"/>
              <w:bidi/>
            </w:pPr>
            <w:r>
              <w:rPr>
                <w:rtl/>
              </w:rPr>
              <w:t xml:space="preserve">~3,500,000 دج/سنة</w:t>
            </w:r>
          </w:p>
        </w:tc>
        <w:tc>
          <w:tcPr>
            <w:tcW w:w="843805" w:type="dxa"/>
          </w:tcPr>
          <w:p>
            <w:pPr>
              <w:pStyle w:val="Compact"/>
              <w:bidi/>
            </w:pPr>
            <w:r>
              <w:rPr>
                <w:rtl/>
              </w:rPr>
              <w:t xml:space="preserve">0 دج</w:t>
            </w:r>
          </w:p>
        </w:tc>
      </w:tr>
      <w:tr>
        <w:tc>
          <w:tcPr>
            <w:tcW w:w="2045589" w:type="dxa"/>
          </w:tcPr>
          <w:p>
            <w:pPr>
              <w:pStyle w:val="Compact"/>
              <w:bidi/>
            </w:pPr>
            <w:r>
              <w:rPr>
                <w:rtl/>
              </w:rPr>
              <w:t xml:space="preserve">الخوادم والبنية التحتية</w:t>
            </w:r>
          </w:p>
        </w:tc>
        <w:tc>
          <w:tcPr>
            <w:tcW w:w="1135302" w:type="dxa"/>
          </w:tcPr>
          <w:p>
            <w:pPr>
              <w:pStyle w:val="Compact"/>
              <w:bidi/>
            </w:pPr>
            <w:r>
              <w:rPr>
                <w:rtl/>
              </w:rPr>
              <w:t xml:space="preserve">~2,000,000 دج</w:t>
            </w:r>
          </w:p>
        </w:tc>
        <w:tc>
          <w:tcPr>
            <w:tcW w:w="1135302" w:type="dxa"/>
          </w:tcPr>
          <w:p>
            <w:pPr>
              <w:pStyle w:val="Compact"/>
              <w:bidi/>
            </w:pPr>
            <w:r>
              <w:rPr>
                <w:rtl/>
              </w:rPr>
              <w:t xml:space="preserve">~1,500,000 دج</w:t>
            </w:r>
          </w:p>
        </w:tc>
        <w:tc>
          <w:tcPr>
            <w:tcW w:w="843805" w:type="dxa"/>
          </w:tcPr>
          <w:p>
            <w:pPr>
              <w:pStyle w:val="Compact"/>
              <w:bidi/>
            </w:pPr>
            <w:r>
              <w:rPr>
                <w:rtl/>
              </w:rPr>
              <w:t xml:space="preserve">0 دج</w:t>
            </w:r>
          </w:p>
        </w:tc>
      </w:tr>
      <w:tr>
        <w:tc>
          <w:tcPr>
            <w:tcW w:w="2045589" w:type="dxa"/>
          </w:tcPr>
          <w:p>
            <w:pPr>
              <w:pStyle w:val="Compact"/>
              <w:bidi/>
            </w:pPr>
            <w:r>
              <w:rPr>
                <w:rtl/>
              </w:rPr>
              <w:t xml:space="preserve">التكوين والتأهيل</w:t>
            </w:r>
          </w:p>
        </w:tc>
        <w:tc>
          <w:tcPr>
            <w:tcW w:w="1135302" w:type="dxa"/>
          </w:tcPr>
          <w:p>
            <w:pPr>
              <w:pStyle w:val="Compact"/>
              <w:bidi/>
            </w:pPr>
            <w:r>
              <w:rPr>
                <w:rtl/>
              </w:rPr>
              <w:t xml:space="preserve">~1,000,000 دج</w:t>
            </w:r>
          </w:p>
        </w:tc>
        <w:tc>
          <w:tcPr>
            <w:tcW w:w="1135302" w:type="dxa"/>
          </w:tcPr>
          <w:p>
            <w:pPr>
              <w:pStyle w:val="Compact"/>
              <w:bidi/>
            </w:pPr>
            <w:r>
              <w:rPr>
                <w:rtl/>
              </w:rPr>
              <w:t xml:space="preserve">~800,000 دج</w:t>
            </w:r>
          </w:p>
        </w:tc>
        <w:tc>
          <w:tcPr>
            <w:tcW w:w="843805" w:type="dxa"/>
          </w:tcPr>
          <w:p>
            <w:pPr>
              <w:pStyle w:val="Compact"/>
              <w:bidi/>
            </w:pPr>
            <w:r>
              <w:rPr>
                <w:rtl/>
              </w:rPr>
              <w:t xml:space="preserve">0 دج</w:t>
            </w:r>
          </w:p>
        </w:tc>
      </w:tr>
      <w:tr>
        <w:tc>
          <w:tcPr>
            <w:tcW w:w="2045589" w:type="dxa"/>
          </w:tcPr>
          <w:p>
            <w:pPr>
              <w:pStyle w:val="Compact"/>
              <w:bidi/>
            </w:pPr>
            <w:r>
              <w:rPr>
                <w:rtl/>
              </w:rPr>
              <w:t xml:space="preserve">الصيانة السنوية</w:t>
            </w:r>
          </w:p>
        </w:tc>
        <w:tc>
          <w:tcPr>
            <w:tcW w:w="1135302" w:type="dxa"/>
          </w:tcPr>
          <w:p>
            <w:pPr>
              <w:pStyle w:val="Compact"/>
              <w:bidi/>
            </w:pPr>
            <w:r>
              <w:rPr>
                <w:rtl/>
              </w:rPr>
              <w:t xml:space="preserve">~500,000 دج</w:t>
            </w:r>
          </w:p>
        </w:tc>
        <w:tc>
          <w:tcPr>
            <w:tcW w:w="1135302" w:type="dxa"/>
          </w:tcPr>
          <w:p>
            <w:pPr>
              <w:pStyle w:val="Compact"/>
              <w:bidi/>
            </w:pPr>
            <w:r>
              <w:rPr>
                <w:rtl/>
              </w:rPr>
              <w:t xml:space="preserve">~350,000 دج</w:t>
            </w:r>
          </w:p>
        </w:tc>
        <w:tc>
          <w:tcPr>
            <w:tcW w:w="843805" w:type="dxa"/>
          </w:tcPr>
          <w:p>
            <w:pPr>
              <w:pStyle w:val="Compact"/>
              <w:bidi/>
            </w:pPr>
            <w:r>
              <w:rPr>
                <w:rtl/>
              </w:rPr>
              <w:t xml:space="preserve">0 دج</w:t>
            </w:r>
          </w:p>
        </w:tc>
      </w:tr>
      <w:tr>
        <w:tc>
          <w:tcPr>
            <w:tcW w:w="2045589" w:type="dxa"/>
          </w:tcPr>
          <w:p>
            <w:pPr>
              <w:pStyle w:val="Compact"/>
              <w:bidi/>
            </w:pPr>
            <w:r>
              <w:rPr>
                <w:rtl/>
              </w:rPr>
              <w:t xml:space="preserve">الاتصال بالإنترنت</w:t>
            </w:r>
          </w:p>
        </w:tc>
        <w:tc>
          <w:tcPr>
            <w:tcW w:w="1135302" w:type="dxa"/>
          </w:tcPr>
          <w:p>
            <w:pPr>
              <w:pStyle w:val="Compact"/>
              <w:bidi/>
            </w:pPr>
            <w:r>
              <w:rPr>
                <w:rtl/>
              </w:rPr>
              <w:t xml:space="preserve">مطلوب</w:t>
            </w:r>
          </w:p>
        </w:tc>
        <w:tc>
          <w:tcPr>
            <w:tcW w:w="1135302" w:type="dxa"/>
          </w:tcPr>
          <w:p>
            <w:pPr>
              <w:pStyle w:val="Compact"/>
              <w:bidi/>
            </w:pPr>
            <w:r>
              <w:rPr>
                <w:rtl/>
              </w:rPr>
              <w:t xml:space="preserve">مطلوب</w:t>
            </w:r>
          </w:p>
        </w:tc>
        <w:tc>
          <w:tcPr>
            <w:tcW w:w="843805" w:type="dxa"/>
          </w:tcPr>
          <w:p>
            <w:pPr>
              <w:pStyle w:val="Compact"/>
              <w:bidi/>
            </w:pPr>
            <w:r>
              <w:rPr>
                <w:rtl/>
              </w:rPr>
              <w:t xml:space="preserve">غير مطلوب</w:t>
            </w:r>
          </w:p>
        </w:tc>
      </w:tr>
      <w:tr>
        <w:tc>
          <w:tcPr>
            <w:tcW w:w="2045589" w:type="dxa"/>
          </w:tcPr>
          <w:p>
            <w:pPr>
              <w:pStyle w:val="Compact"/>
              <w:bidi/>
            </w:pPr>
            <w:r>
              <w:rPr>
                <w:rtl/>
              </w:rPr>
              <w:t xml:space="preserve">الإجمالي السنوي</w:t>
            </w:r>
          </w:p>
        </w:tc>
        <w:tc>
          <w:tcPr>
            <w:tcW w:w="1135302" w:type="dxa"/>
          </w:tcPr>
          <w:p>
            <w:pPr>
              <w:pStyle w:val="Compact"/>
              <w:bidi/>
            </w:pPr>
            <w:r>
              <w:rPr>
                <w:rtl/>
              </w:rPr>
              <w:t xml:space="preserve">~8,500,000 دج</w:t>
            </w:r>
          </w:p>
        </w:tc>
        <w:tc>
          <w:tcPr>
            <w:tcW w:w="1135302" w:type="dxa"/>
          </w:tcPr>
          <w:p>
            <w:pPr>
              <w:pStyle w:val="Compact"/>
              <w:bidi/>
            </w:pPr>
            <w:r>
              <w:rPr>
                <w:rtl/>
              </w:rPr>
              <w:t xml:space="preserve">~6,150,000 دج</w:t>
            </w:r>
          </w:p>
        </w:tc>
        <w:tc>
          <w:tcPr>
            <w:tcW w:w="843805" w:type="dxa"/>
          </w:tcPr>
          <w:p>
            <w:pPr>
              <w:pStyle w:val="Compact"/>
              <w:bidi/>
            </w:pPr>
            <w:r>
              <w:rPr>
                <w:rtl/>
              </w:rPr>
              <w:t xml:space="preserve">0 دج</w:t>
            </w:r>
          </w:p>
        </w:tc>
      </w:tr>
    </w:tbl>
    <w:bookmarkEnd w:id="178"/>
    <w:bookmarkStart w:id="182" w:name="خلاصة-المرجعية-الجزائرية"/>
    <w:p>
      <w:pPr>
        <w:pStyle w:val="Heading3"/>
        <w:bidi/>
      </w:pPr>
      <w:r>
        <w:rPr>
          <w:b/>
          <w:sz w:val="32"/>
          <w:rtl/>
        </w:rPr>
        <w:t xml:space="preserve">9. خلاصة المرجعية الجزائرية</w:t>
      </w:r>
    </w:p>
    <w:p>
      <w:pPr>
        <w:bidi/>
        <w:spacing w:line="360" w:lineRule="auto"/>
        <w:jc w:val="right"/>
      </w:pPr>
      <w:r>
        <w:rPr>
          <w:rFonts w:ascii="Traditional Arabic" w:hAnsi="Traditional Arabic"/>
          <w:sz w:val="28"/>
          <w:rtl/>
        </w:rPr>
        <w:t xml:space="preserve">نظام دعم القرار لتسيير المخزون ليس مشروعاً تقنياً معزولاً، بل هو:</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تطبيق منهجي لمنهاج CNEPD TAG1801 في بيئة عمل حقيقية (92.9% من معايير التقييم)</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استجابة تنظيمية للمراسيم والمنشورات المنظمة لتسيير المخزون العمومي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ابتكار معتمد يتوافق مع معايير CNEPD لقياس درجة الأصالة (5/5 مساهمات موثقة)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أداة رقمنة بتكلفة صفرية تستجيب لقيود القطاع التعليمي الجزائري (توفير ~8.5 مليون دج/سنة)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جسر أكاديمي-تقني يربط بين النظرية اللوجستية والممارسة الميدانية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نواة قابلة للتعميم على 58 ولاية جزائرية بتكلفة نشر صفرية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حل مرحلي يتكامل مستقبلاً مع منظومة SIGLE للمحاسبة العمومية</w:t>
      </w:r>
    </w:p>
    <w:p>
      <w:pPr>
        <w:bidi/>
        <w:spacing w:line="360" w:lineRule="auto"/>
        <w:jc w:val="right"/>
      </w:pPr>
      <w:r>
        <w:rPr>
          <w:rFonts w:ascii="Traditional Arabic" w:hAnsi="Traditional Arabic"/>
          <w:sz w:val="28"/>
          <w:rtl/>
        </w:rPr>
        <w:t xml:space="preserve">انتهت المذكرة</w:t>
      </w:r>
      <w:r>
        <w:rPr>
          <w:rFonts w:ascii="Traditional Arabic" w:hAnsi="Traditional Arabic"/>
          <w:sz w:val="28"/>
          <w:rtl/>
        </w:rPr>
        <w:t xml:space="preserve"> </w:t>
      </w:r>
      <w:r>
        <w:rPr>
          <w:rStyle w:val="FootnoteReference"/>
          <w:rFonts w:ascii="Traditional Arabic" w:hAnsi="Traditional Arabic"/>
          <w:sz w:val="28"/>
        </w:rPr>
        <w:footnoteReference w:id="179"/>
      </w:r>
      <w:r>
        <w:rPr>
          <w:rFonts w:ascii="Traditional Arabic" w:hAnsi="Traditional Arabic"/>
          <w:sz w:val="28"/>
          <w:rtl/>
        </w:rPr>
        <w:t xml:space="preserve"> </w:t>
      </w:r>
      <w:r>
        <w:rPr>
          <w:rStyle w:val="FootnoteReference"/>
          <w:rFonts w:ascii="Traditional Arabic" w:hAnsi="Traditional Arabic"/>
          <w:sz w:val="28"/>
        </w:rPr>
        <w:footnoteReference w:id="180"/>
      </w:r>
      <w:r>
        <w:rPr>
          <w:rFonts w:ascii="Traditional Arabic" w:hAnsi="Traditional Arabic"/>
          <w:sz w:val="28"/>
          <w:rtl/>
        </w:rPr>
        <w:t xml:space="preserve"> </w:t>
      </w:r>
      <w:r>
        <w:rPr>
          <w:rStyle w:val="FootnoteReference"/>
          <w:rFonts w:ascii="Traditional Arabic" w:hAnsi="Traditional Arabic"/>
          <w:sz w:val="28"/>
        </w:rPr>
        <w:footnoteReference w:id="181"/>
      </w:r>
    </w:p>
    <w:bookmarkEnd w:id="182"/>
    <w:bookmarkEnd w:id="183"/>
    <w:bookmarkEnd w:id="184"/>
    <w:sectPr>
      <w:pgNumType w:fmt="decimal" w:start="1"/>
      <w:footnotePr>
        <w:numRestart w:val="eachSect"/>
      </w:footnote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14="http://schemas.microsoft.com/office/word/2010/wordml" xmlns:w15="http://schemas.microsoft.com/office/word/2012/wordml" xmlns:w16se="http://schemas.microsoft.com/office/word/2015/wordml/symex" xmlns:w16cid="http://schemas.microsoft.com/office/word/2016/wordml/cid" xmlns:wp14="http://schemas.microsoft.com/office/word/2010/wordprocessingDrawing" xmlns:mc="http://schemas.openxmlformats.org/markup-compatibility/2006">
  <w:footnote w:type="continuationSeparator" w:id="0">
    <w:p>
      <w:r>
        <w:continuationSeparator/>
      </w:r>
    </w:p>
  </w:footnote>
  <w:footnote w:type="separator" w:id="-1">
    <w:p>
      <w:r>
        <w:separator/>
      </w:r>
    </w:p>
  </w:footnote>
  <w:footnote w:id="21">
    <w:p>
      <w:pPr>
        <w:pStyle w:val="FootnoteText"/>
        <w:bidi/>
        <w:jc w:val="right"/>
      </w:pPr>
      <w:r>
        <w:rPr>
          <w:rStyle w:val="FootnoteReference"/>
        </w:rPr>
        <w:footnoteRef/>
      </w:r>
      <w:r>
        <w:rPr>
          <w:rtl/>
        </w:rPr>
        <w:t xml:space="preserve"> </w:t>
      </w:r>
      <w:r>
        <w:rPr>
          <w:rtl/>
        </w:rPr>
        <w:t xml:space="preserve"> </w:t>
      </w:r>
      <w:r>
        <w:rPr>
          <w:rtl/>
        </w:rPr>
        <w:t xml:space="preserve">راجع: M. C. Cooper, D. M. Lambert &amp; J. D. Pagh,</w:t>
      </w:r>
      <w:r>
        <w:rPr>
          <w:rtl/>
        </w:rPr>
        <w:t xml:space="preserve"> </w:t>
      </w:r>
      <w:r>
        <w:rPr>
          <w:rtl/>
        </w:rPr>
        <w:t xml:space="preserve">“Supply Chain Management: More Than a New Name for Logistics”</w:t>
      </w:r>
      <w:r>
        <w:rPr>
          <w:rtl/>
        </w:rPr>
        <w:t xml:space="preserve">, The International Journal of Logistics Management, Vol. 8, N° 1, 1997, p. 1.</w:t>
      </w:r>
    </w:p>
  </w:footnote>
  <w:footnote w:id="23">
    <w:p>
      <w:pPr>
        <w:pStyle w:val="FootnoteText"/>
        <w:bidi/>
        <w:jc w:val="right"/>
      </w:pPr>
      <w:r>
        <w:rPr>
          <w:rStyle w:val="FootnoteReference"/>
        </w:rPr>
        <w:footnoteRef/>
      </w:r>
      <w:r>
        <w:rPr>
          <w:rtl/>
        </w:rPr>
        <w:t xml:space="preserve"> </w:t>
      </w:r>
      <w:r>
        <w:rPr>
          <w:rtl/>
        </w:rPr>
        <w:t xml:space="preserve"> </w:t>
      </w:r>
      <w:r>
        <w:rPr>
          <w:rtl/>
        </w:rPr>
        <w:t xml:space="preserve">راجع: S. Chopra &amp; P. Meindl, Supply Chain Management: Strategy, Planning, and Operation, 7th ed., Pearson, 2019, p. 5.</w:t>
      </w:r>
    </w:p>
  </w:footnote>
  <w:footnote w:id="25">
    <w:p>
      <w:pPr>
        <w:pStyle w:val="FootnoteText"/>
        <w:bidi/>
        <w:jc w:val="right"/>
      </w:pPr>
      <w:r>
        <w:rPr>
          <w:rStyle w:val="FootnoteReference"/>
        </w:rPr>
        <w:footnoteRef/>
      </w:r>
      <w:r>
        <w:rPr>
          <w:rtl/>
        </w:rPr>
        <w:t xml:space="preserve"> </w:t>
      </w:r>
      <w:r>
        <w:rPr>
          <w:rtl/>
        </w:rPr>
        <w:t xml:space="preserve"> </w:t>
      </w:r>
      <w:r>
        <w:rPr>
          <w:rtl/>
        </w:rPr>
        <w:t xml:space="preserve">راجع: D. M. Lambert &amp; J. R. Stock, Strategic Logistics Management, 3rd ed., Irwin, 1993, p. 412.</w:t>
      </w:r>
    </w:p>
  </w:footnote>
  <w:footnote w:id="26">
    <w:p>
      <w:pPr>
        <w:pStyle w:val="FootnoteText"/>
        <w:bidi/>
        <w:jc w:val="right"/>
      </w:pPr>
      <w:r>
        <w:rPr>
          <w:rStyle w:val="FootnoteReference"/>
        </w:rPr>
        <w:footnoteRef/>
      </w:r>
      <w:r>
        <w:rPr>
          <w:rtl/>
        </w:rPr>
        <w:t xml:space="preserve"> </w:t>
      </w:r>
      <w:r>
        <w:rPr>
          <w:rtl/>
        </w:rPr>
        <w:t xml:space="preserve"> </w:t>
      </w:r>
      <w:r>
        <w:rPr>
          <w:rtl/>
        </w:rPr>
        <w:t xml:space="preserve">راجع: J. R. Stock &amp; D. M. Lambert، المرجع السابق، ص. 421.</w:t>
      </w:r>
    </w:p>
  </w:footnote>
  <w:footnote w:id="31">
    <w:p>
      <w:pPr>
        <w:pStyle w:val="FootnoteText"/>
        <w:bidi/>
        <w:jc w:val="right"/>
      </w:pPr>
      <w:r>
        <w:rPr>
          <w:rStyle w:val="FootnoteReference"/>
        </w:rPr>
        <w:footnoteRef/>
      </w:r>
      <w:r>
        <w:rPr>
          <w:rtl/>
        </w:rPr>
        <w:t xml:space="preserve"> </w:t>
      </w:r>
      <w:r>
        <w:rPr>
          <w:rtl/>
        </w:rPr>
        <w:t xml:space="preserve"> </w:t>
      </w:r>
      <w:r>
        <w:rPr>
          <w:rtl/>
        </w:rPr>
        <w:t xml:space="preserve">راجع: الجمهورية الجزائرية الديمقراطية الشعبية، المرسوم الرئاسي رقم 15-247 المؤرخ في 16 سبتمبر 2015 المتعلق بتنظيم الصفقات العمومية وتسييرها، الجريدة الرسمية، العدد 50، 2015.</w:t>
      </w:r>
    </w:p>
  </w:footnote>
  <w:footnote w:id="32">
    <w:p>
      <w:pPr>
        <w:pStyle w:val="FootnoteText"/>
        <w:bidi/>
        <w:jc w:val="right"/>
      </w:pPr>
      <w:r>
        <w:rPr>
          <w:rStyle w:val="FootnoteReference"/>
        </w:rPr>
        <w:footnoteRef/>
      </w:r>
      <w:r>
        <w:rPr>
          <w:rtl/>
        </w:rPr>
        <w:t xml:space="preserve"> </w:t>
      </w:r>
      <w:r>
        <w:rPr>
          <w:rtl/>
        </w:rPr>
        <w:t xml:space="preserve"> </w:t>
      </w:r>
      <w:r>
        <w:rPr>
          <w:rtl/>
        </w:rPr>
        <w:t xml:space="preserve">راجع: المديرية العامة للضرائب، التعليمة رقم 09-2018 المتعلقة بالإعفاء من الرسم على القيمة المضافة لمؤسسات التربية الوطنية، وزارة المالية، الجزائر، 2018.</w:t>
      </w:r>
    </w:p>
  </w:footnote>
  <w:footnote w:id="35">
    <w:p>
      <w:pPr>
        <w:pStyle w:val="FootnoteText"/>
        <w:bidi/>
        <w:jc w:val="right"/>
      </w:pPr>
      <w:r>
        <w:rPr>
          <w:rStyle w:val="FootnoteReference"/>
        </w:rPr>
        <w:footnoteRef/>
      </w:r>
      <w:r>
        <w:rPr>
          <w:rtl/>
        </w:rPr>
        <w:t xml:space="preserve"> </w:t>
      </w:r>
      <w:r>
        <w:rPr>
          <w:rtl/>
        </w:rPr>
        <w:t xml:space="preserve"> </w:t>
      </w:r>
      <w:r>
        <w:rPr>
          <w:rtl/>
        </w:rPr>
        <w:t xml:space="preserve">راجع: A. J. Van Weele, Purchasing and Supply Chain Management, 5th ed., Cengage Learning, 2010, p. 8.</w:t>
      </w:r>
    </w:p>
  </w:footnote>
  <w:footnote w:id="40">
    <w:p>
      <w:pPr>
        <w:pStyle w:val="FootnoteText"/>
        <w:bidi/>
        <w:jc w:val="right"/>
      </w:pPr>
      <w:r>
        <w:rPr>
          <w:rStyle w:val="FootnoteReference"/>
        </w:rPr>
        <w:footnoteRef/>
      </w:r>
      <w:r>
        <w:rPr>
          <w:rtl/>
        </w:rPr>
        <w:t xml:space="preserve"> </w:t>
      </w:r>
      <w:r>
        <w:rPr>
          <w:rtl/>
        </w:rPr>
        <w:t xml:space="preserve"> </w:t>
      </w:r>
      <w:r>
        <w:rPr>
          <w:rtl/>
        </w:rPr>
        <w:t xml:space="preserve">راجع: M. E. A. Belhadi, Modélisation et optimisation de la gestion de stocks des pièces de rechange : application SASACE-Algérie, Mémoire PFE, École Nationale Polytechnique d’Alger, 2015, p. 34.</w:t>
      </w:r>
    </w:p>
  </w:footnote>
  <w:footnote w:id="42">
    <w:p>
      <w:pPr>
        <w:pStyle w:val="FootnoteText"/>
        <w:bidi/>
        <w:jc w:val="right"/>
      </w:pPr>
      <w:r>
        <w:rPr>
          <w:rStyle w:val="FootnoteReference"/>
        </w:rPr>
        <w:footnoteRef/>
      </w:r>
      <w:r>
        <w:rPr>
          <w:rtl/>
        </w:rPr>
        <w:t xml:space="preserve"> </w:t>
      </w:r>
      <w:r>
        <w:rPr>
          <w:rtl/>
        </w:rPr>
        <w:t xml:space="preserve"> </w:t>
      </w:r>
      <w:r>
        <w:rPr>
          <w:rtl/>
        </w:rPr>
        <w:t xml:space="preserve">راجع: E. A. Silver, D. F. Pyke &amp; D. J. Thomas, Inventory and Production Management in Supply Chains, 4th ed., Springer, 2017, p. 74. وكذلك: P. H. Zipkin, Foundations of Inventory Management, McGraw-Hill, 2000, p. 52.</w:t>
      </w:r>
    </w:p>
  </w:footnote>
  <w:footnote w:id="48">
    <w:p>
      <w:pPr>
        <w:pStyle w:val="FootnoteText"/>
        <w:bidi/>
        <w:jc w:val="right"/>
      </w:pPr>
      <w:r>
        <w:rPr>
          <w:rStyle w:val="FootnoteReference"/>
        </w:rPr>
        <w:footnoteRef/>
      </w:r>
      <w:r>
        <w:rPr>
          <w:rtl/>
        </w:rPr>
        <w:t xml:space="preserve"> </w:t>
      </w:r>
      <w:r>
        <w:rPr>
          <w:rtl/>
        </w:rPr>
        <w:t xml:space="preserve"> </w:t>
      </w:r>
      <w:r>
        <w:rPr>
          <w:rtl/>
        </w:rPr>
        <w:t xml:space="preserve">راجع: T. E. Vollmann, W. L. Berry, D. C. Whybark &amp; F. R. Jacobs, Manufacturing Planning and Control for Supply Chain Management, 5th ed., McGraw-Hill, 2005, p. 3.</w:t>
      </w:r>
    </w:p>
  </w:footnote>
  <w:footnote w:id="52">
    <w:p>
      <w:pPr>
        <w:pStyle w:val="FootnoteText"/>
        <w:bidi/>
        <w:jc w:val="right"/>
      </w:pPr>
      <w:r>
        <w:rPr>
          <w:rStyle w:val="FootnoteReference"/>
        </w:rPr>
        <w:footnoteRef/>
      </w:r>
      <w:r>
        <w:rPr>
          <w:rtl/>
        </w:rPr>
        <w:t xml:space="preserve"> </w:t>
      </w:r>
      <w:r>
        <w:rPr>
          <w:rtl/>
        </w:rPr>
        <w:t xml:space="preserve"> </w:t>
      </w:r>
      <w:r>
        <w:rPr>
          <w:rtl/>
        </w:rPr>
        <w:t xml:space="preserve">راجع: R. H. Wilson,</w:t>
      </w:r>
      <w:r>
        <w:rPr>
          <w:rtl/>
        </w:rPr>
        <w:t xml:space="preserve"> </w:t>
      </w:r>
      <w:r>
        <w:rPr>
          <w:rtl/>
        </w:rPr>
        <w:t xml:space="preserve">“A Scientific Routine for Stock Control”</w:t>
      </w:r>
      <w:r>
        <w:rPr>
          <w:rtl/>
        </w:rPr>
        <w:t xml:space="preserve">, Harvard Business Review, Vol. 13, N° 1, 1934, p. 120. وكذلك: F. W. Harris,</w:t>
      </w:r>
      <w:r>
        <w:rPr>
          <w:rtl/>
        </w:rPr>
        <w:t xml:space="preserve"> </w:t>
      </w:r>
      <w:r>
        <w:rPr>
          <w:rtl/>
        </w:rPr>
        <w:t xml:space="preserve">“How Many Parts to Make at Once”</w:t>
      </w:r>
      <w:r>
        <w:rPr>
          <w:rtl/>
        </w:rPr>
        <w:t xml:space="preserve">, Factory, The Magazine of Management, Vol. 10, N° 2, 1913, p. 136.</w:t>
      </w:r>
    </w:p>
  </w:footnote>
  <w:footnote w:id="53">
    <w:p>
      <w:pPr>
        <w:pStyle w:val="FootnoteText"/>
        <w:bidi/>
        <w:jc w:val="right"/>
      </w:pPr>
      <w:r>
        <w:rPr>
          <w:rStyle w:val="FootnoteReference"/>
        </w:rPr>
        <w:footnoteRef/>
      </w:r>
      <w:r>
        <w:rPr>
          <w:rtl/>
        </w:rPr>
        <w:t xml:space="preserve"> </w:t>
      </w:r>
      <w:r>
        <w:rPr>
          <w:rtl/>
        </w:rPr>
        <w:t xml:space="preserve"> </w:t>
      </w:r>
      <w:r>
        <w:rPr>
          <w:rtl/>
        </w:rPr>
        <w:t xml:space="preserve">راجع: E. A. Silver, D. F. Pyke &amp; D. J. Thomas, Inventory and Production Management in Supply Chains, 4th ed., Springer, 2017, p. 74.</w:t>
      </w:r>
    </w:p>
  </w:footnote>
  <w:footnote w:id="55">
    <w:p>
      <w:pPr>
        <w:pStyle w:val="FootnoteText"/>
        <w:bidi/>
        <w:jc w:val="right"/>
      </w:pPr>
      <w:r>
        <w:rPr>
          <w:rStyle w:val="FootnoteReference"/>
        </w:rPr>
        <w:footnoteRef/>
      </w:r>
      <w:r>
        <w:rPr>
          <w:rtl/>
        </w:rPr>
        <w:t xml:space="preserve"> </w:t>
      </w:r>
      <w:r>
        <w:rPr>
          <w:rtl/>
        </w:rPr>
        <w:t xml:space="preserve"> </w:t>
      </w:r>
      <w:r>
        <w:rPr>
          <w:rtl/>
        </w:rPr>
        <w:t xml:space="preserve">راجع: مديرية التربية لولاية البيض — مصلحة المخازن، السجلات السنوية لحركة المخزون، وثائق داخلية غير منشورة، 2025. ومديرية التربية لولاية البيض — مصلحة الميزانية، بيانات تكاليف الطلب والاحتفاظ، وثائق داخلية غير منشورة، 2025.</w:t>
      </w:r>
    </w:p>
  </w:footnote>
  <w:footnote w:id="63">
    <w:p>
      <w:pPr>
        <w:pStyle w:val="FootnoteText"/>
        <w:bidi/>
        <w:jc w:val="right"/>
      </w:pPr>
      <w:r>
        <w:rPr>
          <w:rStyle w:val="FootnoteReference"/>
        </w:rPr>
        <w:footnoteRef/>
      </w:r>
      <w:r>
        <w:rPr>
          <w:rtl/>
        </w:rPr>
        <w:t xml:space="preserve"> </w:t>
      </w:r>
      <w:r>
        <w:rPr>
          <w:rtl/>
        </w:rPr>
        <w:t xml:space="preserve"> </w:t>
      </w:r>
      <w:r>
        <w:rPr>
          <w:rtl/>
        </w:rPr>
        <w:t xml:space="preserve">راجع: Chopra, S., &amp; Meindl, P.. (2019).</w:t>
      </w:r>
      <w:r>
        <w:rPr>
          <w:rtl/>
        </w:rPr>
        <w:t xml:space="preserve"> </w:t>
      </w:r>
      <w:r>
        <w:rPr>
          <w:i/>
          <w:iCs/>
          <w:rtl/>
        </w:rPr>
        <w:t xml:space="preserve">Supply Chain Management: Strategy, Planning, and Operation</w:t>
      </w:r>
      <w:r>
        <w:rPr>
          <w:rtl/>
        </w:rPr>
        <w:t xml:space="preserve"> </w:t>
      </w:r>
      <w:r>
        <w:rPr>
          <w:rtl/>
        </w:rPr>
        <w:t xml:space="preserve">(7th ed.). Pearson.</w:t>
      </w:r>
    </w:p>
  </w:footnote>
  <w:footnote w:id="64">
    <w:p>
      <w:pPr>
        <w:pStyle w:val="FootnoteText"/>
        <w:bidi/>
        <w:jc w:val="right"/>
      </w:pPr>
      <w:r>
        <w:rPr>
          <w:rStyle w:val="FootnoteReference"/>
        </w:rPr>
        <w:footnoteRef/>
      </w:r>
      <w:r>
        <w:rPr>
          <w:rtl/>
        </w:rPr>
        <w:t xml:space="preserve"> </w:t>
      </w:r>
      <w:r>
        <w:rPr>
          <w:rtl/>
        </w:rPr>
        <w:t xml:space="preserve"> </w:t>
      </w:r>
      <w:r>
        <w:rPr>
          <w:rtl/>
        </w:rPr>
        <w:t xml:space="preserve">راجع: Cooper, M. C., Lambert, D. M., &amp; Pagh, J. D.. (1997). Supply Chain Management: More Than a New Name for Logistics.</w:t>
      </w:r>
      <w:r>
        <w:rPr>
          <w:rtl/>
        </w:rPr>
        <w:t xml:space="preserve"> </w:t>
      </w:r>
      <w:r>
        <w:rPr>
          <w:i/>
          <w:iCs/>
          <w:rtl/>
        </w:rPr>
        <w:t xml:space="preserve">The International Journal of Logistics Management</w:t>
      </w:r>
      <w:r>
        <w:rPr>
          <w:rtl/>
        </w:rPr>
        <w:t xml:space="preserve">, 8(1), 1–14.</w:t>
      </w:r>
    </w:p>
  </w:footnote>
  <w:footnote w:id="65">
    <w:p>
      <w:pPr>
        <w:pStyle w:val="FootnoteText"/>
        <w:bidi/>
        <w:jc w:val="right"/>
      </w:pPr>
      <w:r>
        <w:rPr>
          <w:rStyle w:val="FootnoteReference"/>
        </w:rPr>
        <w:footnoteRef/>
      </w:r>
      <w:r>
        <w:rPr>
          <w:rtl/>
        </w:rPr>
        <w:t xml:space="preserve"> </w:t>
      </w:r>
      <w:r>
        <w:rPr>
          <w:rtl/>
        </w:rPr>
        <w:t xml:space="preserve"> </w:t>
      </w:r>
      <w:r>
        <w:rPr>
          <w:rtl/>
        </w:rPr>
        <w:t xml:space="preserve">راجع: Lambert, D. M., &amp; Stock, J. R.. (1993).</w:t>
      </w:r>
      <w:r>
        <w:rPr>
          <w:rtl/>
        </w:rPr>
        <w:t xml:space="preserve"> </w:t>
      </w:r>
      <w:r>
        <w:rPr>
          <w:i/>
          <w:iCs/>
          <w:rtl/>
        </w:rPr>
        <w:t xml:space="preserve">Strategic Logistics Management</w:t>
      </w:r>
      <w:r>
        <w:rPr>
          <w:rtl/>
        </w:rPr>
        <w:t xml:space="preserve"> </w:t>
      </w:r>
      <w:r>
        <w:rPr>
          <w:rtl/>
        </w:rPr>
        <w:t xml:space="preserve">(3rd ed.). Irwin.</w:t>
      </w:r>
    </w:p>
  </w:footnote>
  <w:footnote w:id="66">
    <w:p>
      <w:pPr>
        <w:pStyle w:val="FootnoteText"/>
        <w:bidi/>
        <w:jc w:val="right"/>
      </w:pPr>
      <w:r>
        <w:rPr>
          <w:rStyle w:val="FootnoteReference"/>
        </w:rPr>
        <w:footnoteRef/>
      </w:r>
      <w:r>
        <w:rPr>
          <w:rtl/>
        </w:rPr>
        <w:t xml:space="preserve"> </w:t>
      </w:r>
      <w:r>
        <w:rPr>
          <w:rtl/>
        </w:rPr>
        <w:t xml:space="preserve"> </w:t>
      </w:r>
      <w:r>
        <w:rPr>
          <w:rtl/>
        </w:rPr>
        <w:t xml:space="preserve">راجع: Harris, F. W.. (1913). How Many Parts to Make at Once.</w:t>
      </w:r>
      <w:r>
        <w:rPr>
          <w:rtl/>
        </w:rPr>
        <w:t xml:space="preserve"> </w:t>
      </w:r>
      <w:r>
        <w:rPr>
          <w:i/>
          <w:iCs/>
          <w:rtl/>
        </w:rPr>
        <w:t xml:space="preserve">Factory, The Magazine of Management</w:t>
      </w:r>
      <w:r>
        <w:rPr>
          <w:rtl/>
        </w:rPr>
        <w:t xml:space="preserve">, 10(2), 135–136, 152.</w:t>
      </w:r>
    </w:p>
  </w:footnote>
  <w:footnote w:id="67">
    <w:p>
      <w:pPr>
        <w:pStyle w:val="FootnoteText"/>
        <w:bidi/>
        <w:jc w:val="right"/>
      </w:pPr>
      <w:r>
        <w:rPr>
          <w:rStyle w:val="FootnoteReference"/>
        </w:rPr>
        <w:footnoteRef/>
      </w:r>
      <w:r>
        <w:rPr>
          <w:rtl/>
        </w:rPr>
        <w:t xml:space="preserve"> </w:t>
      </w:r>
      <w:r>
        <w:rPr>
          <w:rtl/>
        </w:rPr>
        <w:t xml:space="preserve"> </w:t>
      </w:r>
      <w:r>
        <w:rPr>
          <w:rtl/>
        </w:rPr>
        <w:t xml:space="preserve">راجع: Silver, E. A., Pyke, D. F., &amp; Thomas, D. J.. (2017).</w:t>
      </w:r>
      <w:r>
        <w:rPr>
          <w:rtl/>
        </w:rPr>
        <w:t xml:space="preserve"> </w:t>
      </w:r>
      <w:r>
        <w:rPr>
          <w:i/>
          <w:iCs/>
          <w:rtl/>
        </w:rPr>
        <w:t xml:space="preserve">Inventory and Production Management in Supply Chains</w:t>
      </w:r>
      <w:r>
        <w:rPr>
          <w:rtl/>
        </w:rPr>
        <w:t xml:space="preserve"> </w:t>
      </w:r>
      <w:r>
        <w:rPr>
          <w:rtl/>
        </w:rPr>
        <w:t xml:space="preserve">(4th ed.). Springer.</w:t>
      </w:r>
    </w:p>
  </w:footnote>
  <w:footnote w:id="68">
    <w:p>
      <w:pPr>
        <w:pStyle w:val="FootnoteText"/>
        <w:bidi/>
        <w:jc w:val="right"/>
      </w:pPr>
      <w:r>
        <w:rPr>
          <w:rStyle w:val="FootnoteReference"/>
        </w:rPr>
        <w:footnoteRef/>
      </w:r>
      <w:r>
        <w:rPr>
          <w:rtl/>
        </w:rPr>
        <w:t xml:space="preserve"> </w:t>
      </w:r>
      <w:r>
        <w:rPr>
          <w:rtl/>
        </w:rPr>
        <w:t xml:space="preserve"> </w:t>
      </w:r>
      <w:r>
        <w:rPr>
          <w:rtl/>
        </w:rPr>
        <w:t xml:space="preserve">راجع: Stock, J. R., &amp; Lambert, D. M.. (2001).</w:t>
      </w:r>
      <w:r>
        <w:rPr>
          <w:rtl/>
        </w:rPr>
        <w:t xml:space="preserve"> </w:t>
      </w:r>
      <w:r>
        <w:rPr>
          <w:i/>
          <w:iCs/>
          <w:rtl/>
        </w:rPr>
        <w:t xml:space="preserve">Strategic Logistics Management</w:t>
      </w:r>
      <w:r>
        <w:rPr>
          <w:rtl/>
        </w:rPr>
        <w:t xml:space="preserve"> </w:t>
      </w:r>
      <w:r>
        <w:rPr>
          <w:rtl/>
        </w:rPr>
        <w:t xml:space="preserve">(4th ed.). McGraw-Hill.</w:t>
      </w:r>
    </w:p>
  </w:footnote>
  <w:footnote w:id="69">
    <w:p>
      <w:pPr>
        <w:pStyle w:val="FootnoteText"/>
        <w:bidi/>
        <w:jc w:val="right"/>
      </w:pPr>
      <w:r>
        <w:rPr>
          <w:rStyle w:val="FootnoteReference"/>
        </w:rPr>
        <w:footnoteRef/>
      </w:r>
      <w:r>
        <w:rPr>
          <w:rtl/>
        </w:rPr>
        <w:t xml:space="preserve"> </w:t>
      </w:r>
      <w:r>
        <w:rPr>
          <w:rtl/>
        </w:rPr>
        <w:t xml:space="preserve"> </w:t>
      </w:r>
      <w:r>
        <w:rPr>
          <w:rtl/>
        </w:rPr>
        <w:t xml:space="preserve">راجع: Van Weele, A. J.. (2010).</w:t>
      </w:r>
      <w:r>
        <w:rPr>
          <w:rtl/>
        </w:rPr>
        <w:t xml:space="preserve"> </w:t>
      </w:r>
      <w:r>
        <w:rPr>
          <w:i/>
          <w:iCs/>
          <w:rtl/>
        </w:rPr>
        <w:t xml:space="preserve">Purchasing and Supply Chain Management: Analysis, Strategy, Planning and Practice</w:t>
      </w:r>
      <w:r>
        <w:rPr>
          <w:rtl/>
        </w:rPr>
        <w:t xml:space="preserve"> </w:t>
      </w:r>
      <w:r>
        <w:rPr>
          <w:rtl/>
        </w:rPr>
        <w:t xml:space="preserve">(5th ed.). Cengage Learning.</w:t>
      </w:r>
    </w:p>
  </w:footnote>
  <w:footnote w:id="70">
    <w:p>
      <w:pPr>
        <w:pStyle w:val="FootnoteText"/>
        <w:bidi/>
        <w:jc w:val="right"/>
      </w:pPr>
      <w:r>
        <w:rPr>
          <w:rStyle w:val="FootnoteReference"/>
        </w:rPr>
        <w:footnoteRef/>
      </w:r>
      <w:r>
        <w:rPr>
          <w:rtl/>
        </w:rPr>
        <w:t xml:space="preserve"> </w:t>
      </w:r>
      <w:r>
        <w:rPr>
          <w:rtl/>
        </w:rPr>
        <w:t xml:space="preserve"> </w:t>
      </w:r>
      <w:r>
        <w:rPr>
          <w:rtl/>
        </w:rPr>
        <w:t xml:space="preserve">راجع: Vollmann, T. E., Berry, W. L., Whybark, D. C., &amp; Jacobs, F. R.. (2005).</w:t>
      </w:r>
      <w:r>
        <w:rPr>
          <w:rtl/>
        </w:rPr>
        <w:t xml:space="preserve"> </w:t>
      </w:r>
      <w:r>
        <w:rPr>
          <w:i/>
          <w:iCs/>
          <w:rtl/>
        </w:rPr>
        <w:t xml:space="preserve">Manufacturing Planning and Control for Supply Chain Management</w:t>
      </w:r>
      <w:r>
        <w:rPr>
          <w:rtl/>
        </w:rPr>
        <w:t xml:space="preserve"> </w:t>
      </w:r>
      <w:r>
        <w:rPr>
          <w:rtl/>
        </w:rPr>
        <w:t xml:space="preserve">(5th ed.). McGraw-Hill.</w:t>
      </w:r>
    </w:p>
  </w:footnote>
  <w:footnote w:id="71">
    <w:p>
      <w:pPr>
        <w:pStyle w:val="FootnoteText"/>
        <w:bidi/>
        <w:jc w:val="right"/>
      </w:pPr>
      <w:r>
        <w:rPr>
          <w:rStyle w:val="FootnoteReference"/>
        </w:rPr>
        <w:footnoteRef/>
      </w:r>
      <w:r>
        <w:rPr>
          <w:rtl/>
        </w:rPr>
        <w:t xml:space="preserve"> </w:t>
      </w:r>
      <w:r>
        <w:rPr>
          <w:rtl/>
        </w:rPr>
        <w:t xml:space="preserve"> </w:t>
      </w:r>
      <w:r>
        <w:rPr>
          <w:rtl/>
        </w:rPr>
        <w:t xml:space="preserve">راجع: Wilson, R. H.. (1934). A Scientific Routine for Stock Control.</w:t>
      </w:r>
      <w:r>
        <w:rPr>
          <w:rtl/>
        </w:rPr>
        <w:t xml:space="preserve"> </w:t>
      </w:r>
      <w:r>
        <w:rPr>
          <w:i/>
          <w:iCs/>
          <w:rtl/>
        </w:rPr>
        <w:t xml:space="preserve">Harvard Business Review</w:t>
      </w:r>
      <w:r>
        <w:rPr>
          <w:rtl/>
        </w:rPr>
        <w:t xml:space="preserve">, 13(1), 116–128.</w:t>
      </w:r>
    </w:p>
  </w:footnote>
  <w:footnote w:id="72">
    <w:p>
      <w:pPr>
        <w:pStyle w:val="FootnoteText"/>
        <w:bidi/>
        <w:jc w:val="right"/>
      </w:pPr>
      <w:r>
        <w:rPr>
          <w:rStyle w:val="FootnoteReference"/>
        </w:rPr>
        <w:footnoteRef/>
      </w:r>
      <w:r>
        <w:rPr>
          <w:rtl/>
        </w:rPr>
        <w:t xml:space="preserve"> </w:t>
      </w:r>
      <w:r>
        <w:rPr>
          <w:rtl/>
        </w:rPr>
        <w:t xml:space="preserve"> </w:t>
      </w:r>
      <w:r>
        <w:rPr>
          <w:rtl/>
        </w:rPr>
        <w:t xml:space="preserve">راجع: Zipkin, P. H.. (2000).</w:t>
      </w:r>
      <w:r>
        <w:rPr>
          <w:rtl/>
        </w:rPr>
        <w:t xml:space="preserve"> </w:t>
      </w:r>
      <w:r>
        <w:rPr>
          <w:i/>
          <w:iCs/>
          <w:rtl/>
        </w:rPr>
        <w:t xml:space="preserve">Foundations of Inventory Management</w:t>
      </w:r>
      <w:r>
        <w:rPr>
          <w:rtl/>
        </w:rPr>
        <w:t xml:space="preserve">. McGraw-Hill.</w:t>
      </w:r>
    </w:p>
  </w:footnote>
  <w:footnote w:id="78">
    <w:p>
      <w:pPr>
        <w:pStyle w:val="FootnoteText"/>
        <w:bidi/>
        <w:jc w:val="right"/>
      </w:pPr>
      <w:r>
        <w:rPr>
          <w:rStyle w:val="FootnoteReference"/>
        </w:rPr>
        <w:footnoteRef/>
      </w:r>
      <w:r>
        <w:rPr>
          <w:rtl/>
        </w:rPr>
        <w:t xml:space="preserve"> </w:t>
      </w:r>
      <w:r>
        <w:rPr>
          <w:rtl/>
        </w:rPr>
        <w:t xml:space="preserve"> </w:t>
      </w:r>
      <w:r>
        <w:rPr>
          <w:rtl/>
        </w:rPr>
        <w:t xml:space="preserve">راجع: الجمهورية الجزائرية الديمقراطية الشعبية، المرسوم التنفيذي رقم 20-270 المتعلق بتنظيم الميزانية والمحاسبة العمومية، الجريدة الرسمية، 2020.</w:t>
      </w:r>
    </w:p>
  </w:footnote>
  <w:footnote w:id="82">
    <w:p>
      <w:pPr>
        <w:pStyle w:val="FootnoteText"/>
        <w:bidi/>
        <w:jc w:val="right"/>
      </w:pPr>
      <w:r>
        <w:rPr>
          <w:rStyle w:val="FootnoteReference"/>
        </w:rPr>
        <w:footnoteRef/>
      </w:r>
      <w:r>
        <w:rPr>
          <w:rtl/>
        </w:rPr>
        <w:t xml:space="preserve"> </w:t>
      </w:r>
      <w:r>
        <w:rPr>
          <w:rtl/>
        </w:rPr>
        <w:t xml:space="preserve"> </w:t>
      </w:r>
      <w:r>
        <w:rPr>
          <w:rtl/>
        </w:rPr>
        <w:t xml:space="preserve">راجع: وزارة المالية ووزارة التربية الوطنية، المنشور الوزاري المشترك المتعلق بتسيير المستودعات في المؤسسات التربوية، وثيقة داخلية، 2023.</w:t>
      </w:r>
    </w:p>
  </w:footnote>
  <w:footnote w:id="91">
    <w:p>
      <w:pPr>
        <w:pStyle w:val="FootnoteText"/>
        <w:bidi/>
        <w:jc w:val="right"/>
      </w:pPr>
      <w:r>
        <w:rPr>
          <w:rStyle w:val="FootnoteReference"/>
        </w:rPr>
        <w:footnoteRef/>
      </w:r>
      <w:r>
        <w:rPr>
          <w:rtl/>
        </w:rPr>
        <w:t xml:space="preserve"> </w:t>
      </w:r>
      <w:r>
        <w:rPr>
          <w:rtl/>
        </w:rPr>
        <w:t xml:space="preserve"> </w:t>
      </w:r>
      <w:r>
        <w:rPr>
          <w:rtl/>
        </w:rPr>
        <w:t xml:space="preserve">راجع: الجمهورية الجزائرية الديمقراطية الشعبية.. (2003). الأمر رقم 03-07 المؤرخ في 19 جمادى الأولى 1424 الموافق 19 يوليو 2003 المتعلق ببراءات الاختراع.</w:t>
      </w:r>
      <w:r>
        <w:rPr>
          <w:rtl/>
        </w:rPr>
        <w:t xml:space="preserve"> </w:t>
      </w:r>
      <w:r>
        <w:rPr>
          <w:i/>
          <w:iCs/>
          <w:rtl/>
        </w:rPr>
        <w:t xml:space="preserve">الجريدة الرسمية</w:t>
      </w:r>
      <w:r>
        <w:rPr>
          <w:rtl/>
        </w:rPr>
        <w:t xml:space="preserve">.</w:t>
      </w:r>
    </w:p>
  </w:footnote>
  <w:footnote w:id="92">
    <w:p>
      <w:pPr>
        <w:pStyle w:val="FootnoteText"/>
        <w:bidi/>
        <w:jc w:val="right"/>
      </w:pPr>
      <w:r>
        <w:rPr>
          <w:rStyle w:val="FootnoteReference"/>
        </w:rPr>
        <w:footnoteRef/>
      </w:r>
      <w:r>
        <w:rPr>
          <w:rtl/>
        </w:rPr>
        <w:t xml:space="preserve"> </w:t>
      </w:r>
      <w:r>
        <w:rPr>
          <w:rtl/>
        </w:rPr>
        <w:t xml:space="preserve"> </w:t>
      </w:r>
      <w:r>
        <w:rPr>
          <w:rtl/>
        </w:rPr>
        <w:t xml:space="preserve">راجع: الجمهورية الجزائرية الديمقراطية الشعبية.. (2003). الأمر رقم 03-05 المؤرخ في 19 جمادى الأولى 1424 الموافق 19 يوليو 2003 المتعلق بحقوق المؤلف والحقوق المجاورة.</w:t>
      </w:r>
      <w:r>
        <w:rPr>
          <w:rtl/>
        </w:rPr>
        <w:t xml:space="preserve"> </w:t>
      </w:r>
      <w:r>
        <w:rPr>
          <w:i/>
          <w:iCs/>
          <w:rtl/>
        </w:rPr>
        <w:t xml:space="preserve">الجريدة الرسمية</w:t>
      </w:r>
      <w:r>
        <w:rPr>
          <w:rtl/>
        </w:rPr>
        <w:t xml:space="preserve">.</w:t>
      </w:r>
    </w:p>
  </w:footnote>
  <w:footnote w:id="93">
    <w:p>
      <w:pPr>
        <w:pStyle w:val="FootnoteText"/>
        <w:bidi/>
        <w:jc w:val="right"/>
      </w:pPr>
      <w:r>
        <w:rPr>
          <w:rStyle w:val="FootnoteReference"/>
        </w:rPr>
        <w:footnoteRef/>
      </w:r>
      <w:r>
        <w:rPr>
          <w:rtl/>
        </w:rPr>
        <w:t xml:space="preserve"> </w:t>
      </w:r>
      <w:r>
        <w:rPr>
          <w:rtl/>
        </w:rPr>
        <w:t xml:space="preserve"> </w:t>
      </w:r>
      <w:r>
        <w:rPr>
          <w:rtl/>
        </w:rPr>
        <w:t xml:space="preserve">راجع: الجمهورية الجزائرية الديمقراطية الشعبية.. (2015). المرسوم الرئاسي رقم 15-247 المؤرخ في 16 سبتمبر 2015 المتعلق بتنظيم الصفقات العمومية وتسييرها.</w:t>
      </w:r>
      <w:r>
        <w:rPr>
          <w:rtl/>
        </w:rPr>
        <w:t xml:space="preserve"> </w:t>
      </w:r>
      <w:r>
        <w:rPr>
          <w:i/>
          <w:iCs/>
          <w:rtl/>
        </w:rPr>
        <w:t xml:space="preserve">الجريدة الرسمية</w:t>
      </w:r>
      <w:r>
        <w:rPr>
          <w:rtl/>
        </w:rPr>
        <w:t xml:space="preserve">.</w:t>
      </w:r>
    </w:p>
  </w:footnote>
  <w:footnote w:id="94">
    <w:p>
      <w:pPr>
        <w:pStyle w:val="FootnoteText"/>
        <w:bidi/>
        <w:jc w:val="right"/>
      </w:pPr>
      <w:r>
        <w:rPr>
          <w:rStyle w:val="FootnoteReference"/>
        </w:rPr>
        <w:footnoteRef/>
      </w:r>
      <w:r>
        <w:rPr>
          <w:rtl/>
        </w:rPr>
        <w:t xml:space="preserve"> </w:t>
      </w:r>
      <w:r>
        <w:rPr>
          <w:rtl/>
        </w:rPr>
        <w:t xml:space="preserve"> </w:t>
      </w:r>
      <w:r>
        <w:rPr>
          <w:rtl/>
        </w:rPr>
        <w:t xml:space="preserve">راجع: الجمهورية الجزائرية الديمقراطية الشعبية.. (2020). المرسوم التنفيذي رقم 20-270 المتعلق بتنظيم الميزانية والمحاسبة العمومية.</w:t>
      </w:r>
      <w:r>
        <w:rPr>
          <w:rtl/>
        </w:rPr>
        <w:t xml:space="preserve"> </w:t>
      </w:r>
      <w:r>
        <w:rPr>
          <w:i/>
          <w:iCs/>
          <w:rtl/>
        </w:rPr>
        <w:t xml:space="preserve">الجريدة الرسمية</w:t>
      </w:r>
      <w:r>
        <w:rPr>
          <w:rtl/>
        </w:rPr>
        <w:t xml:space="preserve">.</w:t>
      </w:r>
    </w:p>
  </w:footnote>
  <w:footnote w:id="95">
    <w:p>
      <w:pPr>
        <w:pStyle w:val="FootnoteText"/>
        <w:bidi/>
        <w:jc w:val="right"/>
      </w:pPr>
      <w:r>
        <w:rPr>
          <w:rStyle w:val="FootnoteReference"/>
        </w:rPr>
        <w:footnoteRef/>
      </w:r>
      <w:r>
        <w:rPr>
          <w:rtl/>
        </w:rPr>
        <w:t xml:space="preserve"> </w:t>
      </w:r>
      <w:r>
        <w:rPr>
          <w:rtl/>
        </w:rPr>
        <w:t xml:space="preserve"> </w:t>
      </w:r>
      <w:r>
        <w:rPr>
          <w:rtl/>
        </w:rPr>
        <w:t xml:space="preserve">راجع: وزارة المالية ووزارة التربية الوطنية.. (2023). المنشور الوزاري المشترك المتعلق بتسيير المستودعات في المؤسسات التربوية. وثيقة داخلية.</w:t>
      </w:r>
    </w:p>
  </w:footnote>
  <w:footnote w:id="100">
    <w:p>
      <w:pPr>
        <w:pStyle w:val="FootnoteText"/>
        <w:bidi/>
        <w:jc w:val="right"/>
      </w:pPr>
      <w:r>
        <w:rPr>
          <w:rStyle w:val="FootnoteReference"/>
        </w:rPr>
        <w:footnoteRef/>
      </w:r>
      <w:r>
        <w:rPr>
          <w:rtl/>
        </w:rPr>
        <w:t xml:space="preserve"> </w:t>
      </w:r>
      <w:r>
        <w:rPr>
          <w:rtl/>
        </w:rPr>
        <w:t xml:space="preserve"> </w:t>
      </w:r>
      <w:r>
        <w:rPr>
          <w:rtl/>
        </w:rPr>
        <w:t xml:space="preserve">راجع: A. Sebti, Élaboration d’un outil d’aide à la décision pour la gestion des stocks basé sur l’étude prévisionnelle, Mémoire PFE, École Nationale Polytechnique d’Alger, 1993, p. 12.</w:t>
      </w:r>
    </w:p>
  </w:footnote>
  <w:footnote w:id="101">
    <w:p>
      <w:pPr>
        <w:pStyle w:val="FootnoteText"/>
        <w:bidi/>
        <w:jc w:val="right"/>
      </w:pPr>
      <w:r>
        <w:rPr>
          <w:rStyle w:val="FootnoteReference"/>
        </w:rPr>
        <w:footnoteRef/>
      </w:r>
      <w:r>
        <w:rPr>
          <w:rtl/>
        </w:rPr>
        <w:t xml:space="preserve"> </w:t>
      </w:r>
      <w:r>
        <w:rPr>
          <w:rtl/>
        </w:rPr>
        <w:t xml:space="preserve"> </w:t>
      </w:r>
      <w:r>
        <w:rPr>
          <w:rtl/>
        </w:rPr>
        <w:t xml:space="preserve">راجع: A. Yahi, Élaboration d’un logiciel de gestion de stocks de pièces de rechange, Mémoire PFE, École Nationale Polytechnique d’Alger, 1992, p. 8.</w:t>
      </w:r>
    </w:p>
  </w:footnote>
  <w:footnote w:id="102">
    <w:p>
      <w:pPr>
        <w:pStyle w:val="FootnoteText"/>
        <w:bidi/>
        <w:jc w:val="right"/>
      </w:pPr>
      <w:r>
        <w:rPr>
          <w:rStyle w:val="FootnoteReference"/>
        </w:rPr>
        <w:footnoteRef/>
      </w:r>
      <w:r>
        <w:rPr>
          <w:rtl/>
        </w:rPr>
        <w:t xml:space="preserve"> </w:t>
      </w:r>
      <w:r>
        <w:rPr>
          <w:rtl/>
        </w:rPr>
        <w:t xml:space="preserve"> </w:t>
      </w:r>
      <w:r>
        <w:rPr>
          <w:rtl/>
        </w:rPr>
        <w:t xml:space="preserve">راجع: M. Bouchahlata, Contribution à l’amélioration du lead time de la chaîne logistique en combinant une solution VBA et la business intelligence : application Ericsson Algérie, Mémoire PFE, École Nationale Polytechnique d’Alger, 2021, p. 45.</w:t>
      </w:r>
    </w:p>
  </w:footnote>
  <w:footnote w:id="109">
    <w:p>
      <w:pPr>
        <w:pStyle w:val="FootnoteText"/>
        <w:bidi/>
        <w:jc w:val="right"/>
      </w:pPr>
      <w:r>
        <w:rPr>
          <w:rStyle w:val="FootnoteReference"/>
        </w:rPr>
        <w:footnoteRef/>
      </w:r>
      <w:r>
        <w:rPr>
          <w:rtl/>
        </w:rPr>
        <w:t xml:space="preserve"> </w:t>
      </w:r>
      <w:r>
        <w:rPr>
          <w:rtl/>
        </w:rPr>
        <w:t xml:space="preserve"> </w:t>
      </w:r>
      <w:r>
        <w:rPr>
          <w:rtl/>
        </w:rPr>
        <w:t xml:space="preserve">راجع: Microsoft Corporation, VBA Reference — Visual Basic for Applications, Microsoft Docs, 2023.</w:t>
      </w:r>
    </w:p>
  </w:footnote>
  <w:footnote w:id="110">
    <w:p>
      <w:pPr>
        <w:pStyle w:val="FootnoteText"/>
        <w:bidi/>
        <w:jc w:val="right"/>
      </w:pPr>
      <w:r>
        <w:rPr>
          <w:rStyle w:val="FootnoteReference"/>
        </w:rPr>
        <w:footnoteRef/>
      </w:r>
      <w:r>
        <w:rPr>
          <w:rtl/>
        </w:rPr>
        <w:t xml:space="preserve"> </w:t>
      </w:r>
      <w:r>
        <w:rPr>
          <w:rtl/>
        </w:rPr>
        <w:t xml:space="preserve"> </w:t>
      </w:r>
      <w:r>
        <w:rPr>
          <w:rtl/>
        </w:rPr>
        <w:t xml:space="preserve">راجع: Microsoft Corporation, Excel Object Model Overview, Microsoft Docs, 2019.</w:t>
      </w:r>
    </w:p>
  </w:footnote>
  <w:footnote w:id="125">
    <w:p>
      <w:pPr>
        <w:pStyle w:val="FootnoteText"/>
        <w:bidi/>
        <w:jc w:val="right"/>
      </w:pPr>
      <w:r>
        <w:rPr>
          <w:rStyle w:val="FootnoteReference"/>
        </w:rPr>
        <w:footnoteRef/>
      </w:r>
      <w:r>
        <w:rPr>
          <w:rtl/>
        </w:rPr>
        <w:t xml:space="preserve"> </w:t>
      </w:r>
      <w:r>
        <w:rPr>
          <w:rtl/>
        </w:rPr>
        <w:t xml:space="preserve"> </w:t>
      </w:r>
      <w:r>
        <w:rPr>
          <w:rtl/>
        </w:rPr>
        <w:t xml:space="preserve">راجع: Kamel, M, ERP_Académie v13.3 — Système d’Aide à la Décision pour la Gestion des Stocks. GitHub. https://github.com/kamelmh/lsm-vba-core 2026</w:t>
      </w:r>
    </w:p>
  </w:footnote>
  <w:footnote w:id="126">
    <w:p>
      <w:pPr>
        <w:pStyle w:val="FootnoteText"/>
        <w:bidi/>
        <w:jc w:val="right"/>
      </w:pPr>
      <w:r>
        <w:rPr>
          <w:rStyle w:val="FootnoteReference"/>
        </w:rPr>
        <w:footnoteRef/>
      </w:r>
      <w:r>
        <w:rPr>
          <w:rtl/>
        </w:rPr>
        <w:t xml:space="preserve"> </w:t>
      </w:r>
      <w:r>
        <w:rPr>
          <w:rtl/>
        </w:rPr>
        <w:t xml:space="preserve"> </w:t>
      </w:r>
      <w:r>
        <w:rPr>
          <w:rtl/>
        </w:rPr>
        <w:t xml:space="preserve">راجع: Microsoft Corporation.. (2023). VBA Reference — Visual Basic for Applications.</w:t>
      </w:r>
      <w:r>
        <w:rPr>
          <w:rtl/>
        </w:rPr>
        <w:t xml:space="preserve"> </w:t>
      </w:r>
      <w:r>
        <w:rPr>
          <w:i/>
          <w:iCs/>
          <w:rtl/>
        </w:rPr>
        <w:t xml:space="preserve">Microsoft Docs</w:t>
      </w:r>
      <w:r>
        <w:rPr>
          <w:rtl/>
        </w:rPr>
        <w:t xml:space="preserve">.</w:t>
      </w:r>
    </w:p>
  </w:footnote>
  <w:footnote w:id="127">
    <w:p>
      <w:pPr>
        <w:pStyle w:val="FootnoteText"/>
        <w:bidi/>
        <w:jc w:val="right"/>
      </w:pPr>
      <w:r>
        <w:rPr>
          <w:rStyle w:val="FootnoteReference"/>
        </w:rPr>
        <w:footnoteRef/>
      </w:r>
      <w:r>
        <w:rPr>
          <w:rtl/>
        </w:rPr>
        <w:t xml:space="preserve"> </w:t>
      </w:r>
      <w:r>
        <w:rPr>
          <w:rtl/>
        </w:rPr>
        <w:t xml:space="preserve"> </w:t>
      </w:r>
      <w:r>
        <w:rPr>
          <w:rtl/>
        </w:rPr>
        <w:t xml:space="preserve">راجع: Microsoft Corporation.. (2019). Excel Object Model Overview.</w:t>
      </w:r>
      <w:r>
        <w:rPr>
          <w:rtl/>
        </w:rPr>
        <w:t xml:space="preserve"> </w:t>
      </w:r>
      <w:r>
        <w:rPr>
          <w:i/>
          <w:iCs/>
          <w:rtl/>
        </w:rPr>
        <w:t xml:space="preserve">Microsoft Docs</w:t>
      </w:r>
      <w:r>
        <w:rPr>
          <w:rtl/>
        </w:rPr>
        <w:t xml:space="preserve">.</w:t>
      </w:r>
    </w:p>
  </w:footnote>
  <w:footnote w:id="141">
    <w:p>
      <w:pPr>
        <w:pStyle w:val="FootnoteText"/>
        <w:bidi/>
        <w:jc w:val="right"/>
      </w:pPr>
      <w:r>
        <w:rPr>
          <w:rStyle w:val="FootnoteReference"/>
        </w:rPr>
        <w:footnoteRef/>
      </w:r>
      <w:r>
        <w:rPr>
          <w:rtl/>
        </w:rPr>
        <w:t xml:space="preserve"> </w:t>
      </w:r>
      <w:r>
        <w:rPr>
          <w:rtl/>
        </w:rPr>
        <w:t xml:space="preserve"> </w:t>
      </w:r>
      <w:r>
        <w:rPr>
          <w:rtl/>
        </w:rPr>
        <w:t xml:space="preserve">راجع: المنهاج الدراسي BTS GSL (TAG1801) — المقاييس الـ31 المُغطَّاة في هذه المذكرة: 17. وزارة التربية الوطنية، الديوان الوطني للامتحانات والمسابقات. 18. تحديد وجمع المعلومات الداخلية والخارجية (Identification et Collecte des Informations Internes et Externes). 19. دراسة الأسعار وشروط التفاوض (Études des Prix et les Conditions de Négociation). 20. القانون الاجتماعي (Droit Social). 21. الإعلام الآلي (Informatique). … و26 مقاييس أخرى (المرجع الكامل في قائمة المراجع)</w:t>
      </w:r>
    </w:p>
  </w:footnote>
  <w:footnote w:id="155">
    <w:p>
      <w:pPr>
        <w:pStyle w:val="FootnoteText"/>
        <w:bidi/>
        <w:jc w:val="right"/>
      </w:pPr>
      <w:r>
        <w:rPr>
          <w:rStyle w:val="FootnoteReference"/>
        </w:rPr>
        <w:footnoteRef/>
      </w:r>
      <w:r>
        <w:rPr>
          <w:rtl/>
        </w:rPr>
        <w:t xml:space="preserve"> </w:t>
      </w:r>
      <w:r>
        <w:rPr>
          <w:rtl/>
        </w:rPr>
        <w:t xml:space="preserve"> </w:t>
      </w:r>
      <w:r>
        <w:rPr>
          <w:rtl/>
        </w:rPr>
        <w:t xml:space="preserve">راجع: Bouchahlata, M.. (2021).</w:t>
      </w:r>
      <w:r>
        <w:rPr>
          <w:rtl/>
        </w:rPr>
        <w:t xml:space="preserve"> </w:t>
      </w:r>
      <w:r>
        <w:rPr>
          <w:i/>
          <w:iCs/>
          <w:rtl/>
        </w:rPr>
        <w:t xml:space="preserve">Contribution à l’amélioration du lead time de la chaîne logistique en combinant une solution VBA et la business intelligence : application Ericsson Algérie</w:t>
      </w:r>
      <w:r>
        <w:rPr>
          <w:rtl/>
        </w:rPr>
        <w:t xml:space="preserve">. Mémoire de Projet de Fin d’Études, École Nationale Polytechnique d’Alger.</w:t>
      </w:r>
    </w:p>
  </w:footnote>
  <w:footnote w:id="156">
    <w:p>
      <w:pPr>
        <w:pStyle w:val="FootnoteText"/>
        <w:bidi/>
        <w:jc w:val="right"/>
      </w:pPr>
      <w:r>
        <w:rPr>
          <w:rStyle w:val="FootnoteReference"/>
        </w:rPr>
        <w:footnoteRef/>
      </w:r>
      <w:r>
        <w:rPr>
          <w:rtl/>
        </w:rPr>
        <w:t xml:space="preserve"> </w:t>
      </w:r>
      <w:r>
        <w:rPr>
          <w:rtl/>
        </w:rPr>
        <w:t xml:space="preserve"> </w:t>
      </w:r>
      <w:r>
        <w:rPr>
          <w:rtl/>
        </w:rPr>
        <w:t xml:space="preserve">راجع: Sebti, A.. (1993).</w:t>
      </w:r>
      <w:r>
        <w:rPr>
          <w:rtl/>
        </w:rPr>
        <w:t xml:space="preserve"> </w:t>
      </w:r>
      <w:r>
        <w:rPr>
          <w:i/>
          <w:iCs/>
          <w:rtl/>
        </w:rPr>
        <w:t xml:space="preserve">Élaboration d’un outil d’aide à la décision pour la gestion des stocks basé sur l’étude prévisionnelle</w:t>
      </w:r>
      <w:r>
        <w:rPr>
          <w:rtl/>
        </w:rPr>
        <w:t xml:space="preserve">. Mémoire de Projet de Fin d’Études, École Nationale Polytechnique d’Alger.</w:t>
      </w:r>
    </w:p>
  </w:footnote>
  <w:footnote w:id="157">
    <w:p>
      <w:pPr>
        <w:pStyle w:val="FootnoteText"/>
        <w:bidi/>
        <w:jc w:val="right"/>
      </w:pPr>
      <w:r>
        <w:rPr>
          <w:rStyle w:val="FootnoteReference"/>
        </w:rPr>
        <w:footnoteRef/>
      </w:r>
      <w:r>
        <w:rPr>
          <w:rtl/>
        </w:rPr>
        <w:t xml:space="preserve"> </w:t>
      </w:r>
      <w:r>
        <w:rPr>
          <w:rtl/>
        </w:rPr>
        <w:t xml:space="preserve"> </w:t>
      </w:r>
      <w:r>
        <w:rPr>
          <w:rtl/>
        </w:rPr>
        <w:t xml:space="preserve">راجع: Yahi, A.. (1992).</w:t>
      </w:r>
      <w:r>
        <w:rPr>
          <w:rtl/>
        </w:rPr>
        <w:t xml:space="preserve"> </w:t>
      </w:r>
      <w:r>
        <w:rPr>
          <w:i/>
          <w:iCs/>
          <w:rtl/>
        </w:rPr>
        <w:t xml:space="preserve">Élaboration d’un logiciel de gestion de stocks de pièces de rechange</w:t>
      </w:r>
      <w:r>
        <w:rPr>
          <w:rtl/>
        </w:rPr>
        <w:t xml:space="preserve">. Mémoire de Projet de Fin d’Études, École Nationale Polytechnique d’Alger.</w:t>
      </w:r>
    </w:p>
  </w:footnote>
  <w:footnote w:id="158">
    <w:p>
      <w:pPr>
        <w:pStyle w:val="FootnoteText"/>
        <w:bidi/>
        <w:jc w:val="right"/>
      </w:pPr>
      <w:r>
        <w:rPr>
          <w:rStyle w:val="FootnoteReference"/>
        </w:rPr>
        <w:footnoteRef/>
      </w:r>
      <w:r>
        <w:rPr>
          <w:rtl/>
        </w:rPr>
        <w:t xml:space="preserve"> </w:t>
      </w:r>
      <w:r>
        <w:rPr>
          <w:rtl/>
        </w:rPr>
        <w:t xml:space="preserve"> </w:t>
      </w:r>
      <w:r>
        <w:rPr>
          <w:rtl/>
        </w:rPr>
        <w:t xml:space="preserve">راجع: Belhadi, M. E. A.. (2015).</w:t>
      </w:r>
      <w:r>
        <w:rPr>
          <w:rtl/>
        </w:rPr>
        <w:t xml:space="preserve"> </w:t>
      </w:r>
      <w:r>
        <w:rPr>
          <w:i/>
          <w:iCs/>
          <w:rtl/>
        </w:rPr>
        <w:t xml:space="preserve">Modélisation et optimisation de la gestion de stocks des pièces de rechange : application SASACE-Algérie</w:t>
      </w:r>
      <w:r>
        <w:rPr>
          <w:rtl/>
        </w:rPr>
        <w:t xml:space="preserve">. Mémoire de Projet de Fin d’Études, École Nationale Polytechnique d’Alger.</w:t>
      </w:r>
    </w:p>
  </w:footnote>
  <w:footnote w:id="179">
    <w:p>
      <w:pPr>
        <w:pStyle w:val="FootnoteText"/>
        <w:bidi/>
        <w:jc w:val="right"/>
      </w:pPr>
      <w:r>
        <w:rPr>
          <w:rStyle w:val="FootnoteReference"/>
        </w:rPr>
        <w:footnoteRef/>
      </w:r>
      <w:r>
        <w:rPr>
          <w:rtl/>
        </w:rPr>
        <w:t xml:space="preserve"> </w:t>
      </w:r>
      <w:r>
        <w:rPr>
          <w:rtl/>
        </w:rPr>
        <w:t xml:space="preserve"> </w:t>
      </w:r>
      <w:r>
        <w:rPr>
          <w:rtl/>
        </w:rPr>
        <w:t xml:space="preserve">راجع: مديرية التربية لولاية البيض — مصلحة المخازن.. (2025). السجلات السنوية لحركة المخزون (الفصلية). وثائق داخلية غير منشورة.</w:t>
      </w:r>
    </w:p>
  </w:footnote>
  <w:footnote w:id="180">
    <w:p>
      <w:pPr>
        <w:pStyle w:val="FootnoteText"/>
        <w:bidi/>
        <w:jc w:val="right"/>
      </w:pPr>
      <w:r>
        <w:rPr>
          <w:rStyle w:val="FootnoteReference"/>
        </w:rPr>
        <w:footnoteRef/>
      </w:r>
      <w:r>
        <w:rPr>
          <w:rtl/>
        </w:rPr>
        <w:t xml:space="preserve"> </w:t>
      </w:r>
      <w:r>
        <w:rPr>
          <w:rtl/>
        </w:rPr>
        <w:t xml:space="preserve"> </w:t>
      </w:r>
      <w:r>
        <w:rPr>
          <w:rtl/>
        </w:rPr>
        <w:t xml:space="preserve">راجع: مديرية التربية لولاية البيض — مصلحة الميزانية.. (2025). بيانات تكاليف الطلب والاحتفاظ. وثائق داخلية غير منشورة.</w:t>
      </w:r>
    </w:p>
  </w:footnote>
  <w:footnote w:id="181">
    <w:p>
      <w:pPr>
        <w:pStyle w:val="FootnoteText"/>
        <w:bidi/>
        <w:jc w:val="right"/>
      </w:pPr>
      <w:r>
        <w:rPr>
          <w:rStyle w:val="FootnoteReference"/>
        </w:rPr>
        <w:footnoteRef/>
      </w:r>
      <w:r>
        <w:rPr>
          <w:rtl/>
        </w:rPr>
        <w:t xml:space="preserve"> </w:t>
      </w:r>
      <w:r>
        <w:rPr>
          <w:rtl/>
        </w:rPr>
        <w:t xml:space="preserve"> </w:t>
      </w:r>
      <w:r>
        <w:rPr>
          <w:rtl/>
        </w:rPr>
        <w:t xml:space="preserve">راجع: Kamel, M.. (2026). ERP_Académie v13.3 — Système d’Aide à la Décision pour la Gestion des Stocks.</w:t>
      </w:r>
      <w:r>
        <w:rPr>
          <w:rtl/>
        </w:rPr>
        <w:t xml:space="preserve"> </w:t>
      </w:r>
      <w:r>
        <w:rPr>
          <w:i/>
          <w:iCs/>
          <w:rtl/>
        </w:rPr>
        <w:t xml:space="preserve">GitHub</w:t>
      </w:r>
      <w:r>
        <w:rPr>
          <w:rtl/>
        </w:rPr>
        <w:t xml:space="preserve">. https://github.com/kamelmh/lsm-vba-core.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raditional Arabic" w:cs="Traditional Arabic" w:eastAsia="Traditional Arabic" w:hAnsi="Traditional Arabic"/>
        <w:sz w:val="28"/>
        <w:szCs w:val="28"/>
        <w:lang w:bidi="ar" w:eastAsia="en-US" w:val="en-US"/>
      </w:rPr>
    </w:rPrDefault>
    <w:pPrDefault>
      <w:pPr>
        <w:spacing w:line="360" w:lineRule="auto"/>
      </w:pPr>
    </w:pPrDefault>
  </w:docDefaults>
  <w:latentStyles w:count="276" w:defLockedState="0" w:defQFormat="0" w:defSemiHidden="0" w:defUIPriority="0" w:defUnhideWhenUsed="0"/>
  <w:style w:default="1" w:styleId="Normal" w:type="paragraph">
    <w:name w:val="Normal"/>
    <w:qFormat/>
    <w:rPr>
      <w:rFonts w:cs="Times New Roman"/>
    </w:rPr>
  </w:style>
  <w:style w:styleId="BodyText" w:type="paragraph">
    <w:name w:val="Body Text"/>
    <w:basedOn w:val="Normal"/>
    <w:link w:val="BodyTextChar"/>
    <w:qFormat/>
    <w:pPr>
      <w:spacing w:after="180" w:before="180"/>
    </w:pPr>
    <w:rPr/>
  </w:style>
  <w:style w:customStyle="1" w:styleId="FirstParagraph" w:type="paragraph">
    <w:name w:val="First Paragraph"/>
    <w:basedOn w:val="BodyText"/>
    <w:next w:val="BodyText"/>
    <w:qFormat/>
    <w:rPr/>
  </w:style>
  <w:style w:customStyle="1" w:styleId="Compact" w:type="paragraph">
    <w:name w:val="Compact"/>
    <w:basedOn w:val="BodyText"/>
    <w:qFormat/>
    <w:pPr>
      <w:spacing w:after="36" w:before="36"/>
    </w:pPr>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right"/>
      <w:keepNext/>
      <w:keepLines/>
    </w:pPr>
    <w:rPr>
      <w:rFonts w:ascii="Traditional Arabic" w:asciiTheme="majorHAnsi" w:cstheme="majorBidi" w:eastAsiaTheme="majorEastAsia" w:hAnsi="Traditional Arabic" w:hAnsiTheme="majorHAnsi"/>
      <w:color w:val="1B2631"/>
      <w:sz w:val="48"/>
      <w:szCs w:val="32"/>
      <w:b/>
    </w:rPr>
  </w:style>
  <w:style w:styleId="Heading2" w:type="paragraph">
    <w:name w:val="heading 2"/>
    <w:basedOn w:val="Normal"/>
    <w:next w:val="BodyText"/>
    <w:link w:val="Heading2Char"/>
    <w:uiPriority w:val="9"/>
    <w:qFormat/>
    <w:rsid w:val="00A10FD9"/>
    <w:pPr>
      <w:keepNext/>
      <w:keepLines/>
      <w:spacing w:after="80" w:before="160"/>
      <w:outlineLvl w:val="1"/>
      <w:jc w:val="right"/>
      <w:keepNext/>
      <w:keepLines/>
    </w:pPr>
    <w:rPr>
      <w:rFonts w:ascii="Traditional Arabic" w:asciiTheme="majorHAnsi" w:cstheme="majorBidi" w:eastAsiaTheme="majorEastAsia" w:hAnsi="Traditional Arabic" w:hAnsiTheme="majorHAnsi"/>
      <w:color w:val="0C447C"/>
      <w:sz w:val="36"/>
      <w:szCs w:val="26"/>
      <w:b/>
    </w:rPr>
  </w:style>
  <w:style w:styleId="Heading3" w:type="paragraph">
    <w:name w:val="heading 3"/>
    <w:basedOn w:val="Normal"/>
    <w:next w:val="BodyText"/>
    <w:link w:val="Heading3Char"/>
    <w:uiPriority w:val="9"/>
    <w:qFormat/>
    <w:rsid w:val="00A10FD9"/>
    <w:pPr>
      <w:keepNext/>
      <w:keepLines/>
      <w:spacing w:after="80" w:before="160"/>
      <w:outlineLvl w:val="2"/>
      <w:jc w:val="right"/>
      <w:keepNext/>
      <w:keepLines/>
    </w:pPr>
    <w:rPr>
      <w:rFonts w:ascii="Traditional Arabic" w:cstheme="majorBidi" w:eastAsiaTheme="majorEastAsia" w:hAnsi="Traditional Arabic"/>
      <w:color w:val="0C447C"/>
      <w:sz w:val="32"/>
      <w:szCs w:val="24"/>
      <w:b/>
    </w:rPr>
  </w:style>
  <w:style w:styleId="Heading4" w:type="paragraph">
    <w:name w:val="heading 4"/>
    <w:basedOn w:val="Normal"/>
    <w:next w:val="BodyText"/>
    <w:link w:val="Heading4Char"/>
    <w:uiPriority w:val="9"/>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qFormat/>
    <w:pPr>
      <w:spacing w:after="100" w:before="100"/>
      <w:ind w:firstLine="0" w:left="480" w:right="480"/>
    </w:pPr>
    <w:rPr/>
  </w:style>
  <w:style w:styleId="FootnoteText" w:type="paragraph">
    <w:pPr>
      <w:spacing w:line="240" w:lineRule="auto"/>
    </w:pPr>
    <w:name w:val="Footnote Text"/>
    <w:basedOn w:val="Normal"/>
    <w:next w:val="FootnoteText"/>
    <w:uiPriority w:val="9"/>
    <w:qFormat/>
    <w:rPr>
      <w:sz w:val="20"/>
      <w:szCs w:val="20"/>
    </w:rPr>
  </w:style>
  <w:style w:styleId="FootnoteBlockText" w:type="paragraph">
    <w:name w:val="Footnote Block Text"/>
    <w:basedOn w:val="FootnoteText"/>
    <w:next w:val="FootnoteText"/>
    <w:uiPriority w:val="9"/>
    <w:qFormat/>
    <w:pPr>
      <w:spacing w:after="100" w:before="100"/>
      <w:ind w:firstLine="0" w:left="480" w:right="480"/>
    </w:pPr>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rPr/>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style>
  <w:style w:customStyle="1" w:styleId="ImageCaption" w:type="paragraph">
    <w:name w:val="Image Caption"/>
    <w:basedOn w:val="Caption"/>
    <w:rPr/>
  </w:style>
  <w:style w:customStyle="1" w:styleId="Figure" w:type="paragraph">
    <w:name w:val="Figure"/>
    <w:basedOn w:val="Normal"/>
    <w:rPr/>
  </w:style>
  <w:style w:customStyle="1" w:styleId="CaptionedFigure" w:type="paragraph">
    <w:name w:val="Captioned Figure"/>
    <w:basedOn w:val="Figure"/>
    <w:pPr>
      <w:keepNext/>
    </w:pPr>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qFormat/>
    <w:pPr>
      <w:spacing w:before="240" w:line="259" w:lineRule="auto"/>
      <w:outlineLvl w:val="9"/>
    </w:pPr>
    <w:rPr>
      <w:rFonts w:asciiTheme="majorHAnsi" w:cstheme="majorBidi" w:eastAsiaTheme="majorEastAsia" w:hAnsiTheme="majorHAnsi"/>
      <w:b w:val="0"/>
      <w:bCs w:val="0"/>
      <w:color w:themeColor="accent1" w:themeShade="BF" w:val="0F476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دعم القرار لتسيير المخزونات"</dc:title>
  <dc:creator>"ماحي كمال عبد الغني"</dc:creator>
  <dc:language>ar</dc:language>
  <cp:keywords/>
  <dcterms:created xsi:type="dcterms:W3CDTF">2026-06-10T22:11:56Z</dcterms:created>
  <dcterms:modified xsi:type="dcterms:W3CDTF">2026-06-10T22:11:56Z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ies>
</file>