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ACADEMIX v13.2</w:t>
      </w:r>
    </w:p>
    <w:p>
      <w:pPr>
        <w:jc w:val="center"/>
      </w:pPr>
      <w:r>
        <w:rPr>
          <w:b/>
          <w:sz w:val="28"/>
        </w:rPr>
        <w:t>Final Project Completion &amp; Executive Summary</w:t>
      </w:r>
    </w:p>
    <w:p>
      <w:r>
        <w:br/>
      </w:r>
    </w:p>
    <w:p>
      <w:pPr>
        <w:pStyle w:val="Heading1"/>
      </w:pPr>
      <w:r>
        <w:t>1. Executive Summary</w:t>
      </w:r>
    </w:p>
    <w:p>
      <w:r>
        <w:t>Project Academix v13.2 represents a comprehensive digital transformation of public sector inventory management. By implementing a Decision Support System (DSS) based on a hybrid ABC-Wilson optimization model, the project has successfully moved the administrative logistics of the Education Directorate of El Bayadh from a reactive, manual process to a proactive, data-driven operation. The system is designed with an 'offline-first' philosophy, ensuring 100% portability and zero-cost deployment in resource-constrained environments.</w:t>
      </w:r>
    </w:p>
    <w:p>
      <w:pPr>
        <w:pStyle w:val="Heading1"/>
      </w:pPr>
      <w:r>
        <w:t>2. Final Deliverables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Asset</w:t>
            </w:r>
          </w:p>
        </w:tc>
        <w:tc>
          <w:tcPr>
            <w:tcW w:type="dxa" w:w="2880"/>
          </w:tcPr>
          <w:p>
            <w:r>
              <w:t>Verification Status</w:t>
            </w:r>
          </w:p>
        </w:tc>
        <w:tc>
          <w:tcPr>
            <w:tcW w:type="dxa" w:w="2880"/>
          </w:tcPr>
          <w:p>
            <w:r>
              <w:t>Key Result</w:t>
            </w:r>
          </w:p>
        </w:tc>
      </w:tr>
      <w:tr>
        <w:tc>
          <w:tcPr>
            <w:tcW w:type="dxa" w:w="2880"/>
          </w:tcPr>
          <w:p>
            <w:r>
              <w:t>ERP Workbook (v13.2)</w:t>
            </w:r>
          </w:p>
        </w:tc>
        <w:tc>
          <w:tcPr>
            <w:tcW w:type="dxa" w:w="2880"/>
          </w:tcPr>
          <w:p>
            <w:r>
              <w:t>174/174 PASS</w:t>
            </w:r>
          </w:p>
        </w:tc>
        <w:tc>
          <w:tcPr>
            <w:tcW w:type="dxa" w:w="2880"/>
          </w:tcPr>
          <w:p>
            <w:r>
              <w:t>99.7% Operational Performance</w:t>
            </w:r>
          </w:p>
        </w:tc>
      </w:tr>
      <w:tr>
        <w:tc>
          <w:tcPr>
            <w:tcW w:type="dxa" w:w="2880"/>
          </w:tcPr>
          <w:p>
            <w:r>
              <w:t>BTS Thesis</w:t>
            </w:r>
          </w:p>
        </w:tc>
        <w:tc>
          <w:tcPr>
            <w:tcW w:type="dxa" w:w="2880"/>
          </w:tcPr>
          <w:p>
            <w:r>
              <w:t>36/36 PASS</w:t>
            </w:r>
          </w:p>
        </w:tc>
        <w:tc>
          <w:tcPr>
            <w:tcW w:type="dxa" w:w="2880"/>
          </w:tcPr>
          <w:p>
            <w:r>
              <w:t>Full CNEPD Compliance</w:t>
            </w:r>
          </w:p>
        </w:tc>
      </w:tr>
      <w:tr>
        <w:tc>
          <w:tcPr>
            <w:tcW w:type="dxa" w:w="2880"/>
          </w:tcPr>
          <w:p>
            <w:r>
              <w:t>Research Paper</w:t>
            </w:r>
          </w:p>
        </w:tc>
        <w:tc>
          <w:tcPr>
            <w:tcW w:type="dxa" w:w="2880"/>
          </w:tcPr>
          <w:p>
            <w:r>
              <w:t>Peer-Review Ready</w:t>
            </w:r>
          </w:p>
        </w:tc>
        <w:tc>
          <w:tcPr>
            <w:tcW w:type="dxa" w:w="2880"/>
          </w:tcPr>
          <w:p>
            <w:r>
              <w:t>IMRaD Structure Complete</w:t>
            </w:r>
          </w:p>
        </w:tc>
      </w:tr>
      <w:tr>
        <w:tc>
          <w:tcPr>
            <w:tcW w:type="dxa" w:w="2880"/>
          </w:tcPr>
          <w:p>
            <w:r>
              <w:t>VBA Source Code</w:t>
            </w:r>
          </w:p>
        </w:tc>
        <w:tc>
          <w:tcPr>
            <w:tcW w:type="dxa" w:w="2880"/>
          </w:tcPr>
          <w:p>
            <w:r>
              <w:t>Audit Verified</w:t>
            </w:r>
          </w:p>
        </w:tc>
        <w:tc>
          <w:tcPr>
            <w:tcW w:type="dxa" w:w="2880"/>
          </w:tcPr>
          <w:p>
            <w:r>
              <w:t>0 Compile Errors / ACID Safe</w:t>
            </w:r>
          </w:p>
        </w:tc>
      </w:tr>
    </w:tbl>
    <w:p>
      <w:r>
        <w:br/>
      </w:r>
    </w:p>
    <w:p>
      <w:pPr>
        <w:pStyle w:val="Heading1"/>
      </w:pPr>
      <w:r>
        <w:t>3. Technical Achievements</w:t>
      </w:r>
    </w:p>
    <w:p>
      <w:pPr>
        <w:pStyle w:val="ListBullet"/>
      </w:pPr>
      <w:r>
        <w:t>Integrated Wilson EOQ Model: Automated optimal order quantity (Q*) calculation.</w:t>
      </w:r>
    </w:p>
    <w:p>
      <w:pPr>
        <w:pStyle w:val="ListBullet"/>
      </w:pPr>
      <w:r>
        <w:t>Dynamic ROP Engine: Eliminated stockout risks via real-time Reorder Point alerts.</w:t>
      </w:r>
    </w:p>
    <w:p>
      <w:pPr>
        <w:pStyle w:val="ListBullet"/>
      </w:pPr>
      <w:r>
        <w:t>Pure VBA Architecture: Zero-dependency deployment ensuring permanent sustainability.</w:t>
      </w:r>
    </w:p>
    <w:p>
      <w:pPr>
        <w:pStyle w:val="ListBullet"/>
      </w:pPr>
      <w:r>
        <w:t>Surgical Edit Pipeline: 137-point verification ensuring 'Golden' code stability.</w:t>
      </w:r>
    </w:p>
    <w:p>
      <w:r>
        <w:br/>
      </w:r>
    </w:p>
    <w:p>
      <w:pPr>
        <w:jc w:val="center"/>
      </w:pPr>
      <w:r>
        <w:rPr>
          <w:b/>
          <w:color w:val="008000"/>
          <w:sz w:val="32"/>
        </w:rPr>
        <w:t>FINAL VERDICT: GOLDEN / PRINT-READY</w:t>
      </w:r>
    </w:p>
    <w:p>
      <w:r>
        <w:br/>
        <w:br/>
      </w:r>
    </w:p>
    <w:p>
      <w:pPr>
        <w:jc w:val="right"/>
      </w:pPr>
      <w:r>
        <w:t>Date: May 17, 2026</w:t>
        <w:br/>
        <w:t>Author: Mahi Kamel Abdelghani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