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0" w:after="60" w:line="320"/>
        <w:jc w:val="center"/>
      </w:pPr>
      <w:r>
        <w:rPr>
          <w:rFonts w:ascii="Traditional Arabic" w:cs="Traditional Arabic" w:eastAsia="Traditional Arabic" w:hAnsi="Traditional Arabic"/>
          <w:b w:val="false"/>
          <w:bCs w:val="false"/>
          <w:i/>
          <w:iCs/>
          <w:color w:val="444444"/>
          <w:sz w:val="20"/>
          <w:szCs w:val="20"/>
        </w:rPr>
        <w:t xml:space="preserve">ولاية البيض — مديرية التربية — مصلحة البرمجة والمتابعة</w:t>
      </w:r>
    </w:p>
    <w:p>
      <w:pPr>
        <w:bidi/>
        <w:spacing w:before="0" w:after="40" w:line="320"/>
        <w:jc w:val="center"/>
      </w:pPr>
      <w:r>
        <w:rPr>
          <w:rFonts w:ascii="Traditional Arabic" w:cs="Traditional Arabic" w:eastAsia="Traditional Arabic" w:hAnsi="Traditional Arabic"/>
          <w:b/>
          <w:bCs/>
          <w:i w:val="false"/>
          <w:iCs w:val="false"/>
          <w:color w:val="1C3557"/>
          <w:sz w:val="30"/>
          <w:szCs w:val="30"/>
        </w:rPr>
        <w:t xml:space="preserve">وثائق المخزون — الفصل الثالث — المبحث الثاني</w:t>
      </w:r>
    </w:p>
    <w:p>
      <w:pPr>
        <w:bidi/>
        <w:spacing w:before="0" w:after="40" w:line="320"/>
        <w:jc w:val="center"/>
      </w:pPr>
      <w:r>
        <w:rPr>
          <w:rFonts w:ascii="Traditional Arabic" w:cs="Traditional Arabic" w:eastAsia="Traditional Arabic" w:hAnsi="Traditional Arabic"/>
          <w:b w:val="false"/>
          <w:bCs w:val="false"/>
          <w:i/>
          <w:iCs/>
          <w:color w:val="C8972A"/>
          <w:sz w:val="22"/>
          <w:szCs w:val="22"/>
        </w:rPr>
        <w:t xml:space="preserve">المطلب الثاني: CMUP     |     المطلب الثالث: نموذج ويلسون (EOQ)</w:t>
      </w:r>
    </w:p>
    <w:p>
      <w:pPr>
        <w:pBdr>
          <w:bottom w:val="single" w:color="1C3557" w:sz="8"/>
        </w:pBdr>
        <w:bidi/>
        <w:spacing w:before="80" w:after="200"/>
      </w:pPr>
    </w:p>
    <w:p>
      <w:pPr>
        <w:bidi/>
        <w:spacing w:before="220" w:after="60" w:line="320"/>
        <w:jc w:val="center"/>
      </w:pPr>
      <w:r>
        <w:rPr>
          <w:rFonts w:ascii="Traditional Arabic" w:cs="Traditional Arabic" w:eastAsia="Traditional Arabic" w:hAnsi="Traditional Arabic"/>
          <w:b/>
          <w:bCs/>
          <w:i w:val="false"/>
          <w:iCs w:val="false"/>
          <w:color w:val="1C3557"/>
          <w:sz w:val="28"/>
          <w:szCs w:val="28"/>
        </w:rPr>
        <w:t xml:space="preserve">الجدول رقم 05 — حساب المتوسط المرجح للتكلفة (CMUP) — رزمة ورق A4 (م-001)</w:t>
      </w:r>
    </w:p>
    <w:p>
      <w:pPr>
        <w:bidi/>
        <w:spacing w:before="40" w:after="60" w:line="320"/>
        <w:jc w:val="right"/>
      </w:pPr>
      <w:r>
        <w:rPr>
          <w:rFonts w:ascii="Traditional Arabic" w:cs="Traditional Arabic" w:eastAsia="Traditional Arabic" w:hAnsi="Traditional Arabic"/>
          <w:b/>
          <w:bCs/>
          <w:i w:val="false"/>
          <w:iCs w:val="false"/>
          <w:color w:val="1C3557"/>
          <w:sz w:val="20"/>
          <w:szCs w:val="20"/>
        </w:rPr>
        <w:t xml:space="preserve">📌  موضع المذكرة: </w:t>
      </w:r>
      <w:r>
        <w:rPr>
          <w:rFonts w:ascii="Traditional Arabic" w:cs="Traditional Arabic" w:eastAsia="Traditional Arabic" w:hAnsi="Traditional Arabic"/>
          <w:b/>
          <w:bCs/>
          <w:i w:val="false"/>
          <w:iCs w:val="false"/>
          <w:color w:val="C8972A"/>
          <w:sz w:val="20"/>
          <w:szCs w:val="20"/>
        </w:rPr>
        <w:t xml:space="preserve">الفصل الثالث، المبحث الثاني، المطلب الثاني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3557" w:sz="8"/>
              <w:left w:val="single" w:color="1C3557" w:sz="8"/>
              <w:bottom w:val="single" w:color="1C3557" w:sz="8"/>
              <w:right w:val="single" w:color="1C3557" w:sz="8"/>
            </w:tcBorders>
            <w:shd w:fill="EDE7F6" w:val="clear"/>
            <w:tcMar>
              <w:top w:type="dxa" w:w="80"/>
              <w:left w:type="dxa" w:w="200"/>
              <w:bottom w:type="dxa" w:w="80"/>
              <w:right w:type="dxa" w:w="200"/>
            </w:tcMar>
          </w:tcPr>
          <w:p>
            <w:pPr>
              <w:bidi/>
              <w:spacing w:before="60" w:after="40" w:line="320"/>
              <w:jc w:val="right"/>
            </w:pPr>
            <w:r>
              <w:rPr>
                <w:rFonts w:ascii="Traditional Arabic" w:cs="Traditional Arabic" w:eastAsia="Traditional Arabic" w:hAnsi="Traditional Arabic"/>
                <w:b/>
                <w:bCs/>
                <w:i w:val="false"/>
                <w:iCs w:val="false"/>
                <w:color w:val="1C3557"/>
                <w:sz w:val="22"/>
                <w:szCs w:val="22"/>
              </w:rPr>
              <w:t xml:space="preserve">صيغة المتوسط المرجح للتكلفة (CMUP) :</w:t>
            </w:r>
          </w:p>
          <w:p>
            <w:pPr>
              <w:bidi/>
              <w:spacing w:before="40" w:after="60" w:line="320"/>
              <w:jc w:val="center"/>
            </w:pPr>
            <w:r>
              <w:rPr>
                <w:rFonts w:ascii="Traditional Arabic" w:cs="Traditional Arabic" w:eastAsia="Traditional Arabic" w:hAnsi="Traditional Arabic"/>
                <w:b/>
                <w:bCs/>
                <w:i w:val="false"/>
                <w:iCs w:val="false"/>
                <w:color w:val="1C3557"/>
                <w:sz w:val="24"/>
                <w:szCs w:val="24"/>
              </w:rPr>
              <w:t xml:space="preserve">CMUP = </w:t>
            </w:r>
            <w:r>
              <w:rPr>
                <w:rFonts w:ascii="Arial" w:cs="Arial" w:eastAsia="Arial" w:hAnsi="Arial"/>
                <w:b/>
                <w:bCs/>
                <w:i w:val="false"/>
                <w:iCs w:val="false"/>
                <w:color w:val="555555"/>
                <w:sz w:val="22"/>
                <w:szCs w:val="22"/>
              </w:rPr>
              <w:t xml:space="preserve">(Stock antérieur × CMUP antérieur + Quantité entrée × Prix achat)</w:t>
            </w:r>
            <w:r>
              <w:rPr>
                <w:rFonts w:ascii="Traditional Arabic" w:cs="Traditional Arabic" w:eastAsia="Traditional Arabic" w:hAnsi="Traditional Arabic"/>
                <w:b/>
                <w:bCs/>
                <w:i w:val="false"/>
                <w:iCs w:val="false"/>
                <w:color w:val="1C3557"/>
                <w:sz w:val="22"/>
                <w:szCs w:val="22"/>
              </w:rPr>
              <w:t xml:space="preserve">  ÷  </w:t>
            </w:r>
            <w:r>
              <w:rPr>
                <w:rFonts w:ascii="Arial" w:cs="Arial" w:eastAsia="Arial" w:hAnsi="Arial"/>
                <w:b/>
                <w:bCs/>
                <w:i w:val="false"/>
                <w:iCs w:val="false"/>
                <w:color w:val="555555"/>
                <w:sz w:val="22"/>
                <w:szCs w:val="22"/>
              </w:rPr>
              <w:t xml:space="preserve">(Stock antérieur + Quantité entrée)</w:t>
            </w:r>
          </w:p>
          <w:p>
            <w:pPr>
              <w:bidi/>
              <w:spacing w:before="0" w:after="60" w:line="320"/>
              <w:jc w:val="right"/>
            </w:pPr>
            <w:r>
              <w:rPr>
                <w:rFonts w:ascii="Traditional Arabic" w:cs="Traditional Arabic" w:eastAsia="Traditional Arabic" w:hAnsi="Traditional Arabic"/>
                <w:b w:val="false"/>
                <w:bCs w:val="false"/>
                <w:i/>
                <w:iCs/>
                <w:color w:val="444444"/>
                <w:sz w:val="20"/>
                <w:szCs w:val="20"/>
              </w:rPr>
              <w:t xml:space="preserve">أو بالعربية: المتوسط = (رصيد سابق × متوسط سابق + كمية الدخول × سعر الشراء) ÷ (رصيد سابق + كمية الدخول)</w:t>
            </w:r>
          </w:p>
        </w:tc>
      </w:tr>
    </w:tbl>
    <w:p>
      <w:pPr>
        <w:bidi/>
        <w:spacing w:before="80" w:after="0" w:line="320"/>
        <w:jc w:val="right"/>
      </w:pPr>
    </w:p>
    <w:p>
      <w:pPr>
        <w:bidi/>
        <w:spacing w:before="80" w:after="40" w:line="320"/>
        <w:jc w:val="right"/>
      </w:pPr>
      <w:r>
        <w:rPr>
          <w:rFonts w:ascii="Traditional Arabic" w:cs="Traditional Arabic" w:eastAsia="Traditional Arabic" w:hAnsi="Traditional Arabic"/>
          <w:b/>
          <w:bCs/>
          <w:i w:val="false"/>
          <w:iCs w:val="false"/>
          <w:color w:val="1C3557"/>
          <w:sz w:val="24"/>
          <w:szCs w:val="24"/>
        </w:rPr>
        <w:t xml:space="preserve">أ — معطيات الحساب: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038"/>
      </w:tblGrid>
      <w:tr>
        <w:trPr>
          <w:tblHeader/>
        </w:trPr>
        <w:tc>
          <w:tcPr>
            <w:tcW w:type="dxa" w:w="22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البيان</w:t>
            </w:r>
          </w:p>
        </w:tc>
        <w:tc>
          <w:tcPr>
            <w:tcW w:type="dxa" w:w="22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الرمز</w:t>
            </w:r>
          </w:p>
        </w:tc>
        <w:tc>
          <w:tcPr>
            <w:tcW w:type="dxa" w:w="22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القيمة</w:t>
            </w:r>
          </w:p>
        </w:tc>
        <w:tc>
          <w:tcPr>
            <w:tcW w:type="dxa" w:w="3038"/>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الوحدة / الملاحظة</w:t>
            </w:r>
          </w:p>
        </w:tc>
      </w:tr>
      <w:tr>
        <w:tc>
          <w:tcPr>
            <w:tcW w:type="dxa" w:w="2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الطلب السنوي</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D</w:t>
            </w:r>
          </w:p>
        </w:tc>
        <w:tc>
          <w:tcPr>
            <w:tcW w:type="dxa" w:w="2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2 900</w:t>
            </w:r>
          </w:p>
        </w:tc>
        <w:tc>
          <w:tcPr>
            <w:tcW w:type="dxa" w:w="30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رزمة / سنة</w:t>
            </w:r>
          </w:p>
        </w:tc>
      </w:tr>
      <w:tr>
        <w:tc>
          <w:tcPr>
            <w:tcW w:type="dxa" w:w="2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سعر الوحدة (مُؤكَّد)</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PU</w:t>
            </w:r>
          </w:p>
        </w:tc>
        <w:tc>
          <w:tcPr>
            <w:tcW w:type="dxa" w:w="2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400</w:t>
            </w:r>
          </w:p>
        </w:tc>
        <w:tc>
          <w:tcPr>
            <w:tcW w:type="dxa" w:w="30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دينار جزائري / رزمة</w:t>
            </w:r>
          </w:p>
        </w:tc>
      </w:tr>
      <w:tr>
        <w:tc>
          <w:tcPr>
            <w:tcW w:type="dxa" w:w="2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الرصيد الافتتاحي (31/12/25)</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Q₀</w:t>
            </w:r>
          </w:p>
        </w:tc>
        <w:tc>
          <w:tcPr>
            <w:tcW w:type="dxa" w:w="2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405</w:t>
            </w:r>
          </w:p>
        </w:tc>
        <w:tc>
          <w:tcPr>
            <w:tcW w:type="dxa" w:w="30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رزمة</w:t>
            </w:r>
          </w:p>
        </w:tc>
      </w:tr>
      <w:tr>
        <w:tc>
          <w:tcPr>
            <w:tcW w:type="dxa" w:w="2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قيمة الرصيد الافتتاحي</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V₀ = Q₀ × PU</w:t>
            </w:r>
          </w:p>
        </w:tc>
        <w:tc>
          <w:tcPr>
            <w:tcW w:type="dxa" w:w="2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162 000</w:t>
            </w:r>
          </w:p>
        </w:tc>
        <w:tc>
          <w:tcPr>
            <w:tcW w:type="dxa" w:w="30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دينار جزائري</w:t>
            </w:r>
          </w:p>
        </w:tc>
      </w:tr>
      <w:tr>
        <w:tc>
          <w:tcPr>
            <w:tcW w:type="dxa" w:w="2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المتوسط الافتتاحي</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CMUP₀</w:t>
            </w:r>
          </w:p>
        </w:tc>
        <w:tc>
          <w:tcPr>
            <w:tcW w:type="dxa" w:w="2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400</w:t>
            </w:r>
          </w:p>
        </w:tc>
        <w:tc>
          <w:tcPr>
            <w:tcW w:type="dxa" w:w="30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دينار جزائري / رزمة</w:t>
            </w:r>
          </w:p>
        </w:tc>
      </w:tr>
      <w:tr>
        <w:tc>
          <w:tcPr>
            <w:tcW w:type="dxa" w:w="2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دخول جديدة بسعر مختلف في 2026</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w:t>
            </w:r>
          </w:p>
        </w:tc>
        <w:tc>
          <w:tcPr>
            <w:tcW w:type="dxa" w:w="2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لا يوجد</w:t>
            </w:r>
          </w:p>
        </w:tc>
        <w:tc>
          <w:tcPr>
            <w:tcW w:type="dxa" w:w="30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الكرت لا يسجل تزويداً جديداً لـ A4 في 2026</w:t>
            </w:r>
          </w:p>
        </w:tc>
      </w:tr>
    </w:tbl>
    <w:p>
      <w:pPr>
        <w:bidi/>
        <w:spacing w:before="120" w:after="40" w:line="320"/>
        <w:jc w:val="right"/>
      </w:pPr>
      <w:r>
        <w:rPr>
          <w:rFonts w:ascii="Traditional Arabic" w:cs="Traditional Arabic" w:eastAsia="Traditional Arabic" w:hAnsi="Traditional Arabic"/>
          <w:b/>
          <w:bCs/>
          <w:i w:val="false"/>
          <w:iCs w:val="false"/>
          <w:color w:val="1C3557"/>
          <w:sz w:val="24"/>
          <w:szCs w:val="24"/>
        </w:rPr>
        <w:t xml:space="preserve">ب — جدول حركات المخزون مع CMUP الدوري: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900"/>
        <w:gridCol w:w="900"/>
        <w:gridCol w:w="1100"/>
        <w:gridCol w:w="1200"/>
        <w:gridCol w:w="2738"/>
      </w:tblGrid>
      <w:tr>
        <w:trPr>
          <w:tblHeader/>
        </w:trPr>
        <w:tc>
          <w:tcPr>
            <w:tcW w:type="dxa" w:w="8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الفترة</w:t>
            </w:r>
          </w:p>
        </w:tc>
        <w:tc>
          <w:tcPr>
            <w:tcW w:type="dxa" w:w="20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المصلحة المستفيدة</w:t>
            </w:r>
          </w:p>
        </w:tc>
        <w:tc>
          <w:tcPr>
            <w:tcW w:type="dxa" w:w="9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دخول</w:t>
            </w:r>
          </w:p>
        </w:tc>
        <w:tc>
          <w:tcPr>
            <w:tcW w:type="dxa" w:w="9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خروج</w:t>
            </w:r>
          </w:p>
        </w:tc>
        <w:tc>
          <w:tcPr>
            <w:tcW w:type="dxa" w:w="11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الرصيد</w:t>
            </w:r>
          </w:p>
        </w:tc>
        <w:tc>
          <w:tcPr>
            <w:tcW w:type="dxa" w:w="12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CMUP (دج)</w:t>
            </w:r>
          </w:p>
        </w:tc>
        <w:tc>
          <w:tcPr>
            <w:tcW w:type="dxa" w:w="2738"/>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قيمة المخزون (دج)</w:t>
            </w:r>
          </w:p>
        </w:tc>
      </w:tr>
      <w:tr>
        <w:tc>
          <w:tcPr>
            <w:tcW w:type="dxa" w:w="800"/>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31/12/25</w:t>
            </w:r>
          </w:p>
        </w:tc>
        <w:tc>
          <w:tcPr>
            <w:tcW w:type="dxa" w:w="2000"/>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val="false"/>
                <w:iCs w:val="false"/>
                <w:color w:val="000000"/>
                <w:sz w:val="20"/>
                <w:szCs w:val="20"/>
              </w:rPr>
              <w:t xml:space="preserve">رصيد افتتاحي</w:t>
            </w:r>
          </w:p>
        </w:tc>
        <w:tc>
          <w:tcPr>
            <w:tcW w:type="dxa" w:w="900"/>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2E7D32"/>
                <w:sz w:val="20"/>
                <w:szCs w:val="20"/>
              </w:rPr>
              <w:t xml:space="preserve">405</w:t>
            </w:r>
          </w:p>
        </w:tc>
        <w:tc>
          <w:tcPr>
            <w:tcW w:type="dxa" w:w="900"/>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C62828"/>
                <w:sz w:val="20"/>
                <w:szCs w:val="20"/>
              </w:rPr>
              <w:t xml:space="preserve"/>
            </w:r>
          </w:p>
        </w:tc>
        <w:tc>
          <w:tcPr>
            <w:tcW w:type="dxa" w:w="1100"/>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000000"/>
                <w:sz w:val="20"/>
                <w:szCs w:val="20"/>
              </w:rPr>
              <w:t xml:space="preserve">405</w:t>
            </w:r>
          </w:p>
        </w:tc>
        <w:tc>
          <w:tcPr>
            <w:tcW w:type="dxa" w:w="1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0"/>
                <w:szCs w:val="20"/>
              </w:rPr>
              <w:t xml:space="preserve">400</w:t>
            </w:r>
          </w:p>
        </w:tc>
        <w:tc>
          <w:tcPr>
            <w:tcW w:type="dxa" w:w="2738"/>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162 000</w:t>
            </w:r>
          </w:p>
        </w:tc>
      </w:tr>
      <w:tr>
        <w:tc>
          <w:tcPr>
            <w:tcW w:type="dxa" w:w="8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01→10/01/26</w:t>
            </w:r>
          </w:p>
        </w:tc>
        <w:tc>
          <w:tcPr>
            <w:tcW w:type="dxa" w:w="20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val="false"/>
                <w:iCs w:val="false"/>
                <w:color w:val="000000"/>
                <w:sz w:val="20"/>
                <w:szCs w:val="20"/>
              </w:rPr>
              <w:t xml:space="preserve">مصلحة الرواتب + المستخدمين</w:t>
            </w:r>
          </w:p>
        </w:tc>
        <w:tc>
          <w:tcPr>
            <w:tcW w:type="dxa" w:w="9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2E7D32"/>
                <w:sz w:val="20"/>
                <w:szCs w:val="20"/>
              </w:rPr>
              <w:t xml:space="preserve"/>
            </w:r>
          </w:p>
        </w:tc>
        <w:tc>
          <w:tcPr>
            <w:tcW w:type="dxa" w:w="9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C62828"/>
                <w:sz w:val="20"/>
                <w:szCs w:val="20"/>
              </w:rPr>
              <w:t xml:space="preserve">75</w:t>
            </w:r>
          </w:p>
        </w:tc>
        <w:tc>
          <w:tcPr>
            <w:tcW w:type="dxa" w:w="11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000000"/>
                <w:sz w:val="20"/>
                <w:szCs w:val="20"/>
              </w:rPr>
              <w:t xml:space="preserve">330</w:t>
            </w:r>
          </w:p>
        </w:tc>
        <w:tc>
          <w:tcPr>
            <w:tcW w:type="dxa" w:w="1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0"/>
                <w:szCs w:val="20"/>
              </w:rPr>
              <w:t xml:space="preserve">400</w:t>
            </w:r>
          </w:p>
        </w:tc>
        <w:tc>
          <w:tcPr>
            <w:tcW w:type="dxa" w:w="2738"/>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132 000</w:t>
            </w:r>
          </w:p>
        </w:tc>
      </w:tr>
      <w:tr>
        <w:tc>
          <w:tcPr>
            <w:tcW w:type="dxa" w:w="8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11→20/01/26</w:t>
            </w:r>
          </w:p>
        </w:tc>
        <w:tc>
          <w:tcPr>
            <w:tcW w:type="dxa" w:w="20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val="false"/>
                <w:iCs w:val="false"/>
                <w:color w:val="000000"/>
                <w:sz w:val="20"/>
                <w:szCs w:val="20"/>
              </w:rPr>
              <w:t xml:space="preserve">مصلحة الموظفين + الامتحانات</w:t>
            </w:r>
          </w:p>
        </w:tc>
        <w:tc>
          <w:tcPr>
            <w:tcW w:type="dxa" w:w="9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2E7D32"/>
                <w:sz w:val="20"/>
                <w:szCs w:val="20"/>
              </w:rPr>
              <w:t xml:space="preserve"/>
            </w:r>
          </w:p>
        </w:tc>
        <w:tc>
          <w:tcPr>
            <w:tcW w:type="dxa" w:w="9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C62828"/>
                <w:sz w:val="20"/>
                <w:szCs w:val="20"/>
              </w:rPr>
              <w:t xml:space="preserve">55</w:t>
            </w:r>
          </w:p>
        </w:tc>
        <w:tc>
          <w:tcPr>
            <w:tcW w:type="dxa" w:w="11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000000"/>
                <w:sz w:val="20"/>
                <w:szCs w:val="20"/>
              </w:rPr>
              <w:t xml:space="preserve">275</w:t>
            </w:r>
          </w:p>
        </w:tc>
        <w:tc>
          <w:tcPr>
            <w:tcW w:type="dxa" w:w="1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0"/>
                <w:szCs w:val="20"/>
              </w:rPr>
              <w:t xml:space="preserve">400</w:t>
            </w:r>
          </w:p>
        </w:tc>
        <w:tc>
          <w:tcPr>
            <w:tcW w:type="dxa" w:w="2738"/>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110 000</w:t>
            </w:r>
          </w:p>
        </w:tc>
      </w:tr>
      <w:tr>
        <w:tc>
          <w:tcPr>
            <w:tcW w:type="dxa" w:w="8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21→31/01/26</w:t>
            </w:r>
          </w:p>
        </w:tc>
        <w:tc>
          <w:tcPr>
            <w:tcW w:type="dxa" w:w="20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val="false"/>
                <w:iCs w:val="false"/>
                <w:color w:val="000000"/>
                <w:sz w:val="20"/>
                <w:szCs w:val="20"/>
              </w:rPr>
              <w:t xml:space="preserve">عدة مصالح</w:t>
            </w:r>
          </w:p>
        </w:tc>
        <w:tc>
          <w:tcPr>
            <w:tcW w:type="dxa" w:w="9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2E7D32"/>
                <w:sz w:val="20"/>
                <w:szCs w:val="20"/>
              </w:rPr>
              <w:t xml:space="preserve"/>
            </w:r>
          </w:p>
        </w:tc>
        <w:tc>
          <w:tcPr>
            <w:tcW w:type="dxa" w:w="9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C62828"/>
                <w:sz w:val="20"/>
                <w:szCs w:val="20"/>
              </w:rPr>
              <w:t xml:space="preserve">40</w:t>
            </w:r>
          </w:p>
        </w:tc>
        <w:tc>
          <w:tcPr>
            <w:tcW w:type="dxa" w:w="11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000000"/>
                <w:sz w:val="20"/>
                <w:szCs w:val="20"/>
              </w:rPr>
              <w:t xml:space="preserve">235</w:t>
            </w:r>
          </w:p>
        </w:tc>
        <w:tc>
          <w:tcPr>
            <w:tcW w:type="dxa" w:w="1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0"/>
                <w:szCs w:val="20"/>
              </w:rPr>
              <w:t xml:space="preserve">400</w:t>
            </w:r>
          </w:p>
        </w:tc>
        <w:tc>
          <w:tcPr>
            <w:tcW w:type="dxa" w:w="2738"/>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94 000</w:t>
            </w:r>
          </w:p>
        </w:tc>
      </w:tr>
      <w:tr>
        <w:tc>
          <w:tcPr>
            <w:tcW w:type="dxa" w:w="8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01→18/02/26</w:t>
            </w:r>
          </w:p>
        </w:tc>
        <w:tc>
          <w:tcPr>
            <w:tcW w:type="dxa" w:w="20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val="false"/>
                <w:iCs w:val="false"/>
                <w:color w:val="000000"/>
                <w:sz w:val="20"/>
                <w:szCs w:val="20"/>
              </w:rPr>
              <w:t xml:space="preserve">مصلحة الرواتب والطبع + أخرى</w:t>
            </w:r>
          </w:p>
        </w:tc>
        <w:tc>
          <w:tcPr>
            <w:tcW w:type="dxa" w:w="9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2E7D32"/>
                <w:sz w:val="20"/>
                <w:szCs w:val="20"/>
              </w:rPr>
              <w:t xml:space="preserve"/>
            </w:r>
          </w:p>
        </w:tc>
        <w:tc>
          <w:tcPr>
            <w:tcW w:type="dxa" w:w="9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C62828"/>
                <w:sz w:val="20"/>
                <w:szCs w:val="20"/>
              </w:rPr>
              <w:t xml:space="preserve">35</w:t>
            </w:r>
          </w:p>
        </w:tc>
        <w:tc>
          <w:tcPr>
            <w:tcW w:type="dxa" w:w="11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000000"/>
                <w:sz w:val="20"/>
                <w:szCs w:val="20"/>
              </w:rPr>
              <w:t xml:space="preserve">200</w:t>
            </w:r>
          </w:p>
        </w:tc>
        <w:tc>
          <w:tcPr>
            <w:tcW w:type="dxa" w:w="1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0"/>
                <w:szCs w:val="20"/>
              </w:rPr>
              <w:t xml:space="preserve">400</w:t>
            </w:r>
          </w:p>
        </w:tc>
        <w:tc>
          <w:tcPr>
            <w:tcW w:type="dxa" w:w="2738"/>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80 000</w:t>
            </w:r>
          </w:p>
        </w:tc>
      </w:tr>
      <w:tr>
        <w:tc>
          <w:tcPr>
            <w:tcW w:type="dxa" w:w="8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01→09/03/26</w:t>
            </w:r>
          </w:p>
        </w:tc>
        <w:tc>
          <w:tcPr>
            <w:tcW w:type="dxa" w:w="20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val="false"/>
                <w:iCs w:val="false"/>
                <w:color w:val="000000"/>
                <w:sz w:val="20"/>
                <w:szCs w:val="20"/>
              </w:rPr>
              <w:t xml:space="preserve">أمانة المدير + عدة مصالح</w:t>
            </w:r>
          </w:p>
        </w:tc>
        <w:tc>
          <w:tcPr>
            <w:tcW w:type="dxa" w:w="9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2E7D32"/>
                <w:sz w:val="20"/>
                <w:szCs w:val="20"/>
              </w:rPr>
              <w:t xml:space="preserve"/>
            </w:r>
          </w:p>
        </w:tc>
        <w:tc>
          <w:tcPr>
            <w:tcW w:type="dxa" w:w="9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C62828"/>
                <w:sz w:val="20"/>
                <w:szCs w:val="20"/>
              </w:rPr>
              <w:t xml:space="preserve">70</w:t>
            </w:r>
          </w:p>
        </w:tc>
        <w:tc>
          <w:tcPr>
            <w:tcW w:type="dxa" w:w="1100"/>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000000"/>
                <w:sz w:val="20"/>
                <w:szCs w:val="20"/>
              </w:rPr>
              <w:t xml:space="preserve">130</w:t>
            </w:r>
          </w:p>
        </w:tc>
        <w:tc>
          <w:tcPr>
            <w:tcW w:type="dxa" w:w="1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0"/>
                <w:szCs w:val="20"/>
              </w:rPr>
              <w:t xml:space="preserve">400</w:t>
            </w:r>
          </w:p>
        </w:tc>
        <w:tc>
          <w:tcPr>
            <w:tcW w:type="dxa" w:w="2738"/>
            <w:gridSpan w:val="1"/>
            <w:tcBorders>
              <w:top w:val="single" w:color="1C3557" w:sz="6"/>
              <w:left w:val="single" w:color="1C3557" w:sz="6"/>
              <w:bottom w:val="single" w:color="1C3557" w:sz="6"/>
              <w:right w:val="single" w:color="1C3557" w:sz="6"/>
            </w:tcBorders>
            <w:shd w:fill="FFF3E0"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52 000</w:t>
            </w:r>
          </w:p>
        </w:tc>
      </w:tr>
      <w:tr>
        <w:tc>
          <w:tcPr>
            <w:tcW w:type="dxa" w:w="800"/>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09/03/26</w:t>
            </w:r>
          </w:p>
        </w:tc>
        <w:tc>
          <w:tcPr>
            <w:tcW w:type="dxa" w:w="2000"/>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val="false"/>
                <w:iCs w:val="false"/>
                <w:color w:val="000000"/>
                <w:sz w:val="20"/>
                <w:szCs w:val="20"/>
              </w:rPr>
              <w:t xml:space="preserve">رصيد أخير موثَّق</w:t>
            </w:r>
          </w:p>
        </w:tc>
        <w:tc>
          <w:tcPr>
            <w:tcW w:type="dxa" w:w="900"/>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2E7D32"/>
                <w:sz w:val="20"/>
                <w:szCs w:val="20"/>
              </w:rPr>
              <w:t xml:space="preserve"/>
            </w:r>
          </w:p>
        </w:tc>
        <w:tc>
          <w:tcPr>
            <w:tcW w:type="dxa" w:w="900"/>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C62828"/>
                <w:sz w:val="20"/>
                <w:szCs w:val="20"/>
              </w:rPr>
              <w:t xml:space="preserve"/>
            </w:r>
          </w:p>
        </w:tc>
        <w:tc>
          <w:tcPr>
            <w:tcW w:type="dxa" w:w="1100"/>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000000"/>
                <w:sz w:val="20"/>
                <w:szCs w:val="20"/>
              </w:rPr>
              <w:t xml:space="preserve">130</w:t>
            </w:r>
          </w:p>
        </w:tc>
        <w:tc>
          <w:tcPr>
            <w:tcW w:type="dxa" w:w="12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0"/>
                <w:szCs w:val="20"/>
              </w:rPr>
              <w:t xml:space="preserve">400</w:t>
            </w:r>
          </w:p>
        </w:tc>
        <w:tc>
          <w:tcPr>
            <w:tcW w:type="dxa" w:w="2738"/>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0"/>
                <w:szCs w:val="20"/>
              </w:rPr>
              <w:t xml:space="preserve">52 000</w:t>
            </w:r>
          </w:p>
        </w:tc>
      </w:tr>
    </w:tbl>
    <w:p>
      <w:pPr>
        <w:bidi/>
        <w:spacing w:before="80" w:after="0" w:line="320"/>
        <w:jc w:val="righ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8"/>
              <w:left w:val="single" w:color="2E7D32" w:sz="8"/>
              <w:bottom w:val="single" w:color="2E7D32" w:sz="8"/>
              <w:right w:val="single" w:color="2E7D32" w:sz="8"/>
            </w:tcBorders>
            <w:shd w:fill="E8F5E9" w:val="clear"/>
            <w:tcMar>
              <w:top w:type="dxa" w:w="80"/>
              <w:left w:type="dxa" w:w="200"/>
              <w:bottom w:type="dxa" w:w="80"/>
              <w:right w:type="dxa" w:w="200"/>
            </w:tcMar>
          </w:tcPr>
          <w:p>
            <w:pPr>
              <w:bidi/>
              <w:spacing w:before="60" w:after="40" w:line="320"/>
              <w:jc w:val="right"/>
            </w:pPr>
            <w:r>
              <w:rPr>
                <w:rFonts w:ascii="Traditional Arabic" w:cs="Traditional Arabic" w:eastAsia="Traditional Arabic" w:hAnsi="Traditional Arabic"/>
                <w:b/>
                <w:bCs/>
                <w:i w:val="false"/>
                <w:iCs w:val="false"/>
                <w:color w:val="2E7D32"/>
                <w:sz w:val="22"/>
                <w:szCs w:val="22"/>
              </w:rPr>
              <w:t xml:space="preserve">الاستنتاج:</w:t>
            </w:r>
          </w:p>
          <w:p>
            <w:pPr>
              <w:bidi/>
              <w:spacing w:before="40" w:after="60" w:line="320"/>
              <w:jc w:val="right"/>
            </w:pPr>
            <w:r>
              <w:rPr>
                <w:rFonts w:ascii="Traditional Arabic" w:cs="Traditional Arabic" w:eastAsia="Traditional Arabic" w:hAnsi="Traditional Arabic"/>
                <w:b w:val="false"/>
                <w:bCs w:val="false"/>
                <w:i w:val="false"/>
                <w:iCs w:val="false"/>
                <w:color w:val="000000"/>
                <w:sz w:val="22"/>
                <w:szCs w:val="22"/>
              </w:rPr>
              <w:t xml:space="preserve">بما أن بطاقة المخزون الحقيقية للمادة (م-001 — رزمة ورق A4) لا تُسجِّل أي دخول جديد بسعر مختلف خلال سنة 2026، يبقى المتوسط المرجح للتكلفة (CMUP) ثابتاً عند 400 دينار جزائري طوال الفترة. هذا يُبسِّط الحساب ويؤكد أن قيمة المخزون تتناقص بشكل خطي مع كل خروج. في حالة تزويد لاحق بسعر مختلف، يُحسب CMUP الجديد بالمعادلة الواردة أعلاه تلقائياً عبر نظام Mini ERP.</w:t>
            </w:r>
          </w:p>
        </w:tc>
      </w:tr>
    </w:tbl>
    <w:p>
      <w:pPr>
        <w:bidi/>
        <w:spacing w:before="60" w:after="200" w:line="320"/>
        <w:jc w:val="right"/>
      </w:pPr>
      <w:r>
        <w:rPr>
          <w:rFonts w:ascii="Traditional Arabic" w:cs="Traditional Arabic" w:eastAsia="Traditional Arabic" w:hAnsi="Traditional Arabic"/>
          <w:b w:val="false"/>
          <w:bCs w:val="false"/>
          <w:i/>
          <w:iCs/>
          <w:color w:val="555555"/>
          <w:sz w:val="18"/>
          <w:szCs w:val="18"/>
        </w:rPr>
        <w:t xml:space="preserve">المصدر: بيانات بطاقة المخزون الحقيقية (م-001 — رزمة ورق A4) + حساب الباحث — مديرية التربية لولاية البيض — 2026</w:t>
      </w:r>
    </w:p>
    <w:p>
      <w:pPr>
        <w:bidi/>
      </w:pPr>
      <w:r>
        <w:br/>
        <w:t xml:space="preserve"/>
      </w:r>
    </w:p>
    <w:p>
      <w:pPr>
        <w:bidi/>
        <w:spacing w:before="220" w:after="60" w:line="320"/>
        <w:jc w:val="center"/>
      </w:pPr>
      <w:r>
        <w:rPr>
          <w:rFonts w:ascii="Traditional Arabic" w:cs="Traditional Arabic" w:eastAsia="Traditional Arabic" w:hAnsi="Traditional Arabic"/>
          <w:b/>
          <w:bCs/>
          <w:i w:val="false"/>
          <w:iCs w:val="false"/>
          <w:color w:val="1C3557"/>
          <w:sz w:val="28"/>
          <w:szCs w:val="28"/>
        </w:rPr>
        <w:t xml:space="preserve">الجدول رقم 06 — حساب الكمية الاقتصادية المثلى — نموذج ويلسون (Modèle de Wilson / EOQ) — رزمة ورق A4</w:t>
      </w:r>
    </w:p>
    <w:p>
      <w:pPr>
        <w:bidi/>
        <w:spacing w:before="40" w:after="60" w:line="320"/>
        <w:jc w:val="right"/>
      </w:pPr>
      <w:r>
        <w:rPr>
          <w:rFonts w:ascii="Traditional Arabic" w:cs="Traditional Arabic" w:eastAsia="Traditional Arabic" w:hAnsi="Traditional Arabic"/>
          <w:b/>
          <w:bCs/>
          <w:i w:val="false"/>
          <w:iCs w:val="false"/>
          <w:color w:val="1C3557"/>
          <w:sz w:val="20"/>
          <w:szCs w:val="20"/>
        </w:rPr>
        <w:t xml:space="preserve">📌  موضع المذكرة: </w:t>
      </w:r>
      <w:r>
        <w:rPr>
          <w:rFonts w:ascii="Traditional Arabic" w:cs="Traditional Arabic" w:eastAsia="Traditional Arabic" w:hAnsi="Traditional Arabic"/>
          <w:b/>
          <w:bCs/>
          <w:i w:val="false"/>
          <w:iCs w:val="false"/>
          <w:color w:val="C8972A"/>
          <w:sz w:val="20"/>
          <w:szCs w:val="20"/>
        </w:rPr>
        <w:t xml:space="preserve">الفصل الثالث، المبحث الثاني، المطلب الثالث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3557" w:sz="8"/>
              <w:left w:val="single" w:color="1C3557" w:sz="8"/>
              <w:bottom w:val="single" w:color="1C3557" w:sz="8"/>
              <w:right w:val="single" w:color="1C3557" w:sz="8"/>
            </w:tcBorders>
            <w:shd w:fill="EDE7F6" w:val="clear"/>
            <w:tcMar>
              <w:top w:type="dxa" w:w="80"/>
              <w:left w:type="dxa" w:w="200"/>
              <w:bottom w:type="dxa" w:w="80"/>
              <w:right w:type="dxa" w:w="200"/>
            </w:tcMar>
          </w:tcPr>
          <w:p>
            <w:pPr>
              <w:bidi/>
              <w:spacing w:before="60" w:after="40" w:line="320"/>
              <w:jc w:val="right"/>
            </w:pPr>
            <w:r>
              <w:rPr>
                <w:rFonts w:ascii="Traditional Arabic" w:cs="Traditional Arabic" w:eastAsia="Traditional Arabic" w:hAnsi="Traditional Arabic"/>
                <w:b/>
                <w:bCs/>
                <w:i w:val="false"/>
                <w:iCs w:val="false"/>
                <w:color w:val="1C3557"/>
                <w:sz w:val="22"/>
                <w:szCs w:val="22"/>
              </w:rPr>
              <w:t xml:space="preserve">صيغة نموذج ويلسون (Modèle de Wilson — EOQ) :</w:t>
            </w:r>
          </w:p>
          <w:p>
            <w:pPr>
              <w:bidi/>
              <w:spacing w:before="40" w:after="40" w:line="320"/>
              <w:jc w:val="center"/>
            </w:pPr>
            <w:r>
              <w:rPr>
                <w:rFonts w:ascii="Arial" w:cs="Arial" w:eastAsia="Arial" w:hAnsi="Arial"/>
                <w:b/>
                <w:bCs/>
                <w:i w:val="false"/>
                <w:iCs w:val="false"/>
                <w:color w:val="555555"/>
                <w:sz w:val="26"/>
                <w:szCs w:val="26"/>
              </w:rPr>
              <w:t xml:space="preserve">Q* = EOQ = √(  2 × D × CL  /  Cs  )</w:t>
            </w:r>
          </w:p>
          <w:p>
            <w:pPr>
              <w:bidi/>
              <w:spacing w:before="20" w:after="20" w:line="320"/>
              <w:jc w:val="right"/>
            </w:pPr>
            <w:r>
              <w:rPr>
                <w:rFonts w:ascii="Traditional Arabic" w:cs="Traditional Arabic" w:eastAsia="Traditional Arabic" w:hAnsi="Traditional Arabic"/>
                <w:b/>
                <w:bCs/>
                <w:i w:val="false"/>
                <w:iCs w:val="false"/>
                <w:color w:val="1C3557"/>
                <w:sz w:val="20"/>
                <w:szCs w:val="20"/>
              </w:rPr>
              <w:t xml:space="preserve">حيث:</w:t>
            </w:r>
          </w:p>
          <w:p>
            <w:pPr>
              <w:bidi/>
              <w:spacing w:before="0" w:after="60" w:line="320"/>
              <w:jc w:val="right"/>
            </w:pPr>
            <w:r>
              <w:rPr>
                <w:rFonts w:ascii="Arial" w:cs="Arial" w:eastAsia="Arial" w:hAnsi="Arial"/>
                <w:b/>
                <w:bCs/>
                <w:i w:val="false"/>
                <w:iCs w:val="false"/>
                <w:color w:val="555555"/>
                <w:sz w:val="20"/>
                <w:szCs w:val="20"/>
              </w:rPr>
              <w:t xml:space="preserve">D</w:t>
            </w:r>
            <w:r>
              <w:rPr>
                <w:rFonts w:ascii="Traditional Arabic" w:cs="Traditional Arabic" w:eastAsia="Traditional Arabic" w:hAnsi="Traditional Arabic"/>
                <w:b w:val="false"/>
                <w:bCs w:val="false"/>
                <w:i w:val="false"/>
                <w:iCs w:val="false"/>
                <w:color w:val="000000"/>
                <w:sz w:val="20"/>
                <w:szCs w:val="20"/>
              </w:rPr>
              <w:t xml:space="preserve"> = الطلب السنوي (رزمة/سنة)</w:t>
            </w:r>
            <w:r>
              <w:rPr>
                <w:rFonts w:ascii="Arial" w:cs="Arial" w:eastAsia="Arial" w:hAnsi="Arial"/>
                <w:b/>
                <w:bCs/>
                <w:i w:val="false"/>
                <w:iCs w:val="false"/>
                <w:color w:val="555555"/>
                <w:sz w:val="20"/>
                <w:szCs w:val="20"/>
              </w:rPr>
              <w:t xml:space="preserve">   |   CL</w:t>
            </w:r>
            <w:r>
              <w:rPr>
                <w:rFonts w:ascii="Traditional Arabic" w:cs="Traditional Arabic" w:eastAsia="Traditional Arabic" w:hAnsi="Traditional Arabic"/>
                <w:b w:val="false"/>
                <w:bCs w:val="false"/>
                <w:i w:val="false"/>
                <w:iCs w:val="false"/>
                <w:color w:val="000000"/>
                <w:sz w:val="20"/>
                <w:szCs w:val="20"/>
              </w:rPr>
              <w:t xml:space="preserve"> = تكلفة الطلبية الواحدة (دج)</w:t>
            </w:r>
            <w:r>
              <w:rPr>
                <w:rFonts w:ascii="Arial" w:cs="Arial" w:eastAsia="Arial" w:hAnsi="Arial"/>
                <w:b/>
                <w:bCs/>
                <w:i w:val="false"/>
                <w:iCs w:val="false"/>
                <w:color w:val="555555"/>
                <w:sz w:val="20"/>
                <w:szCs w:val="20"/>
              </w:rPr>
              <w:t xml:space="preserve">   |   Cs = PU × t</w:t>
            </w:r>
            <w:r>
              <w:rPr>
                <w:rFonts w:ascii="Traditional Arabic" w:cs="Traditional Arabic" w:eastAsia="Traditional Arabic" w:hAnsi="Traditional Arabic"/>
                <w:b w:val="false"/>
                <w:bCs w:val="false"/>
                <w:i w:val="false"/>
                <w:iCs w:val="false"/>
                <w:color w:val="000000"/>
                <w:sz w:val="20"/>
                <w:szCs w:val="20"/>
              </w:rPr>
              <w:t xml:space="preserve"> = تكلفة الاحتفاظ بالوحدة سنوياً (دج/وحدة/سنة)</w:t>
            </w:r>
          </w:p>
        </w:tc>
      </w:tr>
    </w:tbl>
    <w:p>
      <w:pPr>
        <w:bidi/>
        <w:spacing w:before="80" w:after="0" w:line="320"/>
        <w:jc w:val="right"/>
      </w:pPr>
    </w:p>
    <w:p>
      <w:pPr>
        <w:bidi/>
        <w:spacing w:before="80" w:after="40" w:line="320"/>
        <w:jc w:val="right"/>
      </w:pPr>
      <w:r>
        <w:rPr>
          <w:rFonts w:ascii="Traditional Arabic" w:cs="Traditional Arabic" w:eastAsia="Traditional Arabic" w:hAnsi="Traditional Arabic"/>
          <w:b/>
          <w:bCs/>
          <w:i w:val="false"/>
          <w:iCs w:val="false"/>
          <w:color w:val="1C3557"/>
          <w:sz w:val="24"/>
          <w:szCs w:val="24"/>
        </w:rPr>
        <w:t xml:space="preserve">أ — معطيات النموذج: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3238"/>
      </w:tblGrid>
      <w:tr>
        <w:trPr>
          <w:tblHeader/>
        </w:trPr>
        <w:tc>
          <w:tcPr>
            <w:tcW w:type="dxa" w:w="32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المعامل (Paramètre)</w:t>
            </w:r>
          </w:p>
        </w:tc>
        <w:tc>
          <w:tcPr>
            <w:tcW w:type="dxa" w:w="14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الرمز</w:t>
            </w:r>
          </w:p>
        </w:tc>
        <w:tc>
          <w:tcPr>
            <w:tcW w:type="dxa" w:w="18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القيمة المعتمدة</w:t>
            </w:r>
          </w:p>
        </w:tc>
        <w:tc>
          <w:tcPr>
            <w:tcW w:type="dxa" w:w="3238"/>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الملاحظة</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الطلب السنوي</w:t>
            </w:r>
          </w:p>
        </w:tc>
        <w:tc>
          <w:tcPr>
            <w:tcW w:type="dxa" w:w="14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D</w:t>
            </w:r>
          </w:p>
        </w:tc>
        <w:tc>
          <w:tcPr>
            <w:tcW w:type="dxa" w:w="18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2 900 رزمة/سنة</w:t>
            </w:r>
          </w:p>
        </w:tc>
        <w:tc>
          <w:tcPr>
            <w:tcW w:type="dxa" w:w="32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بيانات الاستهلاك الحقيقي من الميدان</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تكلفة الطلبية الواحدة</w:t>
            </w:r>
          </w:p>
        </w:tc>
        <w:tc>
          <w:tcPr>
            <w:tcW w:type="dxa" w:w="14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CL</w:t>
            </w:r>
          </w:p>
        </w:tc>
        <w:tc>
          <w:tcPr>
            <w:tcW w:type="dxa" w:w="18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50 دج/طلبية</w:t>
            </w:r>
          </w:p>
        </w:tc>
        <w:tc>
          <w:tcPr>
            <w:tcW w:type="dxa" w:w="32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تكاليف إدارية وإجراءات الشراء العمومي</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سعر الوحدة</w:t>
            </w:r>
          </w:p>
        </w:tc>
        <w:tc>
          <w:tcPr>
            <w:tcW w:type="dxa" w:w="14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PU</w:t>
            </w:r>
          </w:p>
        </w:tc>
        <w:tc>
          <w:tcPr>
            <w:tcW w:type="dxa" w:w="18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400 دج/رزمة</w:t>
            </w:r>
          </w:p>
        </w:tc>
        <w:tc>
          <w:tcPr>
            <w:tcW w:type="dxa" w:w="32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سعر مُؤكَّد من البطاقة الحقيقية</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معدل الاحتفاظ</w:t>
            </w:r>
          </w:p>
        </w:tc>
        <w:tc>
          <w:tcPr>
            <w:tcW w:type="dxa" w:w="14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t</w:t>
            </w:r>
          </w:p>
        </w:tc>
        <w:tc>
          <w:tcPr>
            <w:tcW w:type="dxa" w:w="18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20 %</w:t>
            </w:r>
          </w:p>
        </w:tc>
        <w:tc>
          <w:tcPr>
            <w:tcW w:type="dxa" w:w="32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المعيار المتعارف عليه في المؤسسات العمومية</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تكلفة الاحتفاظ بالوحدة</w:t>
            </w:r>
          </w:p>
        </w:tc>
        <w:tc>
          <w:tcPr>
            <w:tcW w:type="dxa" w:w="14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Cs = PU × t</w:t>
            </w:r>
          </w:p>
        </w:tc>
        <w:tc>
          <w:tcPr>
            <w:tcW w:type="dxa" w:w="18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80 دج/رزمة/سنة</w:t>
            </w:r>
          </w:p>
        </w:tc>
        <w:tc>
          <w:tcPr>
            <w:tcW w:type="dxa" w:w="32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400 × 0.20 = 80</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مخزون الأمان</w:t>
            </w:r>
          </w:p>
        </w:tc>
        <w:tc>
          <w:tcPr>
            <w:tcW w:type="dxa" w:w="14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SS</w:t>
            </w:r>
          </w:p>
        </w:tc>
        <w:tc>
          <w:tcPr>
            <w:tcW w:type="dxa" w:w="18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200 رزمة</w:t>
            </w:r>
          </w:p>
        </w:tc>
        <w:tc>
          <w:tcPr>
            <w:tcW w:type="dxa" w:w="32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يُغطي طلب 25 يوماً تقريباً</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أجل التسليم</w:t>
            </w:r>
          </w:p>
        </w:tc>
        <w:tc>
          <w:tcPr>
            <w:tcW w:type="dxa" w:w="14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bCs/>
                <w:i w:val="false"/>
                <w:iCs w:val="false"/>
                <w:color w:val="555555"/>
                <w:sz w:val="22"/>
                <w:szCs w:val="22"/>
              </w:rPr>
              <w:t xml:space="preserve">LT (Délai)</w:t>
            </w:r>
          </w:p>
        </w:tc>
        <w:tc>
          <w:tcPr>
            <w:tcW w:type="dxa" w:w="1800"/>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1C3557"/>
                <w:sz w:val="22"/>
                <w:szCs w:val="22"/>
              </w:rPr>
              <w:t xml:space="preserve">2 أيام</w:t>
            </w:r>
          </w:p>
        </w:tc>
        <w:tc>
          <w:tcPr>
            <w:tcW w:type="dxa" w:w="32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iCs/>
                <w:color w:val="555555"/>
                <w:sz w:val="20"/>
                <w:szCs w:val="20"/>
              </w:rPr>
              <w:t xml:space="preserve">التزود من وهران</w:t>
            </w:r>
          </w:p>
        </w:tc>
      </w:tr>
    </w:tbl>
    <w:p>
      <w:pPr>
        <w:bidi/>
        <w:spacing w:before="120" w:after="40" w:line="320"/>
        <w:jc w:val="right"/>
      </w:pPr>
      <w:r>
        <w:rPr>
          <w:rFonts w:ascii="Traditional Arabic" w:cs="Traditional Arabic" w:eastAsia="Traditional Arabic" w:hAnsi="Traditional Arabic"/>
          <w:b/>
          <w:bCs/>
          <w:i w:val="false"/>
          <w:iCs w:val="false"/>
          <w:color w:val="1C3557"/>
          <w:sz w:val="24"/>
          <w:szCs w:val="24"/>
        </w:rPr>
        <w:t xml:space="preserve">ب — مراحل الحساب التفصيلي: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rPr>
          <w:tblHeader/>
        </w:trPr>
        <w:tc>
          <w:tcPr>
            <w:tcW w:type="dxa" w:w="24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مرحلة الحساب</w:t>
            </w:r>
          </w:p>
        </w:tc>
        <w:tc>
          <w:tcPr>
            <w:tcW w:type="dxa" w:w="22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العملية</w:t>
            </w:r>
          </w:p>
        </w:tc>
        <w:tc>
          <w:tcPr>
            <w:tcW w:type="dxa" w:w="5038"/>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النتيجة</w:t>
            </w:r>
          </w:p>
        </w:tc>
      </w:tr>
      <w:tr>
        <w:tc>
          <w:tcPr>
            <w:tcW w:type="dxa" w:w="2400"/>
            <w:gridSpan w:val="1"/>
            <w:tcBorders>
              <w:top w:val="single" w:color="1C3557" w:sz="6"/>
              <w:left w:val="single" w:color="1C3557" w:sz="6"/>
              <w:bottom w:val="single" w:color="1C3557" w:sz="6"/>
              <w:right w:val="single" w:color="1C3557" w:sz="6"/>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الخطوة 1 — حساب Cs</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val="false"/>
                <w:bCs w:val="false"/>
                <w:i w:val="false"/>
                <w:iCs w:val="false"/>
                <w:color w:val="555555"/>
                <w:sz w:val="22"/>
                <w:szCs w:val="22"/>
              </w:rPr>
              <w:t xml:space="preserve">Cs = PU × t = 400 × 0.20</w:t>
            </w:r>
          </w:p>
        </w:tc>
        <w:tc>
          <w:tcPr>
            <w:tcW w:type="dxa" w:w="50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2"/>
                <w:szCs w:val="22"/>
              </w:rPr>
              <w:t xml:space="preserve">= 80 دج / رزمة / سنة</w:t>
            </w:r>
          </w:p>
        </w:tc>
      </w:tr>
      <w:tr>
        <w:tc>
          <w:tcPr>
            <w:tcW w:type="dxa" w:w="2400"/>
            <w:gridSpan w:val="1"/>
            <w:tcBorders>
              <w:top w:val="single" w:color="1C3557" w:sz="6"/>
              <w:left w:val="single" w:color="1C3557" w:sz="6"/>
              <w:bottom w:val="single" w:color="1C3557" w:sz="6"/>
              <w:right w:val="single" w:color="1C3557" w:sz="6"/>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الخطوة 2 — حساب 2 × D × CL</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val="false"/>
                <w:bCs w:val="false"/>
                <w:i w:val="false"/>
                <w:iCs w:val="false"/>
                <w:color w:val="555555"/>
                <w:sz w:val="22"/>
                <w:szCs w:val="22"/>
              </w:rPr>
              <w:t xml:space="preserve">2 × 2900 × 50</w:t>
            </w:r>
          </w:p>
        </w:tc>
        <w:tc>
          <w:tcPr>
            <w:tcW w:type="dxa" w:w="50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2"/>
                <w:szCs w:val="22"/>
              </w:rPr>
              <w:t xml:space="preserve">= 290 000</w:t>
            </w:r>
          </w:p>
        </w:tc>
      </w:tr>
      <w:tr>
        <w:tc>
          <w:tcPr>
            <w:tcW w:type="dxa" w:w="2400"/>
            <w:gridSpan w:val="1"/>
            <w:tcBorders>
              <w:top w:val="single" w:color="1C3557" w:sz="6"/>
              <w:left w:val="single" w:color="1C3557" w:sz="6"/>
              <w:bottom w:val="single" w:color="1C3557" w:sz="6"/>
              <w:right w:val="single" w:color="1C3557" w:sz="6"/>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الخطوة 3 — القسمة على Cs</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val="false"/>
                <w:bCs w:val="false"/>
                <w:i w:val="false"/>
                <w:iCs w:val="false"/>
                <w:color w:val="555555"/>
                <w:sz w:val="22"/>
                <w:szCs w:val="22"/>
              </w:rPr>
              <w:t xml:space="preserve">290 000 ÷ 80</w:t>
            </w:r>
          </w:p>
        </w:tc>
        <w:tc>
          <w:tcPr>
            <w:tcW w:type="dxa" w:w="50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2"/>
                <w:szCs w:val="22"/>
              </w:rPr>
              <w:t xml:space="preserve">= 3 625</w:t>
            </w:r>
          </w:p>
        </w:tc>
      </w:tr>
      <w:tr>
        <w:tc>
          <w:tcPr>
            <w:tcW w:type="dxa" w:w="2400"/>
            <w:gridSpan w:val="1"/>
            <w:tcBorders>
              <w:top w:val="single" w:color="1C3557" w:sz="6"/>
              <w:left w:val="single" w:color="1C3557" w:sz="6"/>
              <w:bottom w:val="single" w:color="1C3557" w:sz="6"/>
              <w:right w:val="single" w:color="1C3557" w:sz="6"/>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الخطوة 4 — الجذر التربيعي</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val="false"/>
                <w:bCs w:val="false"/>
                <w:i w:val="false"/>
                <w:iCs w:val="false"/>
                <w:color w:val="555555"/>
                <w:sz w:val="22"/>
                <w:szCs w:val="22"/>
              </w:rPr>
              <w:t xml:space="preserve">√ 3 625</w:t>
            </w:r>
          </w:p>
        </w:tc>
        <w:tc>
          <w:tcPr>
            <w:tcW w:type="dxa" w:w="5038"/>
            <w:gridSpan w:val="1"/>
            <w:tcBorders>
              <w:top w:val="single" w:color="1C3557" w:sz="6"/>
              <w:left w:val="single" w:color="1C3557" w:sz="6"/>
              <w:bottom w:val="single" w:color="1C3557" w:sz="6"/>
              <w:right w:val="single" w:color="1C3557" w:sz="6"/>
            </w:tcBorders>
            <w:shd w:fill="F5F5F5"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val="false"/>
                <w:bCs w:val="false"/>
                <w:i w:val="false"/>
                <w:iCs w:val="false"/>
                <w:color w:val="000000"/>
                <w:sz w:val="22"/>
                <w:szCs w:val="22"/>
              </w:rPr>
              <w:t xml:space="preserve">= 60.21</w:t>
            </w:r>
          </w:p>
        </w:tc>
      </w:tr>
      <w:tr>
        <w:tc>
          <w:tcPr>
            <w:tcW w:type="dxa" w:w="2400"/>
            <w:gridSpan w:val="1"/>
            <w:tcBorders>
              <w:top w:val="single" w:color="1C3557" w:sz="6"/>
              <w:left w:val="single" w:color="1C3557" w:sz="6"/>
              <w:bottom w:val="single" w:color="1C3557" w:sz="6"/>
              <w:right w:val="single" w:color="1C3557" w:sz="6"/>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الكمية الاقتصادية المثلى Q*</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val="false"/>
                <w:bCs w:val="false"/>
                <w:i w:val="false"/>
                <w:iCs w:val="false"/>
                <w:color w:val="555555"/>
                <w:sz w:val="22"/>
                <w:szCs w:val="22"/>
              </w:rPr>
              <w:t xml:space="preserve">EOQ = √ (2 × D × CL / Cs)</w:t>
            </w:r>
          </w:p>
        </w:tc>
        <w:tc>
          <w:tcPr>
            <w:tcW w:type="dxa" w:w="5038"/>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2E7D32"/>
                <w:sz w:val="22"/>
                <w:szCs w:val="22"/>
              </w:rPr>
              <w:t xml:space="preserve">≈ 60 رزمة</w:t>
            </w:r>
          </w:p>
        </w:tc>
      </w:tr>
    </w:tbl>
    <w:p>
      <w:pPr>
        <w:bidi/>
        <w:spacing w:before="120" w:after="40" w:line="320"/>
        <w:jc w:val="right"/>
      </w:pPr>
      <w:r>
        <w:rPr>
          <w:rFonts w:ascii="Traditional Arabic" w:cs="Traditional Arabic" w:eastAsia="Traditional Arabic" w:hAnsi="Traditional Arabic"/>
          <w:b/>
          <w:bCs/>
          <w:i w:val="false"/>
          <w:iCs w:val="false"/>
          <w:color w:val="1C3557"/>
          <w:sz w:val="24"/>
          <w:szCs w:val="24"/>
        </w:rPr>
        <w:t xml:space="preserve">ج — المؤشرات المشتقة من النموذج: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38"/>
      </w:tblGrid>
      <w:tr>
        <w:trPr>
          <w:tblHeader/>
        </w:trPr>
        <w:tc>
          <w:tcPr>
            <w:tcW w:type="dxa" w:w="32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المؤشر المشتق</w:t>
            </w:r>
          </w:p>
        </w:tc>
        <w:tc>
          <w:tcPr>
            <w:tcW w:type="dxa" w:w="2200"/>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الصيغة</w:t>
            </w:r>
          </w:p>
        </w:tc>
        <w:tc>
          <w:tcPr>
            <w:tcW w:type="dxa" w:w="4238"/>
            <w:gridSpan w:val="1"/>
            <w:tcBorders>
              <w:top w:val="single" w:color="FFFFFF" w:sz="6"/>
              <w:left w:val="single" w:color="FFFFFF" w:sz="6"/>
              <w:bottom w:val="single" w:color="FFFFFF" w:sz="6"/>
              <w:right w:val="single" w:color="FFFFFF" w:sz="6"/>
            </w:tcBorders>
            <w:shd w:fill="1C3557"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القيمة المحسوبة</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الكمية الاقتصادية للطلب</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val="false"/>
                <w:bCs w:val="false"/>
                <w:i/>
                <w:iCs/>
                <w:color w:val="555555"/>
                <w:sz w:val="20"/>
                <w:szCs w:val="20"/>
              </w:rPr>
              <w:t xml:space="preserve">EOQ = Q*</w:t>
            </w:r>
          </w:p>
        </w:tc>
        <w:tc>
          <w:tcPr>
            <w:tcW w:type="dxa" w:w="4238"/>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2E7D32"/>
                <w:sz w:val="22"/>
                <w:szCs w:val="22"/>
              </w:rPr>
              <w:t xml:space="preserve">60 رزمة</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نقطة إعادة الطلب</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val="false"/>
                <w:bCs w:val="false"/>
                <w:i/>
                <w:iCs/>
                <w:color w:val="555555"/>
                <w:sz w:val="20"/>
                <w:szCs w:val="20"/>
              </w:rPr>
              <w:t xml:space="preserve">ROP = (D/365) × LT + SS</w:t>
            </w:r>
          </w:p>
        </w:tc>
        <w:tc>
          <w:tcPr>
            <w:tcW w:type="dxa" w:w="4238"/>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 (2900/365) × 2 + 200 = 15.89 + 200 ≈ 216 رزمة</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مخزون الأمان</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val="false"/>
                <w:bCs w:val="false"/>
                <w:i/>
                <w:iCs/>
                <w:color w:val="555555"/>
                <w:sz w:val="20"/>
                <w:szCs w:val="20"/>
              </w:rPr>
              <w:t xml:space="preserve">SS</w:t>
            </w:r>
          </w:p>
        </w:tc>
        <w:tc>
          <w:tcPr>
            <w:tcW w:type="dxa" w:w="4238"/>
            <w:gridSpan w:val="1"/>
            <w:tcBorders>
              <w:top w:val="single" w:color="1C3557" w:sz="6"/>
              <w:left w:val="single" w:color="1C3557" w:sz="6"/>
              <w:bottom w:val="single" w:color="1C3557" w:sz="6"/>
              <w:right w:val="single" w:color="1C3557" w:sz="6"/>
            </w:tcBorders>
            <w:shd w:fill="DBEAFE"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200 رزمة</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عدد الطلبيات في السنة</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val="false"/>
                <w:bCs w:val="false"/>
                <w:i/>
                <w:iCs/>
                <w:color w:val="555555"/>
                <w:sz w:val="20"/>
                <w:szCs w:val="20"/>
              </w:rPr>
              <w:t xml:space="preserve">N = D / EOQ</w:t>
            </w:r>
          </w:p>
        </w:tc>
        <w:tc>
          <w:tcPr>
            <w:tcW w:type="dxa" w:w="4238"/>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 2900 / 60 ≈ 49 طلبية/سنة</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الفترة بين طلبيتين</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val="false"/>
                <w:bCs w:val="false"/>
                <w:i/>
                <w:iCs/>
                <w:color w:val="555555"/>
                <w:sz w:val="20"/>
                <w:szCs w:val="20"/>
              </w:rPr>
              <w:t xml:space="preserve">T = 365 / N</w:t>
            </w:r>
          </w:p>
        </w:tc>
        <w:tc>
          <w:tcPr>
            <w:tcW w:type="dxa" w:w="4238"/>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 365 / 49 ≈ 7.4 يوم</w:t>
            </w:r>
          </w:p>
        </w:tc>
      </w:tr>
      <w:tr>
        <w:tc>
          <w:tcPr>
            <w:tcW w:type="dxa" w:w="3200"/>
            <w:gridSpan w:val="1"/>
            <w:tcBorders>
              <w:top w:val="single" w:color="1C3557" w:sz="4"/>
              <w:left w:val="single" w:color="1C3557" w:sz="4"/>
              <w:bottom w:val="single" w:color="1C3557" w:sz="4"/>
              <w:right w:val="single" w:color="1C3557" w:sz="4"/>
            </w:tcBorders>
            <w:shd w:fill="D6E4F0"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1C3557"/>
                <w:sz w:val="22"/>
                <w:szCs w:val="22"/>
              </w:rPr>
              <w:t xml:space="preserve">التكلفة الإجمالية السنوية</w:t>
            </w:r>
          </w:p>
        </w:tc>
        <w:tc>
          <w:tcPr>
            <w:tcW w:type="dxa" w:w="2200"/>
            <w:gridSpan w:val="1"/>
            <w:tcBorders>
              <w:top w:val="single" w:color="1C3557" w:sz="6"/>
              <w:left w:val="single" w:color="1C3557" w:sz="6"/>
              <w:bottom w:val="single" w:color="1C3557" w:sz="6"/>
              <w:right w:val="single" w:color="1C3557" w:sz="6"/>
            </w:tcBorders>
            <w:shd w:fill="EFF6FF" w:val="clear"/>
            <w:tcMar>
              <w:top w:type="dxa" w:w="80"/>
              <w:left w:type="dxa" w:w="140"/>
              <w:bottom w:type="dxa" w:w="80"/>
              <w:right w:type="dxa" w:w="140"/>
            </w:tcMar>
            <w:vAlign w:val="center"/>
          </w:tcPr>
          <w:p>
            <w:pPr>
              <w:bidi/>
              <w:spacing w:before="80" w:after="80" w:line="320"/>
              <w:jc w:val="center"/>
            </w:pPr>
            <w:r>
              <w:rPr>
                <w:rFonts w:ascii="Arial" w:cs="Arial" w:eastAsia="Arial" w:hAnsi="Arial"/>
                <w:b w:val="false"/>
                <w:bCs w:val="false"/>
                <w:i/>
                <w:iCs/>
                <w:color w:val="555555"/>
                <w:sz w:val="20"/>
                <w:szCs w:val="20"/>
              </w:rPr>
              <w:t xml:space="preserve">TC = (D/Q*)×CL + (Q*/2)×Cs</w:t>
            </w:r>
          </w:p>
        </w:tc>
        <w:tc>
          <w:tcPr>
            <w:tcW w:type="dxa" w:w="4238"/>
            <w:gridSpan w:val="1"/>
            <w:tcBorders>
              <w:top w:val="single" w:color="1C3557" w:sz="6"/>
              <w:left w:val="single" w:color="1C3557" w:sz="6"/>
              <w:bottom w:val="single" w:color="1C3557" w:sz="6"/>
              <w:right w:val="single" w:color="1C3557" w:sz="6"/>
            </w:tcBorders>
            <w:shd w:fill="FFF8E1"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C62828"/>
                <w:sz w:val="22"/>
                <w:szCs w:val="22"/>
              </w:rPr>
              <w:t xml:space="preserve">= (2900/60)×50 + (60/2)×80 = 2417 + 2400 = 4 817 دج/سنة</w:t>
            </w:r>
          </w:p>
        </w:tc>
      </w:tr>
    </w:tbl>
    <w:p>
      <w:pPr>
        <w:bidi/>
        <w:spacing w:before="120" w:after="40" w:line="320"/>
        <w:jc w:val="right"/>
      </w:pPr>
      <w:r>
        <w:rPr>
          <w:rFonts w:ascii="Traditional Arabic" w:cs="Traditional Arabic" w:eastAsia="Traditional Arabic" w:hAnsi="Traditional Arabic"/>
          <w:b/>
          <w:bCs/>
          <w:i w:val="false"/>
          <w:iCs w:val="false"/>
          <w:color w:val="C62828"/>
          <w:sz w:val="24"/>
          <w:szCs w:val="24"/>
        </w:rPr>
        <w:t xml:space="preserve">د — تصحيح القيم مقارنةً بالنسخ السابقة من ERP: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gridSpan w:val="1"/>
            <w:tcBorders>
              <w:top w:val="single" w:color="FFFFFF" w:sz="6"/>
              <w:left w:val="single" w:color="FFFFFF" w:sz="6"/>
              <w:bottom w:val="single" w:color="FFFFFF" w:sz="6"/>
              <w:right w:val="single" w:color="FFFFFF" w:sz="6"/>
            </w:tcBorders>
            <w:shd w:fill="C62828"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القيم القديمة (سعر 180 دج — خاطئ)</w:t>
            </w:r>
          </w:p>
        </w:tc>
        <w:tc>
          <w:tcPr>
            <w:tcW w:type="dxa" w:w="4819"/>
            <w:gridSpan w:val="1"/>
            <w:tcBorders>
              <w:top w:val="single" w:color="FFFFFF" w:sz="6"/>
              <w:left w:val="single" w:color="FFFFFF" w:sz="6"/>
              <w:bottom w:val="single" w:color="FFFFFF" w:sz="6"/>
              <w:right w:val="single" w:color="FFFFFF" w:sz="6"/>
            </w:tcBorders>
            <w:shd w:fill="2E7D32" w:val="clear"/>
            <w:tcMar>
              <w:top w:type="dxa" w:w="80"/>
              <w:left w:type="dxa" w:w="140"/>
              <w:bottom w:type="dxa" w:w="80"/>
              <w:right w:type="dxa" w:w="140"/>
            </w:tcMar>
            <w:vAlign w:val="center"/>
          </w:tcPr>
          <w:p>
            <w:pPr>
              <w:bidi/>
              <w:spacing w:before="80" w:after="80" w:line="320"/>
              <w:jc w:val="center"/>
            </w:pPr>
            <w:r>
              <w:rPr>
                <w:rFonts w:ascii="Traditional Arabic" w:cs="Traditional Arabic" w:eastAsia="Traditional Arabic" w:hAnsi="Traditional Arabic"/>
                <w:b/>
                <w:bCs/>
                <w:i w:val="false"/>
                <w:iCs w:val="false"/>
                <w:color w:val="FFFFFF"/>
                <w:sz w:val="22"/>
                <w:szCs w:val="22"/>
              </w:rPr>
              <w:t xml:space="preserve">القيم المصحَّحة (سعر 400 دج — مؤكَّد)</w:t>
            </w:r>
          </w:p>
        </w:tc>
      </w:tr>
      <w:tr>
        <w:tc>
          <w:tcPr>
            <w:tcW w:type="dxa" w:w="4819"/>
            <w:gridSpan w:val="1"/>
            <w:tcBorders>
              <w:top w:val="single" w:color="1C3557" w:sz="6"/>
              <w:left w:val="single" w:color="1C3557" w:sz="6"/>
              <w:bottom w:val="single" w:color="1C3557" w:sz="6"/>
              <w:right w:val="single" w:color="1C3557" w:sz="6"/>
            </w:tcBorders>
            <w:shd w:fill="FFEBEE"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val="false"/>
                <w:bCs w:val="false"/>
                <w:i w:val="false"/>
                <w:iCs w:val="false"/>
                <w:color w:val="C62828"/>
                <w:sz w:val="22"/>
                <w:szCs w:val="22"/>
              </w:rPr>
              <w:t xml:space="preserve">EOQ = 90 رزمة
ROP = 223 رزمة (مُقرَّب 250)
Cs = 36 دج</w:t>
            </w:r>
          </w:p>
        </w:tc>
        <w:tc>
          <w:tcPr>
            <w:tcW w:type="dxa" w:w="4819"/>
            <w:gridSpan w:val="1"/>
            <w:tcBorders>
              <w:top w:val="single" w:color="1C3557" w:sz="6"/>
              <w:left w:val="single" w:color="1C3557" w:sz="6"/>
              <w:bottom w:val="single" w:color="1C3557" w:sz="6"/>
              <w:right w:val="single" w:color="1C3557" w:sz="6"/>
            </w:tcBorders>
            <w:shd w:fill="E8F5E9" w:val="clear"/>
            <w:tcMar>
              <w:top w:type="dxa" w:w="80"/>
              <w:left w:type="dxa" w:w="140"/>
              <w:bottom w:type="dxa" w:w="80"/>
              <w:right w:type="dxa" w:w="140"/>
            </w:tcMar>
            <w:vAlign w:val="center"/>
          </w:tcPr>
          <w:p>
            <w:pPr>
              <w:bidi/>
              <w:spacing w:before="80" w:after="80" w:line="320"/>
              <w:jc w:val="right"/>
            </w:pPr>
            <w:r>
              <w:rPr>
                <w:rFonts w:ascii="Traditional Arabic" w:cs="Traditional Arabic" w:eastAsia="Traditional Arabic" w:hAnsi="Traditional Arabic"/>
                <w:b/>
                <w:bCs/>
                <w:i w:val="false"/>
                <w:iCs w:val="false"/>
                <w:color w:val="2E7D32"/>
                <w:sz w:val="22"/>
                <w:szCs w:val="22"/>
              </w:rPr>
              <w:t xml:space="preserve">EOQ = 60 رزمة ✓
ROP = 216 رزمة ✓
Cs = 80 دج ✓</w:t>
            </w:r>
          </w:p>
        </w:tc>
      </w:tr>
      <w:tr>
        <w:tc>
          <w:tcPr>
            <w:tcW w:type="dxa" w:w="9638"/>
            <w:gridSpan w:val="2"/>
            <w:tcBorders>
              <w:top w:val="single" w:color="C8972A" w:sz="8"/>
              <w:left w:val="single" w:color="C8972A" w:sz="8"/>
              <w:bottom w:val="single" w:color="C8972A" w:sz="8"/>
              <w:right w:val="single" w:color="C8972A" w:sz="8"/>
            </w:tcBorders>
            <w:shd w:fill="FFF9C4" w:val="clear"/>
            <w:tcMar>
              <w:top w:type="dxa" w:w="80"/>
              <w:left w:type="dxa" w:w="160"/>
              <w:bottom w:type="dxa" w:w="80"/>
              <w:right w:type="dxa" w:w="160"/>
            </w:tcMar>
          </w:tcPr>
          <w:p>
            <w:pPr>
              <w:bidi/>
              <w:spacing w:before="60" w:after="60" w:line="320"/>
              <w:jc w:val="right"/>
            </w:pPr>
            <w:r>
              <w:rPr>
                <w:rFonts w:ascii="Traditional Arabic" w:cs="Traditional Arabic" w:eastAsia="Traditional Arabic" w:hAnsi="Traditional Arabic"/>
                <w:b/>
                <w:bCs/>
                <w:i w:val="false"/>
                <w:iCs w:val="false"/>
                <w:color w:val="C62828"/>
                <w:sz w:val="20"/>
                <w:szCs w:val="20"/>
              </w:rPr>
              <w:t xml:space="preserve">⚠️  تصحيح جوهري: السعر المعتمد في النسخ السابقة من ERP (180 دج) كان خاطئاً. جميع الحسابات في المذكرة يجب أن تعتمد السعر المؤكَّد ميدانياً: 400 دج/رزمة.</w:t>
            </w:r>
          </w:p>
        </w:tc>
      </w:tr>
    </w:tbl>
    <w:p>
      <w:pPr>
        <w:bidi/>
        <w:spacing w:before="60" w:after="200" w:line="320"/>
        <w:jc w:val="right"/>
      </w:pPr>
      <w:r>
        <w:rPr>
          <w:rFonts w:ascii="Traditional Arabic" w:cs="Traditional Arabic" w:eastAsia="Traditional Arabic" w:hAnsi="Traditional Arabic"/>
          <w:b w:val="false"/>
          <w:bCs w:val="false"/>
          <w:i/>
          <w:iCs/>
          <w:color w:val="555555"/>
          <w:sz w:val="18"/>
          <w:szCs w:val="18"/>
        </w:rPr>
        <w:t xml:space="preserve">المصدر: حساب الباحث بناءً على بيانات الاستهلاك الحقيقي والسعر المُؤكَّد ميدانياً — مديرية التربية لولاية البيض — 2026</w:t>
      </w:r>
    </w:p>
    <w:p>
      <w:pPr>
        <w:pBdr>
          <w:top w:val="single" w:color="1C3557" w:sz="8"/>
        </w:pBdr>
        <w:bidi/>
        <w:spacing w:before="200" w:after="80"/>
      </w:pPr>
    </w:p>
    <w:p>
      <w:pPr>
        <w:bidi/>
        <w:spacing w:before="0" w:after="0" w:line="320"/>
        <w:jc w:val="right"/>
      </w:pPr>
      <w:r>
        <w:rPr>
          <w:rFonts w:ascii="Traditional Arabic" w:cs="Traditional Arabic" w:eastAsia="Traditional Arabic" w:hAnsi="Traditional Arabic"/>
          <w:b w:val="false"/>
          <w:bCs w:val="false"/>
          <w:i/>
          <w:iCs/>
          <w:color w:val="555555"/>
          <w:sz w:val="18"/>
          <w:szCs w:val="18"/>
        </w:rPr>
        <w:t xml:space="preserve">أعدَّها: ماهي كمال عبد الغني — تقني سامٍ في تسيير المخزونات واللوجستيك — دفعة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2026-03-28T10:03:20.773Z</dcterms:created>
  <dcterms:modified xsi:type="dcterms:W3CDTF">2026-03-28T10:03:20.774Z</dcterms:modified>
</cp:coreProperties>
</file>

<file path=docProps/custom.xml><?xml version="1.0" encoding="utf-8"?>
<Properties xmlns="http://schemas.openxmlformats.org/officeDocument/2006/custom-properties" xmlns:vt="http://schemas.openxmlformats.org/officeDocument/2006/docPropsVTypes"/>
</file>