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before="0" w:after="60" w:line="320"/>
        <w:jc w:val="center"/>
      </w:pPr>
      <w:r>
        <w:rPr>
          <w:rFonts w:ascii="Traditional Arabic" w:cs="Traditional Arabic" w:eastAsia="Traditional Arabic" w:hAnsi="Traditional Arabic"/>
          <w:b w:val="false"/>
          <w:bCs w:val="false"/>
          <w:i/>
          <w:iCs/>
          <w:color w:val="444444"/>
          <w:sz w:val="20"/>
          <w:szCs w:val="20"/>
        </w:rPr>
        <w:t xml:space="preserve">ولاية البيض — مديرية التربية — مصلحة البرمجة والمتابعة</w:t>
      </w:r>
    </w:p>
    <w:p>
      <w:pPr>
        <w:bidi/>
        <w:spacing w:before="0" w:after="40" w:line="320"/>
        <w:jc w:val="center"/>
      </w:pPr>
      <w:r>
        <w:rPr>
          <w:rFonts w:ascii="Traditional Arabic" w:cs="Traditional Arabic" w:eastAsia="Traditional Arabic" w:hAnsi="Traditional Arabic"/>
          <w:b/>
          <w:bCs/>
          <w:i w:val="false"/>
          <w:iCs w:val="false"/>
          <w:color w:val="1C3557"/>
          <w:sz w:val="30"/>
          <w:szCs w:val="30"/>
        </w:rPr>
        <w:t xml:space="preserve">وثائق المخزون — الفصل الثالث — المبحث الثاني</w:t>
      </w:r>
    </w:p>
    <w:p>
      <w:pPr>
        <w:bidi/>
        <w:spacing w:before="0" w:after="40" w:line="320"/>
        <w:jc w:val="center"/>
      </w:pPr>
      <w:r>
        <w:rPr>
          <w:rFonts w:ascii="Traditional Arabic" w:cs="Traditional Arabic" w:eastAsia="Traditional Arabic" w:hAnsi="Traditional Arabic"/>
          <w:b w:val="false"/>
          <w:bCs w:val="false"/>
          <w:i/>
          <w:iCs/>
          <w:color w:val="C8972A"/>
          <w:sz w:val="24"/>
          <w:szCs w:val="24"/>
        </w:rPr>
        <w:t xml:space="preserve">المطلب الأول: تحليل ABC (Analyse ABC / Pareto)</w:t>
      </w:r>
    </w:p>
    <w:p>
      <w:pPr>
        <w:pBdr>
          <w:bottom w:val="single" w:color="1C3557" w:sz="8"/>
        </w:pBdr>
        <w:bidi/>
        <w:spacing w:before="80" w:after="200"/>
      </w:pPr>
    </w:p>
    <w:p>
      <w:pPr>
        <w:bidi/>
        <w:spacing w:before="100" w:after="60" w:line="320"/>
        <w:jc w:val="center"/>
      </w:pPr>
      <w:r>
        <w:rPr>
          <w:rFonts w:ascii="Traditional Arabic" w:cs="Traditional Arabic" w:eastAsia="Traditional Arabic" w:hAnsi="Traditional Arabic"/>
          <w:b/>
          <w:bCs/>
          <w:i w:val="false"/>
          <w:iCs w:val="false"/>
          <w:color w:val="1C3557"/>
          <w:sz w:val="28"/>
          <w:szCs w:val="28"/>
        </w:rPr>
        <w:t xml:space="preserve">الجدول رقم 04 — تحليل ABC لمواد مخزن مديرية التربية لولاية البيض — 2026</w:t>
      </w:r>
    </w:p>
    <w:p>
      <w:pPr>
        <w:bidi/>
        <w:spacing w:before="40" w:after="60" w:line="320"/>
        <w:jc w:val="right"/>
      </w:pPr>
      <w:r>
        <w:rPr>
          <w:rFonts w:ascii="Traditional Arabic" w:cs="Traditional Arabic" w:eastAsia="Traditional Arabic" w:hAnsi="Traditional Arabic"/>
          <w:b/>
          <w:bCs/>
          <w:i w:val="false"/>
          <w:iCs w:val="false"/>
          <w:color w:val="1C3557"/>
          <w:sz w:val="20"/>
          <w:szCs w:val="20"/>
        </w:rPr>
        <w:t xml:space="preserve">📌  موضع المذكرة: </w:t>
      </w:r>
      <w:r>
        <w:rPr>
          <w:rFonts w:ascii="Traditional Arabic" w:cs="Traditional Arabic" w:eastAsia="Traditional Arabic" w:hAnsi="Traditional Arabic"/>
          <w:b/>
          <w:bCs/>
          <w:i w:val="false"/>
          <w:iCs w:val="false"/>
          <w:color w:val="C8972A"/>
          <w:sz w:val="20"/>
          <w:szCs w:val="20"/>
        </w:rPr>
        <w:t xml:space="preserve">الفصل الثالث، المبحث الثاني، المطلب الأول</w:t>
      </w:r>
    </w:p>
    <w:tbl>
      <w:tblPr>
        <w:tblW w:type="dxa" w:w="960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3"/>
        <w:gridCol w:w="6246"/>
      </w:tblGrid>
      <w:tr>
        <w:tc>
          <w:tcPr>
            <w:tcW w:type="dxa" w:w="3363"/>
            <w:gridSpan w:val="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العتبات المعتمدة</w:t>
            </w:r>
          </w:p>
        </w:tc>
        <w:tc>
          <w:tcPr>
            <w:tcW w:type="dxa" w:w="6246"/>
            <w:gridSpan w:val="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المنهجية المُتَّبعة</w:t>
            </w:r>
          </w:p>
        </w:tc>
      </w:tr>
      <w:tr>
        <w:tc>
          <w:tcPr>
            <w:tcW w:type="dxa" w:w="3363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right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B71C1C"/>
                <w:sz w:val="22"/>
                <w:szCs w:val="22"/>
              </w:rPr>
              <w:t xml:space="preserve">فئة A</w:t>
            </w: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: النسبة التراكمية ≤ 80%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2"/>
                <w:szCs w:val="22"/>
              </w:rPr>
              <w:t xml:space="preserve">
فئة B</w:t>
            </w: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: من 80% إلى 95%</w:t>
            </w: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
فئة C</w:t>
            </w: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: من 95% إلى 100%</w:t>
            </w:r>
          </w:p>
        </w:tc>
        <w:tc>
          <w:tcPr>
            <w:tcW w:type="dxa" w:w="6246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تُرتَّب المواد تنازلياً حسب قيمتها الاستهلاكية السنوية (D × PU)، ثم تُحسب النسب التراكمية. يُصنَّف كل مقال وفق العتبة التي يقع عندها تراكمه، وفق المنهجية المعتمدة في مقاييس تسيير المخزونات (السداسي الثالث — CNEPD).</w:t>
            </w:r>
          </w:p>
        </w:tc>
      </w:tr>
    </w:tbl>
    <w:p>
      <w:pPr>
        <w:bidi/>
        <w:spacing w:before="80" w:after="0" w:line="320"/>
        <w:jc w:val="right"/>
      </w:pPr>
    </w:p>
    <w:p>
      <w:pPr>
        <w:bidi/>
        <w:spacing w:before="80" w:after="40" w:line="320"/>
        <w:jc w:val="right"/>
      </w:pPr>
      <w:r>
        <w:rPr>
          <w:rFonts w:ascii="Traditional Arabic" w:cs="Traditional Arabic" w:eastAsia="Traditional Arabic" w:hAnsi="Traditional Arabic"/>
          <w:b/>
          <w:bCs/>
          <w:i w:val="false"/>
          <w:iCs w:val="false"/>
          <w:color w:val="1C3557"/>
          <w:sz w:val="24"/>
          <w:szCs w:val="24"/>
        </w:rPr>
        <w:t xml:space="preserve">أ — جدول ترتيب المواد حسب القيمة الاستهلاكية السنوية (ترتيب تنازلي):</w:t>
      </w:r>
    </w:p>
    <w:tbl>
      <w:tblPr>
        <w:tblW w:type="dxa" w:w="960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2600"/>
        <w:gridCol w:w="800"/>
        <w:gridCol w:w="900"/>
        <w:gridCol w:w="1200"/>
        <w:gridCol w:w="900"/>
        <w:gridCol w:w="900"/>
        <w:gridCol w:w="1009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م</w:t>
            </w:r>
          </w:p>
        </w:tc>
        <w:tc>
          <w:tcPr>
            <w:tcW w:type="dxa" w:w="800"/>
            <w:gridSpan w:val="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الرمز</w:t>
            </w:r>
          </w:p>
        </w:tc>
        <w:tc>
          <w:tcPr>
            <w:tcW w:type="dxa" w:w="2600"/>
            <w:gridSpan w:val="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اسم المادة</w:t>
            </w:r>
          </w:p>
        </w:tc>
        <w:tc>
          <w:tcPr>
            <w:tcW w:type="dxa" w:w="800"/>
            <w:gridSpan w:val="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 سنوي</w:t>
            </w:r>
          </w:p>
        </w:tc>
        <w:tc>
          <w:tcPr>
            <w:tcW w:type="dxa" w:w="900"/>
            <w:gridSpan w:val="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PU (دج)</w:t>
            </w:r>
          </w:p>
        </w:tc>
        <w:tc>
          <w:tcPr>
            <w:tcW w:type="dxa" w:w="1200"/>
            <w:gridSpan w:val="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القيمة السنوية (دج)</w:t>
            </w:r>
          </w:p>
        </w:tc>
        <w:tc>
          <w:tcPr>
            <w:tcW w:type="dxa" w:w="900"/>
            <w:gridSpan w:val="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% القيمة</w:t>
            </w:r>
          </w:p>
        </w:tc>
        <w:tc>
          <w:tcPr>
            <w:tcW w:type="dxa" w:w="900"/>
            <w:gridSpan w:val="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% التراكمي</w:t>
            </w:r>
          </w:p>
        </w:tc>
        <w:tc>
          <w:tcPr>
            <w:tcW w:type="dxa" w:w="1009"/>
            <w:gridSpan w:val="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الفئة</w:t>
            </w:r>
          </w:p>
        </w:tc>
      </w:tr>
      <w:tr>
        <w:tc>
          <w:tcPr>
            <w:tcW w:type="dxa" w:w="5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م-001</w:t>
            </w:r>
          </w:p>
        </w:tc>
        <w:tc>
          <w:tcPr>
            <w:tcW w:type="dxa" w:w="26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رزمة ورق A4</w:t>
            </w:r>
          </w:p>
        </w:tc>
        <w:tc>
          <w:tcPr>
            <w:tcW w:type="dxa" w:w="8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2 900</w:t>
            </w:r>
          </w:p>
        </w:tc>
        <w:tc>
          <w:tcPr>
            <w:tcW w:type="dxa" w:w="9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12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1 160 000</w:t>
            </w:r>
          </w:p>
        </w:tc>
        <w:tc>
          <w:tcPr>
            <w:tcW w:type="dxa" w:w="9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72.2%</w:t>
            </w:r>
          </w:p>
        </w:tc>
        <w:tc>
          <w:tcPr>
            <w:tcW w:type="dxa" w:w="9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72.2%</w:t>
            </w:r>
          </w:p>
        </w:tc>
        <w:tc>
          <w:tcPr>
            <w:tcW w:type="dxa" w:w="1009"/>
            <w:gridSpan w:val="1"/>
            <w:tcBorders>
              <w:top w:val="single" w:color="B71C1C" w:sz="6"/>
              <w:left w:val="single" w:color="B71C1C" w:sz="6"/>
              <w:bottom w:val="single" w:color="B71C1C" w:sz="6"/>
              <w:right w:val="single" w:color="B71C1C" w:sz="6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B71C1C"/>
                <w:sz w:val="22"/>
                <w:szCs w:val="22"/>
              </w:rPr>
              <w:t xml:space="preserve">A</w:t>
            </w:r>
          </w:p>
        </w:tc>
      </w:tr>
      <w:tr>
        <w:tc>
          <w:tcPr>
            <w:tcW w:type="dxa" w:w="5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F57F17"/>
                <w:sz w:val="20"/>
                <w:szCs w:val="20"/>
              </w:rPr>
              <w:t xml:space="preserve">م-005</w:t>
            </w:r>
          </w:p>
        </w:tc>
        <w:tc>
          <w:tcPr>
            <w:tcW w:type="dxa" w:w="26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حبر طابعة G030</w:t>
            </w:r>
          </w:p>
        </w:tc>
        <w:tc>
          <w:tcPr>
            <w:tcW w:type="dxa" w:w="8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76</w:t>
            </w:r>
          </w:p>
        </w:tc>
        <w:tc>
          <w:tcPr>
            <w:tcW w:type="dxa" w:w="9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3 000</w:t>
            </w:r>
          </w:p>
        </w:tc>
        <w:tc>
          <w:tcPr>
            <w:tcW w:type="dxa" w:w="12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228 000</w:t>
            </w:r>
          </w:p>
        </w:tc>
        <w:tc>
          <w:tcPr>
            <w:tcW w:type="dxa" w:w="9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14.2%</w:t>
            </w:r>
          </w:p>
        </w:tc>
        <w:tc>
          <w:tcPr>
            <w:tcW w:type="dxa" w:w="9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F57F17"/>
                <w:sz w:val="20"/>
                <w:szCs w:val="20"/>
              </w:rPr>
              <w:t xml:space="preserve">86.3%</w:t>
            </w:r>
          </w:p>
        </w:tc>
        <w:tc>
          <w:tcPr>
            <w:tcW w:type="dxa" w:w="1009"/>
            <w:gridSpan w:val="1"/>
            <w:tcBorders>
              <w:top w:val="single" w:color="F57F17" w:sz="6"/>
              <w:left w:val="single" w:color="F57F17" w:sz="6"/>
              <w:bottom w:val="single" w:color="F57F17" w:sz="6"/>
              <w:right w:val="single" w:color="F57F17" w:sz="6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B</w:t>
            </w:r>
          </w:p>
        </w:tc>
      </w:tr>
      <w:tr>
        <w:tc>
          <w:tcPr>
            <w:tcW w:type="dxa" w:w="5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F57F17"/>
                <w:sz w:val="20"/>
                <w:szCs w:val="20"/>
              </w:rPr>
              <w:t xml:space="preserve">م-002</w:t>
            </w:r>
          </w:p>
        </w:tc>
        <w:tc>
          <w:tcPr>
            <w:tcW w:type="dxa" w:w="26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رزمة ورق A3</w:t>
            </w:r>
          </w:p>
        </w:tc>
        <w:tc>
          <w:tcPr>
            <w:tcW w:type="dxa" w:w="8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228</w:t>
            </w:r>
          </w:p>
        </w:tc>
        <w:tc>
          <w:tcPr>
            <w:tcW w:type="dxa" w:w="9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600</w:t>
            </w:r>
          </w:p>
        </w:tc>
        <w:tc>
          <w:tcPr>
            <w:tcW w:type="dxa" w:w="12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136 800</w:t>
            </w:r>
          </w:p>
        </w:tc>
        <w:tc>
          <w:tcPr>
            <w:tcW w:type="dxa" w:w="9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8.5%</w:t>
            </w:r>
          </w:p>
        </w:tc>
        <w:tc>
          <w:tcPr>
            <w:tcW w:type="dxa" w:w="9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F57F17"/>
                <w:sz w:val="20"/>
                <w:szCs w:val="20"/>
              </w:rPr>
              <w:t xml:space="preserve">94.8%</w:t>
            </w:r>
          </w:p>
        </w:tc>
        <w:tc>
          <w:tcPr>
            <w:tcW w:type="dxa" w:w="1009"/>
            <w:gridSpan w:val="1"/>
            <w:tcBorders>
              <w:top w:val="single" w:color="F57F17" w:sz="6"/>
              <w:left w:val="single" w:color="F57F17" w:sz="6"/>
              <w:bottom w:val="single" w:color="F57F17" w:sz="6"/>
              <w:right w:val="single" w:color="F57F17" w:sz="6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B</w:t>
            </w:r>
          </w:p>
        </w:tc>
      </w:tr>
      <w:tr>
        <w:tc>
          <w:tcPr>
            <w:tcW w:type="dxa" w:w="5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م-009</w:t>
            </w:r>
          </w:p>
        </w:tc>
        <w:tc>
          <w:tcPr>
            <w:tcW w:type="dxa" w:w="26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علبة الأرشيف</w:t>
            </w:r>
          </w:p>
        </w:tc>
        <w:tc>
          <w:tcPr>
            <w:tcW w:type="dxa" w:w="8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240</w:t>
            </w:r>
          </w:p>
        </w:tc>
        <w:tc>
          <w:tcPr>
            <w:tcW w:type="dxa" w:w="9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150</w:t>
            </w:r>
          </w:p>
        </w:tc>
        <w:tc>
          <w:tcPr>
            <w:tcW w:type="dxa" w:w="12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36 000</w:t>
            </w:r>
          </w:p>
        </w:tc>
        <w:tc>
          <w:tcPr>
            <w:tcW w:type="dxa" w:w="9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2.2%</w:t>
            </w:r>
          </w:p>
        </w:tc>
        <w:tc>
          <w:tcPr>
            <w:tcW w:type="dxa" w:w="9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97.1%</w:t>
            </w:r>
          </w:p>
        </w:tc>
        <w:tc>
          <w:tcPr>
            <w:tcW w:type="dxa" w:w="1009"/>
            <w:gridSpan w:val="1"/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5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م-010</w:t>
            </w:r>
          </w:p>
        </w:tc>
        <w:tc>
          <w:tcPr>
            <w:tcW w:type="dxa" w:w="26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دباسة</w:t>
            </w:r>
          </w:p>
        </w:tc>
        <w:tc>
          <w:tcPr>
            <w:tcW w:type="dxa" w:w="8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800</w:t>
            </w:r>
          </w:p>
        </w:tc>
        <w:tc>
          <w:tcPr>
            <w:tcW w:type="dxa" w:w="12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19 200</w:t>
            </w:r>
          </w:p>
        </w:tc>
        <w:tc>
          <w:tcPr>
            <w:tcW w:type="dxa" w:w="9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1.2%</w:t>
            </w:r>
          </w:p>
        </w:tc>
        <w:tc>
          <w:tcPr>
            <w:tcW w:type="dxa" w:w="9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98.3%</w:t>
            </w:r>
          </w:p>
        </w:tc>
        <w:tc>
          <w:tcPr>
            <w:tcW w:type="dxa" w:w="1009"/>
            <w:gridSpan w:val="1"/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5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م-006</w:t>
            </w:r>
          </w:p>
        </w:tc>
        <w:tc>
          <w:tcPr>
            <w:tcW w:type="dxa" w:w="26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أقلام حبر جاف</w:t>
            </w:r>
          </w:p>
        </w:tc>
        <w:tc>
          <w:tcPr>
            <w:tcW w:type="dxa" w:w="8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9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15 000</w:t>
            </w:r>
          </w:p>
        </w:tc>
        <w:tc>
          <w:tcPr>
            <w:tcW w:type="dxa" w:w="9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0.9%</w:t>
            </w:r>
          </w:p>
        </w:tc>
        <w:tc>
          <w:tcPr>
            <w:tcW w:type="dxa" w:w="9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99.2%</w:t>
            </w:r>
          </w:p>
        </w:tc>
        <w:tc>
          <w:tcPr>
            <w:tcW w:type="dxa" w:w="1009"/>
            <w:gridSpan w:val="1"/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5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م-007</w:t>
            </w:r>
          </w:p>
        </w:tc>
        <w:tc>
          <w:tcPr>
            <w:tcW w:type="dxa" w:w="26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سجل 5م</w:t>
            </w:r>
          </w:p>
        </w:tc>
        <w:tc>
          <w:tcPr>
            <w:tcW w:type="dxa" w:w="8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12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3 600</w:t>
            </w:r>
          </w:p>
        </w:tc>
        <w:tc>
          <w:tcPr>
            <w:tcW w:type="dxa" w:w="9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0.2%</w:t>
            </w:r>
          </w:p>
        </w:tc>
        <w:tc>
          <w:tcPr>
            <w:tcW w:type="dxa" w:w="9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99.4%</w:t>
            </w:r>
          </w:p>
        </w:tc>
        <w:tc>
          <w:tcPr>
            <w:tcW w:type="dxa" w:w="1009"/>
            <w:gridSpan w:val="1"/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5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م-011</w:t>
            </w:r>
          </w:p>
        </w:tc>
        <w:tc>
          <w:tcPr>
            <w:tcW w:type="dxa" w:w="26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حبر الختم</w:t>
            </w:r>
          </w:p>
        </w:tc>
        <w:tc>
          <w:tcPr>
            <w:tcW w:type="dxa" w:w="8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9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3 200</w:t>
            </w:r>
          </w:p>
        </w:tc>
        <w:tc>
          <w:tcPr>
            <w:tcW w:type="dxa" w:w="9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0.2%</w:t>
            </w:r>
          </w:p>
        </w:tc>
        <w:tc>
          <w:tcPr>
            <w:tcW w:type="dxa" w:w="9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99.6%</w:t>
            </w:r>
          </w:p>
        </w:tc>
        <w:tc>
          <w:tcPr>
            <w:tcW w:type="dxa" w:w="1009"/>
            <w:gridSpan w:val="1"/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5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م-003</w:t>
            </w:r>
          </w:p>
        </w:tc>
        <w:tc>
          <w:tcPr>
            <w:tcW w:type="dxa" w:w="26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ملف من أسفل</w:t>
            </w:r>
          </w:p>
        </w:tc>
        <w:tc>
          <w:tcPr>
            <w:tcW w:type="dxa" w:w="8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9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2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2 400</w:t>
            </w:r>
          </w:p>
        </w:tc>
        <w:tc>
          <w:tcPr>
            <w:tcW w:type="dxa" w:w="9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0.1%</w:t>
            </w:r>
          </w:p>
        </w:tc>
        <w:tc>
          <w:tcPr>
            <w:tcW w:type="dxa" w:w="9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99.8%</w:t>
            </w:r>
          </w:p>
        </w:tc>
        <w:tc>
          <w:tcPr>
            <w:tcW w:type="dxa" w:w="1009"/>
            <w:gridSpan w:val="1"/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5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م-004</w:t>
            </w:r>
          </w:p>
        </w:tc>
        <w:tc>
          <w:tcPr>
            <w:tcW w:type="dxa" w:w="26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ملف (Chemise)</w:t>
            </w:r>
          </w:p>
        </w:tc>
        <w:tc>
          <w:tcPr>
            <w:tcW w:type="dxa" w:w="8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12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1 920</w:t>
            </w:r>
          </w:p>
        </w:tc>
        <w:tc>
          <w:tcPr>
            <w:tcW w:type="dxa" w:w="9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0.1%</w:t>
            </w:r>
          </w:p>
        </w:tc>
        <w:tc>
          <w:tcPr>
            <w:tcW w:type="dxa" w:w="9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99.9%</w:t>
            </w:r>
          </w:p>
        </w:tc>
        <w:tc>
          <w:tcPr>
            <w:tcW w:type="dxa" w:w="1009"/>
            <w:gridSpan w:val="1"/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5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8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م-008</w:t>
            </w:r>
          </w:p>
        </w:tc>
        <w:tc>
          <w:tcPr>
            <w:tcW w:type="dxa" w:w="26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بكرة الفاكس</w:t>
            </w:r>
          </w:p>
        </w:tc>
        <w:tc>
          <w:tcPr>
            <w:tcW w:type="dxa" w:w="8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12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1 600</w:t>
            </w:r>
          </w:p>
        </w:tc>
        <w:tc>
          <w:tcPr>
            <w:tcW w:type="dxa" w:w="9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0.1%</w:t>
            </w:r>
          </w:p>
        </w:tc>
        <w:tc>
          <w:tcPr>
            <w:tcW w:type="dxa" w:w="9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100.0%</w:t>
            </w:r>
          </w:p>
        </w:tc>
        <w:tc>
          <w:tcPr>
            <w:tcW w:type="dxa" w:w="1009"/>
            <w:gridSpan w:val="1"/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5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8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م-012</w:t>
            </w:r>
          </w:p>
        </w:tc>
        <w:tc>
          <w:tcPr>
            <w:tcW w:type="dxa" w:w="26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قلم تحديد</w:t>
            </w:r>
          </w:p>
        </w:tc>
        <w:tc>
          <w:tcPr>
            <w:tcW w:type="dxa" w:w="8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2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0.0%</w:t>
            </w:r>
          </w:p>
        </w:tc>
        <w:tc>
          <w:tcPr>
            <w:tcW w:type="dxa" w:w="9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100.0%</w:t>
            </w:r>
          </w:p>
        </w:tc>
        <w:tc>
          <w:tcPr>
            <w:tcW w:type="dxa" w:w="1009"/>
            <w:gridSpan w:val="1"/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5600"/>
            <w:gridSpan w:val="5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المجموع</w:t>
            </w:r>
          </w:p>
        </w:tc>
        <w:tc>
          <w:tcPr>
            <w:tcW w:type="dxa" w:w="12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1 607 720 دج</w:t>
            </w:r>
          </w:p>
        </w:tc>
        <w:tc>
          <w:tcPr>
            <w:tcW w:type="dxa" w:w="9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100%</w:t>
            </w:r>
          </w:p>
        </w:tc>
        <w:tc>
          <w:tcPr>
            <w:tcW w:type="dxa" w:w="900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100%</w:t>
            </w:r>
          </w:p>
        </w:tc>
        <w:tc>
          <w:tcPr>
            <w:tcW w:type="dxa" w:w="1009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—</w:t>
            </w:r>
          </w:p>
        </w:tc>
      </w:tr>
    </w:tbl>
    <w:p>
      <w:pPr>
        <w:bidi/>
        <w:spacing w:before="40" w:after="40" w:line="32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i/>
          <w:iCs/>
          <w:color w:val="777777"/>
          <w:sz w:val="18"/>
          <w:szCs w:val="18"/>
        </w:rPr>
        <w:t xml:space="preserve">ملاحظة: أسعار الوحدات مُقدَّرة من السوق المرجعي للمشتريات العمومية (باستثناء PU=400 دج للمادة م-001 المُؤكَّد ميدانياً)</w:t>
      </w:r>
    </w:p>
    <w:p>
      <w:pPr>
        <w:bidi/>
      </w:pPr>
      <w:r>
        <w:br/>
        <w:t xml:space="preserve"/>
      </w:r>
    </w:p>
    <w:p>
      <w:pPr>
        <w:bidi/>
        <w:spacing w:before="80" w:after="40" w:line="320"/>
        <w:jc w:val="right"/>
      </w:pPr>
      <w:r>
        <w:rPr>
          <w:rFonts w:ascii="Traditional Arabic" w:cs="Traditional Arabic" w:eastAsia="Traditional Arabic" w:hAnsi="Traditional Arabic"/>
          <w:b/>
          <w:bCs/>
          <w:i w:val="false"/>
          <w:iCs w:val="false"/>
          <w:color w:val="1C3557"/>
          <w:sz w:val="24"/>
          <w:szCs w:val="24"/>
        </w:rPr>
        <w:t xml:space="preserve">ب — ملخص نتائج التحليل حسب الفئات الثلاث:</w:t>
      </w:r>
    </w:p>
    <w:tbl>
      <w:tblPr>
        <w:tblW w:type="dxa" w:w="960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2"/>
        <w:gridCol w:w="1922"/>
        <w:gridCol w:w="1922"/>
        <w:gridCol w:w="1922"/>
        <w:gridCol w:w="1921"/>
      </w:tblGrid>
      <w:tr>
        <w:trPr>
          <w:tblHeader/>
        </w:trPr>
        <w:tc>
          <w:tcPr>
            <w:tcW w:type="dxa" w:w="1922"/>
            <w:gridSpan w:val="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الفئة</w:t>
            </w:r>
          </w:p>
        </w:tc>
        <w:tc>
          <w:tcPr>
            <w:tcW w:type="dxa" w:w="1922"/>
            <w:gridSpan w:val="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عدد المواد</w:t>
            </w:r>
          </w:p>
        </w:tc>
        <w:tc>
          <w:tcPr>
            <w:tcW w:type="dxa" w:w="1922"/>
            <w:gridSpan w:val="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% المواد</w:t>
            </w:r>
          </w:p>
        </w:tc>
        <w:tc>
          <w:tcPr>
            <w:tcW w:type="dxa" w:w="1922"/>
            <w:gridSpan w:val="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% القيمة</w:t>
            </w:r>
          </w:p>
        </w:tc>
        <w:tc>
          <w:tcPr>
            <w:tcW w:type="dxa" w:w="1921"/>
            <w:gridSpan w:val="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الاستراتيجية المقترحة في ERP</w:t>
            </w:r>
          </w:p>
        </w:tc>
      </w:tr>
      <w:tr>
        <w:tc>
          <w:tcPr>
            <w:tcW w:type="dxa" w:w="1922"/>
            <w:gridSpan w:val="1"/>
            <w:tcBorders>
              <w:top w:val="single" w:color="B71C1C" w:sz="8"/>
              <w:left w:val="single" w:color="B71C1C" w:sz="8"/>
              <w:bottom w:val="single" w:color="B71C1C" w:sz="8"/>
              <w:right w:val="single" w:color="B71C1C" w:sz="8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B71C1C"/>
                <w:sz w:val="28"/>
                <w:szCs w:val="28"/>
              </w:rPr>
              <w:t xml:space="preserve">A</w:t>
            </w:r>
          </w:p>
        </w:tc>
        <w:tc>
          <w:tcPr>
            <w:tcW w:type="dxa" w:w="1922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B71C1C"/>
                <w:sz w:val="22"/>
                <w:szCs w:val="22"/>
              </w:rPr>
              <w:t xml:space="preserve">1 مادة</w:t>
            </w:r>
          </w:p>
        </w:tc>
        <w:tc>
          <w:tcPr>
            <w:tcW w:type="dxa" w:w="1922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8.3%</w:t>
            </w:r>
          </w:p>
        </w:tc>
        <w:tc>
          <w:tcPr>
            <w:tcW w:type="dxa" w:w="1922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B71C1C"/>
                <w:sz w:val="22"/>
                <w:szCs w:val="22"/>
              </w:rPr>
              <w:t xml:space="preserve">72.2%</w:t>
            </w:r>
          </w:p>
        </w:tc>
        <w:tc>
          <w:tcPr>
            <w:tcW w:type="dxa" w:w="1921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متابعة يومية — تنبيه فوري عند بلوغ ROP — حساب EOQ مُفعَّل — أولوية التزود</w:t>
            </w:r>
          </w:p>
        </w:tc>
      </w:tr>
      <w:tr>
        <w:tc>
          <w:tcPr>
            <w:tcW w:type="dxa" w:w="1922"/>
            <w:gridSpan w:val="1"/>
            <w:tcBorders>
              <w:top w:val="single" w:color="F57F17" w:sz="8"/>
              <w:left w:val="single" w:color="F57F17" w:sz="8"/>
              <w:bottom w:val="single" w:color="F57F17" w:sz="8"/>
              <w:right w:val="single" w:color="F57F17" w:sz="8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F57F17"/>
                <w:sz w:val="28"/>
                <w:szCs w:val="28"/>
              </w:rPr>
              <w:t xml:space="preserve">B</w:t>
            </w:r>
          </w:p>
        </w:tc>
        <w:tc>
          <w:tcPr>
            <w:tcW w:type="dxa" w:w="1922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2 مواد</w:t>
            </w:r>
          </w:p>
        </w:tc>
        <w:tc>
          <w:tcPr>
            <w:tcW w:type="dxa" w:w="1922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16.7%</w:t>
            </w:r>
          </w:p>
        </w:tc>
        <w:tc>
          <w:tcPr>
            <w:tcW w:type="dxa" w:w="1922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22.7%</w:t>
            </w:r>
          </w:p>
        </w:tc>
        <w:tc>
          <w:tcPr>
            <w:tcW w:type="dxa" w:w="1921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متابعة أسبوعية — تنبيه عند النفاد — مراجعة ROP كل شهر</w:t>
            </w:r>
          </w:p>
        </w:tc>
      </w:tr>
      <w:tr>
        <w:tc>
          <w:tcPr>
            <w:tcW w:type="dxa" w:w="1922"/>
            <w:gridSpan w:val="1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2E7D32"/>
                <w:sz w:val="28"/>
                <w:szCs w:val="28"/>
              </w:rPr>
              <w:t xml:space="preserve">C</w:t>
            </w:r>
          </w:p>
        </w:tc>
        <w:tc>
          <w:tcPr>
            <w:tcW w:type="dxa" w:w="1922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9 مواد</w:t>
            </w:r>
          </w:p>
        </w:tc>
        <w:tc>
          <w:tcPr>
            <w:tcW w:type="dxa" w:w="1922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75.0%</w:t>
            </w:r>
          </w:p>
        </w:tc>
        <w:tc>
          <w:tcPr>
            <w:tcW w:type="dxa" w:w="1922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5.1%</w:t>
            </w:r>
          </w:p>
        </w:tc>
        <w:tc>
          <w:tcPr>
            <w:tcW w:type="dxa" w:w="1921"/>
            <w:gridSpan w:val="1"/>
            <w:tcBorders>
              <w:top w:val="single" w:color="1C3557" w:sz="6"/>
              <w:left w:val="single" w:color="1C3557" w:sz="6"/>
              <w:bottom w:val="single" w:color="1C3557" w:sz="6"/>
              <w:right w:val="single" w:color="1C3557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before="80" w:after="80" w:line="32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جرد شهري — تزود دوري ثابت — لا حاجة لحساب EOQ منفصل</w:t>
            </w:r>
          </w:p>
        </w:tc>
      </w:tr>
    </w:tbl>
    <w:p>
      <w:pPr>
        <w:bidi/>
        <w:spacing w:before="80" w:after="0" w:line="320"/>
        <w:jc w:val="right"/>
      </w:pPr>
    </w:p>
    <w:p>
      <w:pPr>
        <w:bidi/>
        <w:spacing w:before="80" w:after="40" w:line="320"/>
        <w:jc w:val="right"/>
      </w:pPr>
      <w:r>
        <w:rPr>
          <w:rFonts w:ascii="Traditional Arabic" w:cs="Traditional Arabic" w:eastAsia="Traditional Arabic" w:hAnsi="Traditional Arabic"/>
          <w:b/>
          <w:bCs/>
          <w:i w:val="false"/>
          <w:iCs w:val="false"/>
          <w:color w:val="1C3557"/>
          <w:sz w:val="24"/>
          <w:szCs w:val="24"/>
        </w:rPr>
        <w:t xml:space="preserve">ج — القراءة التحليلية واستثمار النتائج في نظام Mini ERP:</w:t>
      </w:r>
    </w:p>
    <w:tbl>
      <w:tblPr>
        <w:tblW w:type="dxa" w:w="960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9"/>
      </w:tblGrid>
      <w:tr>
        <w:tc>
          <w:tcPr>
            <w:tcW w:type="dxa" w:w="9609"/>
            <w:tcBorders>
              <w:top w:val="single" w:color="C8972A" w:sz="8"/>
              <w:left w:val="single" w:color="C8972A" w:sz="8"/>
              <w:bottom w:val="single" w:color="C8972A" w:sz="8"/>
              <w:right w:val="single" w:color="C8972A" w:sz="8"/>
            </w:tcBorders>
            <w:shd w:fill="FFF9C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bidi/>
              <w:spacing w:before="60" w:after="40" w:line="320"/>
              <w:jc w:val="right"/>
            </w:pPr>
            <w:r>
              <w:rPr>
                <w:rFonts w:ascii="Traditional Arabic" w:cs="Traditional Arabic" w:eastAsia="Traditional Arabic" w:hAnsi="Traditional Arabic"/>
                <w:b/>
                <w:bCs/>
                <w:i w:val="false"/>
                <w:iCs w:val="false"/>
                <w:color w:val="1C3557"/>
                <w:sz w:val="22"/>
                <w:szCs w:val="22"/>
              </w:rPr>
              <w:t xml:space="preserve">قراءة تحليلية — مبدأ باريتو (Pareto 80/20):</w:t>
            </w:r>
          </w:p>
          <w:p>
            <w:pPr>
              <w:bidi/>
              <w:spacing w:before="40" w:after="40" w:line="32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تُكشف نتائج التحليل عن تركُّز استثنائي: مادة واحدة فقط (م-001 — رزمة ورق A4) تمثِّل 72.2% من إجمالي قيمة المخزون السنوية البالغة 1 607 720 دينار جزائري. وإذا أُضيفت إليها المادة (م-005 — حبر الطابعة G030) ذات السعر المرتفع، ارتفعت النسبة إلى 86.3%. هذا يُؤكد صحة قانون باريتو: 16.7% من المواد تُسيطر على 86.3% من القيمة.</w:t>
            </w:r>
          </w:p>
          <w:p>
            <w:pPr>
              <w:bidi/>
              <w:spacing w:before="0" w:after="60" w:line="32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الانعكاس العملي على نظام Mini ERP: يجب أن تحظى المادتان (م-001 وم-005) بالأولوية القصوى في ضبط نقطة إعادة الطلب (ROP) والتنبيهات التلقائية، وهو ما يُبرِّر تفعيل حساب EOQ للمادة (م-001) كما ورد في الجدول رقم 06.</w:t>
            </w:r>
          </w:p>
        </w:tc>
      </w:tr>
    </w:tbl>
    <w:p>
      <w:pPr>
        <w:bidi/>
        <w:spacing w:before="60" w:after="200" w:line="32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i/>
          <w:iCs/>
          <w:color w:val="555555"/>
          <w:sz w:val="18"/>
          <w:szCs w:val="18"/>
        </w:rPr>
        <w:t xml:space="preserve">المصدر: حساب الباحث بناءً على بيانات الاستهلاك الحقيقية وأسعار السوق المرجعي — مديرية التربية لولاية البيض — 2026</w:t>
      </w:r>
    </w:p>
    <w:p>
      <w:pPr>
        <w:pBdr>
          <w:top w:val="single" w:color="1C3557" w:sz="8"/>
        </w:pBdr>
        <w:bidi/>
        <w:spacing w:before="160" w:after="80"/>
      </w:pPr>
    </w:p>
    <w:p>
      <w:pPr>
        <w:bidi/>
        <w:spacing w:before="0" w:after="0" w:line="32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i/>
          <w:iCs/>
          <w:color w:val="555555"/>
          <w:sz w:val="18"/>
          <w:szCs w:val="18"/>
        </w:rPr>
        <w:t xml:space="preserve">أعدَّها: ماهي كمال عبد الغني — تقني سامٍ في تسيير المخزونات واللوجستيك — دفعة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raditional Arabic" w:cs="Traditional Arabic" w:eastAsia="Traditional Arabic" w:hAnsi="Traditional Arabic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2026-03-28T14:49:36.993Z</dcterms:created>
  <dcterms:modified xsi:type="dcterms:W3CDTF">2026-03-28T14:49:36.993Z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