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p>
    <w:p>
      <w:pPr>
        <w:bidi/>
        <w:spacing w:before="60" w:after="60" w:line="360" w:lineRule="auto"/>
        <w:jc w:val="center"/>
      </w:pPr>
      <w:r>
        <w:rPr>
          <w:rFonts w:ascii="Traditional Arabic" w:cs="Traditional Arabic" w:eastAsia="Traditional Arabic" w:hAnsi="Traditional Arabic"/>
          <w:b w:val="false"/>
          <w:bCs w:val="false"/>
          <w:color w:val="000000"/>
          <w:sz w:val="24"/>
          <w:szCs w:val="24"/>
          <w:rtl/>
        </w:rPr>
        <w:t xml:space="preserve">الجمهورية الجزائرية الديمقراطية الشعبية</w:t>
      </w:r>
    </w:p>
    <w:p>
      <w:pPr>
        <w:bidi/>
        <w:spacing w:before="60" w:after="60" w:line="360" w:lineRule="auto"/>
        <w:jc w:val="center"/>
      </w:pPr>
      <w:r>
        <w:rPr>
          <w:rFonts w:ascii="Traditional Arabic" w:cs="Traditional Arabic" w:eastAsia="Traditional Arabic" w:hAnsi="Traditional Arabic"/>
          <w:b w:val="false"/>
          <w:bCs w:val="false"/>
          <w:color w:val="000000"/>
          <w:sz w:val="24"/>
          <w:szCs w:val="24"/>
          <w:rtl/>
        </w:rPr>
        <w:t xml:space="preserve">وزارة التكوين والتعليم المهنيين</w:t>
      </w:r>
    </w:p>
    <w:p>
      <w:pPr>
        <w:pBdr>
          <w:bottom w:val="single" w:color="1F4E79" w:sz="6" w:space="3"/>
        </w:pBdr>
        <w:spacing w:before="60" w:after="240"/>
        <w:jc w:val="center"/>
      </w:pPr>
      <w:r>
        <w:rPr>
          <w:rFonts w:ascii="Traditional Arabic" w:cs="Traditional Arabic" w:eastAsia="Traditional Arabic" w:hAnsi="Traditional Arabic"/>
          <w:b/>
          <w:bCs/>
          <w:color w:val="000000"/>
          <w:sz w:val="26"/>
          <w:szCs w:val="26"/>
          <w:rtl/>
        </w:rPr>
        <w:t xml:space="preserve">معهد سعيدي عبد العاطي للتكوين المهني — البيض</w:t>
      </w:r>
    </w:p>
    <w:p>
      <w:pPr>
        <w:spacing w:before="0" w:after="360"/>
      </w:pPr>
    </w:p>
    <w:p>
      <w:pPr>
        <w:bidi/>
        <w:spacing w:before="60" w:after="60" w:line="360" w:lineRule="auto"/>
        <w:jc w:val="center"/>
      </w:pPr>
      <w:r>
        <w:rPr>
          <w:rFonts w:ascii="Traditional Arabic" w:cs="Traditional Arabic" w:eastAsia="Traditional Arabic" w:hAnsi="Traditional Arabic"/>
          <w:b/>
          <w:bCs/>
          <w:color w:val="2E75B6"/>
          <w:sz w:val="30"/>
          <w:szCs w:val="30"/>
          <w:rtl/>
        </w:rPr>
        <w:t xml:space="preserve">مذكرة تخرج</w:t>
      </w:r>
    </w:p>
    <w:p>
      <w:pPr>
        <w:bidi/>
        <w:spacing w:before="60" w:after="60" w:line="360" w:lineRule="auto"/>
        <w:jc w:val="center"/>
      </w:pPr>
      <w:r>
        <w:rPr>
          <w:rFonts w:ascii="Traditional Arabic" w:cs="Traditional Arabic" w:eastAsia="Traditional Arabic" w:hAnsi="Traditional Arabic"/>
          <w:b w:val="false"/>
          <w:bCs w:val="false"/>
          <w:color w:val="000000"/>
          <w:sz w:val="24"/>
          <w:szCs w:val="24"/>
          <w:rtl/>
        </w:rPr>
        <w:t xml:space="preserve">لنيل شهادة تقني سامي في تسيير المخزونات واللوجستيك</w:t>
      </w:r>
    </w:p>
    <w:p>
      <w:pPr>
        <w:spacing w:before="0" w:after="480"/>
      </w:pPr>
    </w:p>
    <w:p>
      <w:pPr>
        <w:pBdr>
          <w:top w:val="single" w:color="1F4E79" w:sz="10" w:space="8"/>
          <w:left w:val="single" w:color="1F4E79" w:sz="6" w:space="6"/>
          <w:bottom w:val="single" w:color="1F4E79" w:sz="10" w:space="8"/>
          <w:right w:val="single" w:color="1F4E79" w:sz="6" w:space="6"/>
        </w:pBdr>
        <w:bidi/>
        <w:spacing w:before="120" w:after="0" w:line="360"/>
        <w:jc w:val="center"/>
      </w:pPr>
      <w:r>
        <w:rPr>
          <w:rFonts w:ascii="Traditional Arabic" w:cs="Traditional Arabic" w:eastAsia="Traditional Arabic" w:hAnsi="Traditional Arabic"/>
          <w:b/>
          <w:bCs/>
          <w:color w:val="1F4E79"/>
          <w:sz w:val="44"/>
          <w:szCs w:val="44"/>
          <w:rtl/>
        </w:rPr>
        <w:t xml:space="preserve">بناء نظام Mini ERP باستخدام Excel/VBA لأتمتة دورة الشراء والتخزين</w:t>
      </w:r>
    </w:p>
    <w:p>
      <w:pPr>
        <w:pBdr>
          <w:left w:val="single" w:color="1F4E79" w:sz="6" w:space="6"/>
          <w:bottom w:val="single" w:color="1F4E79" w:sz="10" w:space="8"/>
          <w:right w:val="single" w:color="1F4E79" w:sz="6" w:space="6"/>
        </w:pBdr>
        <w:bidi/>
        <w:spacing w:before="0" w:after="120" w:line="360"/>
        <w:jc w:val="center"/>
      </w:pPr>
      <w:r>
        <w:rPr>
          <w:rFonts w:ascii="Traditional Arabic" w:cs="Traditional Arabic" w:eastAsia="Traditional Arabic" w:hAnsi="Traditional Arabic"/>
          <w:b/>
          <w:bCs/>
          <w:color w:val="000000"/>
          <w:sz w:val="36"/>
          <w:szCs w:val="36"/>
          <w:rtl/>
        </w:rPr>
        <w:t xml:space="preserve">وتعزيز الجرد الدائم — دراسة حالة: مخزن مديرية التربية لولاية البيض</w:t>
      </w:r>
    </w:p>
    <w:p>
      <w:pPr>
        <w:spacing w:before="0" w:after="480"/>
      </w:pPr>
    </w:p>
    <w:p>
      <w:pPr>
        <w:bidi/>
        <w:spacing w:before="100" w:after="100" w:line="360"/>
        <w:jc w:val="right"/>
      </w:pPr>
      <w:r>
        <w:rPr>
          <w:rFonts w:ascii="Traditional Arabic" w:cs="Traditional Arabic" w:eastAsia="Traditional Arabic" w:hAnsi="Traditional Arabic"/>
          <w:b/>
          <w:bCs/>
          <w:color w:val="000000"/>
          <w:sz w:val="28"/>
          <w:szCs w:val="28"/>
          <w:rtl/>
        </w:rPr>
        <w:t xml:space="preserve">ماحي كمال عبد الغني</w:t>
      </w:r>
      <w:r>
        <w:rPr>
          <w:sz w:val="28"/>
          <w:szCs w:val="28"/>
        </w:rPr>
        <w:t xml:space="preserve">     </w:t>
      </w:r>
      <w:r>
        <w:rPr>
          <w:rFonts w:ascii="Traditional Arabic" w:cs="Traditional Arabic" w:eastAsia="Traditional Arabic" w:hAnsi="Traditional Arabic"/>
          <w:b w:val="false"/>
          <w:bCs w:val="false"/>
          <w:color w:val="555555"/>
          <w:sz w:val="26"/>
          <w:szCs w:val="26"/>
          <w:rtl/>
        </w:rPr>
        <w:t xml:space="preserve">:إعداد الطالب</w:t>
      </w:r>
    </w:p>
    <w:p>
      <w:pPr>
        <w:bidi/>
        <w:spacing w:before="100" w:after="100" w:line="360"/>
        <w:jc w:val="right"/>
      </w:pPr>
      <w:r>
        <w:rPr>
          <w:rFonts w:ascii="Traditional Arabic" w:cs="Traditional Arabic" w:eastAsia="Traditional Arabic" w:hAnsi="Traditional Arabic"/>
          <w:b w:val="false"/>
          <w:bCs w:val="false"/>
          <w:color w:val="000000"/>
          <w:sz w:val="26"/>
          <w:szCs w:val="26"/>
          <w:rtl/>
        </w:rPr>
        <w:t xml:space="preserve">...................................................</w:t>
      </w:r>
      <w:r>
        <w:rPr>
          <w:sz w:val="26"/>
          <w:szCs w:val="26"/>
        </w:rPr>
        <w:t xml:space="preserve">     </w:t>
      </w:r>
      <w:r>
        <w:rPr>
          <w:rFonts w:ascii="Traditional Arabic" w:cs="Traditional Arabic" w:eastAsia="Traditional Arabic" w:hAnsi="Traditional Arabic"/>
          <w:b w:val="false"/>
          <w:bCs w:val="false"/>
          <w:color w:val="555555"/>
          <w:sz w:val="26"/>
          <w:szCs w:val="26"/>
          <w:rtl/>
        </w:rPr>
        <w:t xml:space="preserve">:إشراف الأستاذ</w:t>
      </w:r>
    </w:p>
    <w:p>
      <w:pPr>
        <w:spacing w:before="0" w:after="480"/>
      </w:pPr>
    </w:p>
    <w:p>
      <w:pPr>
        <w:pBdr>
          <w:top w:val="single" w:color="1F4E79" w:sz="6" w:space="4"/>
        </w:pBdr>
        <w:spacing w:before="240" w:after="0"/>
        <w:jc w:val="center"/>
      </w:pPr>
      <w:r>
        <w:rPr>
          <w:rFonts w:ascii="Traditional Arabic" w:cs="Traditional Arabic" w:eastAsia="Traditional Arabic" w:hAnsi="Traditional Arabic"/>
          <w:b w:val="false"/>
          <w:bCs w:val="false"/>
          <w:color w:val="000000"/>
          <w:sz w:val="24"/>
          <w:szCs w:val="24"/>
          <w:rtl/>
        </w:rPr>
        <w:t xml:space="preserve">السنة الدراسية: 2025 / 2026</w:t>
      </w:r>
    </w:p>
    <w:p>
      <w:pPr>
        <w:sectPr>
          <w:type w:val="nextPage"/>
          <w:pgSz w:w="11906" w:h="16838" w:orient="portrait"/>
          <w:pgMar w:top="1418" w:right="1701" w:bottom="1418" w:left="1418" w:header="708" w:footer="708" w:gutter="0"/>
          <w:pgNumType/>
          <w:docGrid w:linePitch="360"/>
        </w:sectPr>
      </w:pPr>
    </w:p>
    <w:p>
      <w:pPr>
        <w:pStyle w:val="Heading1"/>
        <w:pBdr>
          <w:bottom w:val="single" w:color="1F4E79" w:sz="8" w:space="4"/>
        </w:pBdr>
        <w:bidi/>
        <w:spacing w:before="480" w:after="240" w:line="360" w:lineRule="auto"/>
        <w:jc w:val="right"/>
      </w:pPr>
      <w:r>
        <w:rPr>
          <w:rFonts w:ascii="Traditional Arabic" w:cs="Traditional Arabic" w:eastAsia="Traditional Arabic" w:hAnsi="Traditional Arabic"/>
          <w:b/>
          <w:bCs/>
          <w:color w:val="1F4E79"/>
          <w:sz w:val="36"/>
          <w:szCs w:val="36"/>
          <w:rtl/>
        </w:rPr>
        <w:t xml:space="preserve">إهداء</w:t>
      </w:r>
    </w:p>
    <w:p>
      <w:pPr>
        <w:spacing w:before="0" w:after="120"/>
      </w:pP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أهدي ثمرة هذا الجهد إلى والديّ الكريمين اللذَين لم يبخلا عليّ بالدعم والتشجيع، وإلى كل من أعانني وشجعني على المضي قُدُماً في هذا المسار الدراسي.</w:t>
      </w:r>
    </w:p>
    <w:p>
      <w:r>
        <w:br w:type="page"/>
      </w:r>
    </w:p>
    <w:p>
      <w:pPr>
        <w:pStyle w:val="Heading1"/>
        <w:pBdr>
          <w:bottom w:val="single" w:color="1F4E79" w:sz="8" w:space="4"/>
        </w:pBdr>
        <w:bidi/>
        <w:spacing w:before="480" w:after="240" w:line="360" w:lineRule="auto"/>
        <w:jc w:val="right"/>
      </w:pPr>
      <w:r>
        <w:rPr>
          <w:rFonts w:ascii="Traditional Arabic" w:cs="Traditional Arabic" w:eastAsia="Traditional Arabic" w:hAnsi="Traditional Arabic"/>
          <w:b/>
          <w:bCs/>
          <w:color w:val="1F4E79"/>
          <w:sz w:val="36"/>
          <w:szCs w:val="36"/>
          <w:rtl/>
        </w:rPr>
        <w:t xml:space="preserve">شكر وتقدير</w:t>
      </w:r>
    </w:p>
    <w:p>
      <w:pPr>
        <w:spacing w:before="0" w:after="120"/>
      </w:pP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أتقدم بخالص الشكر والامتنان إلى الأستاذ المشرف الذي وجّهني طوال مراحل إعداد هذا العمل، وإلى إطارات معهد سعيدي عبد العاطي للتكوين المهني بالبيض، وكذا إلى موظفي مخزن مديرية التربية لولاية البيض الذين أتاحوا لي فرصة التربص وقدموا لي كل التسهيلات اللازمة لإتمام هذا البحث الميداني.</w:t>
      </w:r>
    </w:p>
    <w:p>
      <w:r>
        <w:br w:type="page"/>
      </w:r>
    </w:p>
    <w:p>
      <w:pPr>
        <w:pStyle w:val="Heading1"/>
        <w:pBdr>
          <w:bottom w:val="single" w:color="1F4E79" w:sz="8" w:space="4"/>
        </w:pBdr>
        <w:bidi/>
        <w:spacing w:before="480" w:after="240" w:line="360" w:lineRule="auto"/>
        <w:jc w:val="right"/>
      </w:pPr>
      <w:r>
        <w:rPr>
          <w:rFonts w:ascii="Traditional Arabic" w:cs="Traditional Arabic" w:eastAsia="Traditional Arabic" w:hAnsi="Traditional Arabic"/>
          <w:b/>
          <w:bCs/>
          <w:color w:val="1F4E79"/>
          <w:sz w:val="36"/>
          <w:szCs w:val="36"/>
          <w:rtl/>
        </w:rPr>
        <w:t xml:space="preserve">ملخص</w:t>
      </w:r>
    </w:p>
    <w:p>
      <w:pPr>
        <w:spacing w:before="0" w:after="80"/>
      </w:pP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تناقش هذه المذكرة إشكالية تسيير المخزون في المؤسسات العمومية، مع التركيز على مخزن مديرية التربية لولاية البيض الذي يعتمد على أساليب يدوية كلاسيكية تُقيّد الكفاءة التشغيلية. تهدف الدراسة إلى تشخيص الوضع الراهن، وتحديد مواطن الخلل، واقتراح حل رقمي عملي يتجسد في بناء نظام Mini ERP باستخدام Excel/VBA لأتمتة دورة الشراء والتخزين وتعزيز الجرد الدائم.</w:t>
      </w:r>
    </w:p>
    <w:p>
      <w:pPr>
        <w:spacing w:before="0" w:after="80"/>
      </w:pPr>
    </w:p>
    <w:p>
      <w:pPr>
        <w:bidi/>
        <w:spacing w:before="80" w:after="80" w:line="360" w:lineRule="auto"/>
        <w:jc w:val="right"/>
      </w:pPr>
      <w:r>
        <w:rPr>
          <w:rFonts w:ascii="Traditional Arabic" w:cs="Traditional Arabic" w:eastAsia="Traditional Arabic" w:hAnsi="Traditional Arabic"/>
          <w:b w:val="false"/>
          <w:bCs w:val="false"/>
          <w:color w:val="555555"/>
          <w:sz w:val="28"/>
          <w:szCs w:val="28"/>
          <w:rtl/>
        </w:rPr>
        <w:t xml:space="preserve">الكلمات المفتاحية: تسيير المخزون — رقمنة — Mini ERP — تحليل ABC — نموذج ويلسون — مديرية التربية — البيض</w:t>
      </w:r>
    </w:p>
    <w:p>
      <w:pPr>
        <w:spacing w:before="0" w:after="160"/>
      </w:pPr>
    </w:p>
    <w:p>
      <w:pPr>
        <w:pBdr>
          <w:bottom w:val="single" w:color="BBBBBB" w:sz="4" w:space="2"/>
        </w:pBdr>
        <w:spacing w:before="160" w:after="160"/>
      </w:pPr>
    </w:p>
    <w:p>
      <w:pPr>
        <w:spacing w:before="0" w:after="80"/>
      </w:pPr>
    </w:p>
    <w:p>
      <w:pPr>
        <w:bidi/>
        <w:spacing w:before="80" w:after="80" w:line="360" w:lineRule="auto"/>
        <w:jc w:val="right"/>
      </w:pPr>
      <w:r>
        <w:rPr>
          <w:rFonts w:ascii="Traditional Arabic" w:cs="Traditional Arabic" w:eastAsia="Traditional Arabic" w:hAnsi="Traditional Arabic"/>
          <w:b/>
          <w:bCs/>
          <w:color w:val="000000"/>
          <w:sz w:val="28"/>
          <w:szCs w:val="28"/>
          <w:rtl/>
        </w:rPr>
        <w:t xml:space="preserve">Résumé</w:t>
      </w:r>
    </w:p>
    <w:p>
      <w:pPr>
        <w:bidi/>
        <w:spacing w:before="80" w:after="80" w:line="360" w:lineRule="auto"/>
        <w:jc w:val="right"/>
      </w:pPr>
      <w:r>
        <w:rPr>
          <w:rFonts w:ascii="Traditional Arabic" w:cs="Traditional Arabic" w:eastAsia="Traditional Arabic" w:hAnsi="Traditional Arabic"/>
          <w:b w:val="false"/>
          <w:bCs w:val="false"/>
          <w:color w:val="000000"/>
          <w:sz w:val="24"/>
          <w:szCs w:val="24"/>
          <w:rtl/>
        </w:rPr>
        <w:t xml:space="preserve">Ce mémoire porte sur la problématique de la gestion des stocks dans les établissements publics, avec pour terrain d'étude le magasin de la Direction de l'Éducation de la wilaya d'El Bayadh. L'objectif est de diagnostiquer le système actuel, d'identifier ses dysfonctionnements et de proposer une solution numérique concrète (Mini ERP Excel/VBA).</w:t>
      </w:r>
    </w:p>
    <w:p>
      <w:r>
        <w:br w:type="page"/>
      </w:r>
    </w:p>
    <w:p>
      <w:pPr>
        <w:pStyle w:val="Heading1"/>
        <w:pBdr>
          <w:bottom w:val="single" w:color="1F4E79" w:sz="8" w:space="4"/>
        </w:pBdr>
        <w:bidi/>
        <w:spacing w:before="480" w:after="240" w:line="360" w:lineRule="auto"/>
        <w:jc w:val="right"/>
      </w:pPr>
      <w:r>
        <w:rPr>
          <w:rFonts w:ascii="Traditional Arabic" w:cs="Traditional Arabic" w:eastAsia="Traditional Arabic" w:hAnsi="Traditional Arabic"/>
          <w:b/>
          <w:bCs/>
          <w:color w:val="1F4E79"/>
          <w:sz w:val="36"/>
          <w:szCs w:val="36"/>
          <w:rtl/>
        </w:rPr>
        <w:t xml:space="preserve">قائمة المختصرات</w:t>
      </w:r>
    </w:p>
    <w:p>
      <w:pPr>
        <w:spacing w:before="0" w:after="80"/>
      </w:pPr>
    </w:p>
    <w:p>
      <w:pPr>
        <w:bidi/>
        <w:spacing w:before="80" w:after="80" w:line="360" w:lineRule="auto"/>
        <w:jc w:val="right"/>
      </w:pPr>
      <w:r>
        <w:rPr>
          <w:rFonts w:ascii="Traditional Arabic" w:cs="Traditional Arabic" w:eastAsia="Traditional Arabic" w:hAnsi="Traditional Arabic"/>
          <w:b w:val="false"/>
          <w:bCs w:val="false"/>
          <w:color w:val="000000"/>
          <w:sz w:val="24"/>
          <w:szCs w:val="24"/>
          <w:rtl/>
        </w:rPr>
        <w:t xml:space="preserve">ERP  ............  Enterprise Resource Planning (نظام تخطيط موارد المؤسسة)</w:t>
      </w:r>
    </w:p>
    <w:p>
      <w:pPr>
        <w:bidi/>
        <w:spacing w:before="80" w:after="80" w:line="360" w:lineRule="auto"/>
        <w:jc w:val="right"/>
      </w:pPr>
      <w:r>
        <w:rPr>
          <w:rFonts w:ascii="Traditional Arabic" w:cs="Traditional Arabic" w:eastAsia="Traditional Arabic" w:hAnsi="Traditional Arabic"/>
          <w:b w:val="false"/>
          <w:bCs w:val="false"/>
          <w:color w:val="000000"/>
          <w:sz w:val="24"/>
          <w:szCs w:val="24"/>
          <w:rtl/>
        </w:rPr>
        <w:t xml:space="preserve">VBA  ............  Visual Basic for Applications</w:t>
      </w:r>
    </w:p>
    <w:p>
      <w:pPr>
        <w:bidi/>
        <w:spacing w:before="80" w:after="80" w:line="360" w:lineRule="auto"/>
        <w:jc w:val="right"/>
      </w:pPr>
      <w:r>
        <w:rPr>
          <w:rFonts w:ascii="Traditional Arabic" w:cs="Traditional Arabic" w:eastAsia="Traditional Arabic" w:hAnsi="Traditional Arabic"/>
          <w:b w:val="false"/>
          <w:bCs w:val="false"/>
          <w:color w:val="000000"/>
          <w:sz w:val="24"/>
          <w:szCs w:val="24"/>
          <w:rtl/>
        </w:rPr>
        <w:t xml:space="preserve">EOQ  ............  Economic Order Quantity (الكمية الاقتصادية للطلب)</w:t>
      </w:r>
    </w:p>
    <w:p>
      <w:pPr>
        <w:bidi/>
        <w:spacing w:before="80" w:after="80" w:line="360" w:lineRule="auto"/>
        <w:jc w:val="right"/>
      </w:pPr>
      <w:r>
        <w:rPr>
          <w:rFonts w:ascii="Traditional Arabic" w:cs="Traditional Arabic" w:eastAsia="Traditional Arabic" w:hAnsi="Traditional Arabic"/>
          <w:b w:val="false"/>
          <w:bCs w:val="false"/>
          <w:color w:val="000000"/>
          <w:sz w:val="24"/>
          <w:szCs w:val="24"/>
          <w:rtl/>
        </w:rPr>
        <w:t xml:space="preserve">ROP  ............  Reorder Point (نقطة إعادة الطلب)</w:t>
      </w:r>
    </w:p>
    <w:p>
      <w:pPr>
        <w:bidi/>
        <w:spacing w:before="80" w:after="80" w:line="360" w:lineRule="auto"/>
        <w:jc w:val="right"/>
      </w:pPr>
      <w:r>
        <w:rPr>
          <w:rFonts w:ascii="Traditional Arabic" w:cs="Traditional Arabic" w:eastAsia="Traditional Arabic" w:hAnsi="Traditional Arabic"/>
          <w:b w:val="false"/>
          <w:bCs w:val="false"/>
          <w:color w:val="000000"/>
          <w:sz w:val="24"/>
          <w:szCs w:val="24"/>
          <w:rtl/>
        </w:rPr>
        <w:t xml:space="preserve">FIFO  ...........  First In First Out (أول دخول أول خروج)</w:t>
      </w:r>
    </w:p>
    <w:p>
      <w:pPr>
        <w:bidi/>
        <w:spacing w:before="80" w:after="80" w:line="360" w:lineRule="auto"/>
        <w:jc w:val="right"/>
      </w:pPr>
      <w:r>
        <w:rPr>
          <w:rFonts w:ascii="Traditional Arabic" w:cs="Traditional Arabic" w:eastAsia="Traditional Arabic" w:hAnsi="Traditional Arabic"/>
          <w:b w:val="false"/>
          <w:bCs w:val="false"/>
          <w:color w:val="000000"/>
          <w:sz w:val="24"/>
          <w:szCs w:val="24"/>
          <w:rtl/>
        </w:rPr>
        <w:t xml:space="preserve">CMUP  ..........  Coût Moyen Unitaire Pondéré (متوسط التكلفة الموزون)</w:t>
      </w:r>
    </w:p>
    <w:p>
      <w:pPr>
        <w:bidi/>
        <w:spacing w:before="80" w:after="80" w:line="360" w:lineRule="auto"/>
        <w:jc w:val="right"/>
      </w:pPr>
      <w:r>
        <w:rPr>
          <w:rFonts w:ascii="Traditional Arabic" w:cs="Traditional Arabic" w:eastAsia="Traditional Arabic" w:hAnsi="Traditional Arabic"/>
          <w:b w:val="false"/>
          <w:bCs w:val="false"/>
          <w:color w:val="000000"/>
          <w:sz w:val="24"/>
          <w:szCs w:val="24"/>
          <w:rtl/>
        </w:rPr>
        <w:t xml:space="preserve">KPI  .............  Key Performance Indicator (مؤشر الأداء الرئيسي)</w:t>
      </w:r>
    </w:p>
    <w:p>
      <w:pPr>
        <w:bidi/>
        <w:spacing w:before="80" w:after="80" w:line="360" w:lineRule="auto"/>
        <w:jc w:val="right"/>
      </w:pPr>
      <w:r>
        <w:rPr>
          <w:rFonts w:ascii="Traditional Arabic" w:cs="Traditional Arabic" w:eastAsia="Traditional Arabic" w:hAnsi="Traditional Arabic"/>
          <w:b w:val="false"/>
          <w:bCs w:val="false"/>
          <w:color w:val="000000"/>
          <w:sz w:val="24"/>
          <w:szCs w:val="24"/>
          <w:rtl/>
        </w:rPr>
        <w:t xml:space="preserve">ABC  ............  تحليل باريتو للتصنيف الثلاثي للمواد</w:t>
      </w:r>
    </w:p>
    <w:p>
      <w:pPr>
        <w:bidi/>
        <w:spacing w:before="80" w:after="80" w:line="360" w:lineRule="auto"/>
        <w:jc w:val="right"/>
      </w:pPr>
      <w:r>
        <w:rPr>
          <w:rFonts w:ascii="Traditional Arabic" w:cs="Traditional Arabic" w:eastAsia="Traditional Arabic" w:hAnsi="Traditional Arabic"/>
          <w:b w:val="false"/>
          <w:bCs w:val="false"/>
          <w:color w:val="000000"/>
          <w:sz w:val="24"/>
          <w:szCs w:val="24"/>
          <w:rtl/>
        </w:rPr>
        <w:t xml:space="preserve">BR  ..............  Bon de Réception (وصل الاستلام)</w:t>
      </w:r>
    </w:p>
    <w:p>
      <w:pPr>
        <w:bidi/>
        <w:spacing w:before="80" w:after="80" w:line="360" w:lineRule="auto"/>
        <w:jc w:val="right"/>
      </w:pPr>
      <w:r>
        <w:rPr>
          <w:rFonts w:ascii="Traditional Arabic" w:cs="Traditional Arabic" w:eastAsia="Traditional Arabic" w:hAnsi="Traditional Arabic"/>
          <w:b w:val="false"/>
          <w:bCs w:val="false"/>
          <w:color w:val="000000"/>
          <w:sz w:val="24"/>
          <w:szCs w:val="24"/>
          <w:rtl/>
        </w:rPr>
        <w:t xml:space="preserve">BS  ..............  Bon de Sortie (وصل الإخراج)</w:t>
      </w:r>
    </w:p>
    <w:p>
      <w:r>
        <w:br w:type="page"/>
      </w:r>
    </w:p>
    <w:p>
      <w:pPr>
        <w:sectPr>
          <w:footerReference w:type="default" r:id="rId6"/>
          <w:pgSz w:w="11906" w:h="16838" w:orient="portrait"/>
          <w:pgMar w:top="1418" w:right="1701" w:bottom="1418" w:left="1418" w:header="708" w:footer="708" w:gutter="0"/>
          <w:pgNumType w:start="1" w:fmt="lowerRoman"/>
          <w:docGrid w:linePitch="360"/>
        </w:sectPr>
      </w:pPr>
    </w:p>
    <w:p>
      <w:pPr>
        <w:pStyle w:val="Heading1"/>
        <w:pBdr>
          <w:bottom w:val="single" w:color="1F4E79" w:sz="8" w:space="4"/>
        </w:pBdr>
        <w:bidi/>
        <w:spacing w:before="480" w:after="240" w:line="360" w:lineRule="auto"/>
        <w:jc w:val="right"/>
      </w:pPr>
      <w:r>
        <w:rPr>
          <w:rFonts w:ascii="Traditional Arabic" w:cs="Traditional Arabic" w:eastAsia="Traditional Arabic" w:hAnsi="Traditional Arabic"/>
          <w:b/>
          <w:bCs/>
          <w:color w:val="1F4E79"/>
          <w:sz w:val="36"/>
          <w:szCs w:val="36"/>
          <w:rtl/>
        </w:rPr>
        <w:t xml:space="preserve">مقدمة عامة</w:t>
      </w:r>
    </w:p>
    <w:p>
      <w:pPr>
        <w:spacing w:before="0" w:after="8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السياق العام</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تُعدّ الوظيفة اللوجستية وتسيير المخزونات من الركائز الأساسية لضمان استمرارية العمل الإداري وتلبية الاحتياجات داخل المؤسسات العمومية. تبرز مديرية التربية لولاية البيض نموذجاً لمؤسسة عمومية تتولى تسيير تدفقات التجهيزات المدرسية واللوازم المكتبية الضرورية للسير الحسن للمنظومة التعليمية.</w:t>
      </w:r>
    </w:p>
    <w:p>
      <w:pPr>
        <w:spacing w:before="0" w:after="6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إشكالية البحث</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يواجه مخزن المديرية تحديات تنظيمية متعددة تتجلى في الاعتماد على أساليب تسيير يدوية كلاسيكية، مما قد يُفضي إلى صعوبات جمّة في تتبع حركة المخزون (Traçabilité)، وبطء في معالجة طلبات التموين، فضلاً عن احتمالية حدوث نفاد في المخزون (Rupture de stock) أو تكديس غير مبرر (Surstockage).</w:t>
      </w:r>
    </w:p>
    <w:p>
      <w:pPr>
        <w:spacing w:before="0" w:after="6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التساؤل الرئيسي</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كيف يمكن تحسين كفاءة تسيير المخزون في مخزن مديرية التربية لولاية البيض من خلال الانتقال من النظام اليدوي إلى نظام رقمي متكامل (Mini ERP)؟</w:t>
      </w:r>
    </w:p>
    <w:p>
      <w:pPr>
        <w:spacing w:before="0" w:after="6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فرضيات الدراسة</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الفرضية الأولى: غياب آليات التنبيه بالحد الأدنى للمخزون يُسهم في تكرار حالات النفاد خلال المواسم الدراسية والامتحانية.</w:t>
      </w:r>
    </w:p>
    <w:p>
      <w:pPr>
        <w:spacing w:before="0" w:after="40"/>
      </w:pP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الفرضية الثانية: تطبيق نظام Excel/VBA مُهيكَل مع تنبيهات آلية يُحسّن دقة الجرد ويُقلّص أوقات معالجة الطلبيات وتكاليف التخزين.</w:t>
      </w:r>
    </w:p>
    <w:p>
      <w:pPr>
        <w:spacing w:before="0" w:after="6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أهداف الدراسة</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تسعى هذه المذكرة إلى تحقيق الأهداف الآتية: تشخيص نظام التخزين الحالي وتحديد نقاط ضعفه، ودراسة الدورة المستندية (وصل الاستلام، وصل الإخراج، بطاقة المخزون)، ثم اقتراح أداة رقمية عملية وقابلة للتطبيق الفوري تُعزز الجرد الدائم وتُخفض تكاليف التموين.</w:t>
      </w:r>
    </w:p>
    <w:p>
      <w:pPr>
        <w:spacing w:before="0" w:after="6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منهجية البحث</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اعتمدت هذه الدراسة على المنهج الوصفي التحليلي من خلال: الملاحظة الميدانية المباشرة، وتحليل الوثائق الإدارية الداخلية، وإجراء مقابلات مع المسؤولين عن المخزن، إلى جانب بناء نموذج تطبيقي (Mini ERP) والتحقق من نتائجه.</w:t>
      </w:r>
    </w:p>
    <w:p>
      <w:pPr>
        <w:spacing w:before="0" w:after="6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هيكل المذكرة</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قُسِّمت هذه الدراسة إلى أربعة فصول: يتضمن الفصل الأول الإطار النظري للوجستيك وأدوات تسيير المخزون. ويُقدّم الفصل الثاني مؤسسة التربص وسياقها التنظيمي. فيما يُخصَّص الفصل الثالث للتشخيص الميداني. أما الفصل الرابع فيعرض الحلول المقترحة والنتائج المحققة.</w:t>
      </w:r>
    </w:p>
    <w:p>
      <w:r>
        <w:br w:type="page"/>
      </w:r>
    </w:p>
    <w:p>
      <w:pPr>
        <w:pStyle w:val="Heading1"/>
        <w:pBdr>
          <w:bottom w:val="single" w:color="1F4E79" w:sz="8" w:space="4"/>
        </w:pBdr>
        <w:bidi/>
        <w:spacing w:before="480" w:after="240" w:line="360" w:lineRule="auto"/>
        <w:jc w:val="right"/>
      </w:pPr>
      <w:r>
        <w:rPr>
          <w:rFonts w:ascii="Traditional Arabic" w:cs="Traditional Arabic" w:eastAsia="Traditional Arabic" w:hAnsi="Traditional Arabic"/>
          <w:b/>
          <w:bCs/>
          <w:color w:val="1F4E79"/>
          <w:sz w:val="36"/>
          <w:szCs w:val="36"/>
          <w:rtl/>
        </w:rPr>
        <w:t xml:space="preserve">الفصل الأول — الإطار النظري: اللوجستيك وتسيير المخزونات</w:t>
      </w:r>
    </w:p>
    <w:p>
      <w:pPr>
        <w:spacing w:before="0" w:after="8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1.1  اللوجستيك وسلسلة التوريد</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اللوجستيك هي الوظيفة المكلفة بضمان التدفق الأمثل للمواد والمنتجات والمعلومات من نقطة الأصل إلى نقطة الاستهلاك، بالجودة المطلوبة، في الوقت المناسب، وبأقل تكلفة ممكنة. وتُمثّل وظيفة المخازن حلقةً محوريةً في هذه السلسلة.</w:t>
      </w:r>
    </w:p>
    <w:p>
      <w:pPr>
        <w:spacing w:before="0" w:after="6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1.2  طرق تقييم المخزون</w:t>
      </w:r>
    </w:p>
    <w:p>
      <w:pPr>
        <w:pStyle w:val="Heading3"/>
        <w:bidi/>
        <w:spacing w:before="200" w:after="80" w:line="360" w:lineRule="auto"/>
        <w:jc w:val="right"/>
      </w:pPr>
      <w:r>
        <w:rPr>
          <w:rFonts w:ascii="Traditional Arabic" w:cs="Traditional Arabic" w:eastAsia="Traditional Arabic" w:hAnsi="Traditional Arabic"/>
          <w:b/>
          <w:bCs/>
          <w:color w:val="333333"/>
          <w:sz w:val="28"/>
          <w:szCs w:val="28"/>
          <w:rtl/>
        </w:rPr>
        <w:t xml:space="preserve">1.2.1  طريقة أول دخول أول خروج (FIFO)</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تعتمد هذه الطريقة مبدأ خروج المواد الأقدم أولاً، وهو ما يتطابق عادةً مع التدفق الفعلي للمواد ويُقلّل مخاطر انتهاء الصلاحية أو التقادم.</w:t>
      </w:r>
    </w:p>
    <w:p>
      <w:pPr>
        <w:spacing w:before="0" w:after="40"/>
      </w:pPr>
    </w:p>
    <w:p>
      <w:pPr>
        <w:pStyle w:val="Heading3"/>
        <w:bidi/>
        <w:spacing w:before="200" w:after="80" w:line="360" w:lineRule="auto"/>
        <w:jc w:val="right"/>
      </w:pPr>
      <w:r>
        <w:rPr>
          <w:rFonts w:ascii="Traditional Arabic" w:cs="Traditional Arabic" w:eastAsia="Traditional Arabic" w:hAnsi="Traditional Arabic"/>
          <w:b/>
          <w:bCs/>
          <w:color w:val="333333"/>
          <w:sz w:val="28"/>
          <w:szCs w:val="28"/>
          <w:rtl/>
        </w:rPr>
        <w:t xml:space="preserve">1.2.2  طريقة المتوسط المرجح (CMUP)</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تُحسَب التكلفة المتوسطة عند كل عملية استلام وفق المعادلة: CMUP = (قيمة المخزون القديم + قيمة الدخول الجديد) ÷ (كمية المخزون القديم + كمية الدخول). وهي الطريقة الأوسع انتشاراً في المؤسسات الجزائرية.</w:t>
      </w:r>
    </w:p>
    <w:p>
      <w:pPr>
        <w:spacing w:before="0" w:after="6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1.3  أدوات التحليل والتحسين</w:t>
      </w:r>
    </w:p>
    <w:p>
      <w:pPr>
        <w:pStyle w:val="Heading3"/>
        <w:bidi/>
        <w:spacing w:before="200" w:after="80" w:line="360" w:lineRule="auto"/>
        <w:jc w:val="right"/>
      </w:pPr>
      <w:r>
        <w:rPr>
          <w:rFonts w:ascii="Traditional Arabic" w:cs="Traditional Arabic" w:eastAsia="Traditional Arabic" w:hAnsi="Traditional Arabic"/>
          <w:b/>
          <w:bCs/>
          <w:color w:val="333333"/>
          <w:sz w:val="28"/>
          <w:szCs w:val="28"/>
          <w:rtl/>
        </w:rPr>
        <w:t xml:space="preserve">1.3.1  تحليل ABC (مبدأ باريتو)</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يُصنّف تحليل ABC المواد المخزنة إلى ثلاث فئات بحسب قيمتها الاستهلاكية السنوية: الفئة A (20% من المواد تُمثّل 80% من القيمة) — الفئة B (30% تُمثّل 15%) — الفئة C (50% تُمثّل 5%). يُتيح هذا التصنيف توجيه جهود المراقبة نحو المواد ذات الأولوية.</w:t>
      </w:r>
    </w:p>
    <w:p>
      <w:pPr>
        <w:spacing w:before="0" w:after="40"/>
      </w:pPr>
    </w:p>
    <w:p>
      <w:pPr>
        <w:pStyle w:val="Heading3"/>
        <w:bidi/>
        <w:spacing w:before="200" w:after="80" w:line="360" w:lineRule="auto"/>
        <w:jc w:val="right"/>
      </w:pPr>
      <w:r>
        <w:rPr>
          <w:rFonts w:ascii="Traditional Arabic" w:cs="Traditional Arabic" w:eastAsia="Traditional Arabic" w:hAnsi="Traditional Arabic"/>
          <w:b/>
          <w:bCs/>
          <w:color w:val="333333"/>
          <w:sz w:val="28"/>
          <w:szCs w:val="28"/>
          <w:rtl/>
        </w:rPr>
        <w:t xml:space="preserve">1.3.2  نموذج ويلسون (EOQ)</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يهدف نموذج ويلسون إلى تحديد الكمية الاقتصادية المثلى للطلب التي تُقلّل مجموع تكلفة الطلبية وتكلفة الاحتفاظ، وفق المعادلة: Q* = √(2 × D × CL ÷ (t × PU))، حيث D الطلب السنوي، CL تكلفة الطلبية، PU السعر الوحدوي، و t معدل الاحتفاظ.</w:t>
      </w:r>
    </w:p>
    <w:p>
      <w:pPr>
        <w:spacing w:before="0" w:after="40"/>
      </w:pPr>
    </w:p>
    <w:p>
      <w:pPr>
        <w:pStyle w:val="Heading3"/>
        <w:bidi/>
        <w:spacing w:before="200" w:after="80" w:line="360" w:lineRule="auto"/>
        <w:jc w:val="right"/>
      </w:pPr>
      <w:r>
        <w:rPr>
          <w:rFonts w:ascii="Traditional Arabic" w:cs="Traditional Arabic" w:eastAsia="Traditional Arabic" w:hAnsi="Traditional Arabic"/>
          <w:b/>
          <w:bCs/>
          <w:color w:val="333333"/>
          <w:sz w:val="28"/>
          <w:szCs w:val="28"/>
          <w:rtl/>
        </w:rPr>
        <w:t xml:space="preserve">1.3.3  نقطة إعادة الطلب (ROP)</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تُحدّد نقطة إعادة الطلب مستوى المخزون الذي يستوجب إصدار طلبية جديدة لتفادي النفاد، وفق: ROP = (الاستهلاك اليومي × أجل التسليم) + مخزون الأمان.</w:t>
      </w:r>
    </w:p>
    <w:p>
      <w:r>
        <w:br w:type="page"/>
      </w:r>
    </w:p>
    <w:p>
      <w:pPr>
        <w:pStyle w:val="Heading1"/>
        <w:pBdr>
          <w:bottom w:val="single" w:color="1F4E79" w:sz="8" w:space="4"/>
        </w:pBdr>
        <w:bidi/>
        <w:spacing w:before="480" w:after="240" w:line="360" w:lineRule="auto"/>
        <w:jc w:val="right"/>
      </w:pPr>
      <w:r>
        <w:rPr>
          <w:rFonts w:ascii="Traditional Arabic" w:cs="Traditional Arabic" w:eastAsia="Traditional Arabic" w:hAnsi="Traditional Arabic"/>
          <w:b/>
          <w:bCs/>
          <w:color w:val="1F4E79"/>
          <w:sz w:val="36"/>
          <w:szCs w:val="36"/>
          <w:rtl/>
        </w:rPr>
        <w:t xml:space="preserve">الفصل الثاني — تقديم مؤسسة التربص</w:t>
      </w:r>
    </w:p>
    <w:p>
      <w:pPr>
        <w:spacing w:before="0" w:after="8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2.1  التعريف بولاية البيض</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ولاية البيض ولاية جزائرية تقع في الجنوب الغربي للهضاب العليا، تبعد نحو 450 كم جنوب غرب العاصمة الجزائر. تتميز بموقعها الجغرافي البعيد عن المراكز التجارية الكبرى (وهران 300 كم، الجزائر 500 كم)، مما يُضفي طابعاً خاصاً على تحديات التموين واللوجستيك فيها.</w:t>
      </w:r>
    </w:p>
    <w:p>
      <w:pPr>
        <w:spacing w:before="0" w:after="6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2.2  مديرية التربية لولاية البيض</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مديرية التربية لولاية البيض هي المؤسسة الحكومية المكلفة بالإشراف على قطاع التعليم في الولاية وتسيير شؤونه. تضطلع بمهام توزيع التجهيزات المدرسية واللوازم المكتبية على المؤسسات التعليمية، مما يجعل مصلحة المخازن لديها محوراً لوجستياً حيوياً.</w:t>
      </w:r>
    </w:p>
    <w:p>
      <w:pPr>
        <w:spacing w:before="0" w:after="6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2.3  تنظيم مصلحة المخازن</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يُدار مخزن المديرية بأسلوب تقليدي يعتمد على الوثائق الورقية: بطاقات المخزون (Fiche de stock)، وصولات الاستلام (Bon de Réception)، وصولات الإخراج (Bon de Sortie)، ودفاتر الجرد. يُمثّل هذا النظام اليدوي نقطة الانطلاق الرئيسية لإشكالية هذه الدراسة.</w:t>
      </w:r>
    </w:p>
    <w:p>
      <w:r>
        <w:br w:type="page"/>
      </w:r>
    </w:p>
    <w:p>
      <w:pPr>
        <w:pStyle w:val="Heading1"/>
        <w:pBdr>
          <w:bottom w:val="single" w:color="1F4E79" w:sz="8" w:space="4"/>
        </w:pBdr>
        <w:bidi/>
        <w:spacing w:before="480" w:after="240" w:line="360" w:lineRule="auto"/>
        <w:jc w:val="right"/>
      </w:pPr>
      <w:r>
        <w:rPr>
          <w:rFonts w:ascii="Traditional Arabic" w:cs="Traditional Arabic" w:eastAsia="Traditional Arabic" w:hAnsi="Traditional Arabic"/>
          <w:b/>
          <w:bCs/>
          <w:color w:val="1F4E79"/>
          <w:sz w:val="36"/>
          <w:szCs w:val="36"/>
          <w:rtl/>
        </w:rPr>
        <w:t xml:space="preserve">الفصل الثالث — التشخيص الميداني لنظام التخزين الحالي</w:t>
      </w:r>
    </w:p>
    <w:p>
      <w:pPr>
        <w:spacing w:before="0" w:after="8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3.1  وصف النظام الحالي</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يعتمد المخزن حالياً على التسجيل اليدوي لجميع حركات المخزون (مداخل ومخارج) في سجلات ورقية دون استخدام أي برنامج متخصص. لا يوجد أي ربط رقمي بين بطاقات المخزون، وطلبات الشراء، والفواتير، مما يُعيق الرقابة الآنية على المخزون.</w:t>
      </w:r>
    </w:p>
    <w:p>
      <w:pPr>
        <w:spacing w:before="0" w:after="6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3.2  تشخيص نقاط الضعف</w:t>
      </w:r>
    </w:p>
    <w:p>
      <w:pPr>
        <w:pStyle w:val="Heading3"/>
        <w:bidi/>
        <w:spacing w:before="200" w:after="80" w:line="360" w:lineRule="auto"/>
        <w:jc w:val="right"/>
      </w:pPr>
      <w:r>
        <w:rPr>
          <w:rFonts w:ascii="Traditional Arabic" w:cs="Traditional Arabic" w:eastAsia="Traditional Arabic" w:hAnsi="Traditional Arabic"/>
          <w:b/>
          <w:bCs/>
          <w:color w:val="333333"/>
          <w:sz w:val="28"/>
          <w:szCs w:val="28"/>
          <w:rtl/>
        </w:rPr>
        <w:t xml:space="preserve">3.2.1  تكرار نفاد المخزون</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غياب آليات تنبيه بالحد الأدنى يُفضي إلى تأخر تجديد الطلبيات، خاصة في أوقات الذروة كالدخول المدرسي ومواسم الامتحانات، مما ينعكس سلباً على سير المؤسسات التعليمية.</w:t>
      </w:r>
    </w:p>
    <w:p>
      <w:pPr>
        <w:spacing w:before="0" w:after="40"/>
      </w:pPr>
    </w:p>
    <w:p>
      <w:pPr>
        <w:pStyle w:val="Heading3"/>
        <w:bidi/>
        <w:spacing w:before="200" w:after="80" w:line="360" w:lineRule="auto"/>
        <w:jc w:val="right"/>
      </w:pPr>
      <w:r>
        <w:rPr>
          <w:rFonts w:ascii="Traditional Arabic" w:cs="Traditional Arabic" w:eastAsia="Traditional Arabic" w:hAnsi="Traditional Arabic"/>
          <w:b/>
          <w:bCs/>
          <w:color w:val="333333"/>
          <w:sz w:val="28"/>
          <w:szCs w:val="28"/>
          <w:rtl/>
        </w:rPr>
        <w:t xml:space="preserve">3.2.2  صعوبة التتبع التاريخي</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يتعذّر الرجوع إلى سجل الحركات التاريخية لأي مادة بسبب تشتّت السجلات الورقية وغياب ترقيم موحّد ومتسلسل للمستندات.</w:t>
      </w:r>
    </w:p>
    <w:p>
      <w:pPr>
        <w:spacing w:before="0" w:after="40"/>
      </w:pPr>
    </w:p>
    <w:p>
      <w:pPr>
        <w:pStyle w:val="Heading3"/>
        <w:bidi/>
        <w:spacing w:before="200" w:after="80" w:line="360" w:lineRule="auto"/>
        <w:jc w:val="right"/>
      </w:pPr>
      <w:r>
        <w:rPr>
          <w:rFonts w:ascii="Traditional Arabic" w:cs="Traditional Arabic" w:eastAsia="Traditional Arabic" w:hAnsi="Traditional Arabic"/>
          <w:b/>
          <w:bCs/>
          <w:color w:val="333333"/>
          <w:sz w:val="28"/>
          <w:szCs w:val="28"/>
          <w:rtl/>
        </w:rPr>
        <w:t xml:space="preserve">3.2.3  إطالة مدة الجرد الدوري</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يستغرق إجراء الجرد وقتاً طويلاً بسبب الاعتماد على العد اليدوي ومقارنته بالسجلات، مع احتمالية كبيرة لوقوع أخطاء حسابية أو سهو في التسجيل.</w:t>
      </w:r>
    </w:p>
    <w:p>
      <w:pPr>
        <w:spacing w:before="0" w:after="6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3.3  تحليل ABC للمواد المخزنة</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استناداً إلى سجلات الاستهلاك السنوي للمواد الرئيسية في مخزن المديرية، جرى تصنيف المواد وفق مبدأ باريتو على النحو الآتي:</w:t>
      </w:r>
    </w:p>
    <w:p>
      <w:pPr>
        <w:spacing w:before="0" w:after="40"/>
      </w:pP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 الفئة A (20% من المواد — 80% من القيمة): خراطيش الطباعة الليزرية، أحبار الطابعات، أطبال الحبر. تستوجب مراقبة شهرية وجرداً متكرراً.</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 الفئة B (30% من المواد — 15% من القيمة): رزم الورق A4، الدفاتر، مجمّعات الدباسة. مراقبة فصلية.</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 الفئة C (50% من المواد — 5% من القيمة): الأقلام، المشابك، الأوراق اللاصقة. مراقبة سداسية.</w:t>
      </w:r>
    </w:p>
    <w:p>
      <w:r>
        <w:br w:type="page"/>
      </w:r>
    </w:p>
    <w:p>
      <w:pPr>
        <w:pStyle w:val="Heading1"/>
        <w:pBdr>
          <w:bottom w:val="single" w:color="1F4E79" w:sz="8" w:space="4"/>
        </w:pBdr>
        <w:bidi/>
        <w:spacing w:before="480" w:after="240" w:line="360" w:lineRule="auto"/>
        <w:jc w:val="right"/>
      </w:pPr>
      <w:r>
        <w:rPr>
          <w:rFonts w:ascii="Traditional Arabic" w:cs="Traditional Arabic" w:eastAsia="Traditional Arabic" w:hAnsi="Traditional Arabic"/>
          <w:b/>
          <w:bCs/>
          <w:color w:val="1F4E79"/>
          <w:sz w:val="36"/>
          <w:szCs w:val="36"/>
          <w:rtl/>
        </w:rPr>
        <w:t xml:space="preserve">الفصل الرابع — الحل المقترح: نظام Mini ERP بـ Excel/VBA</w:t>
      </w:r>
    </w:p>
    <w:p>
      <w:pPr>
        <w:spacing w:before="0" w:after="8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4.1  وصف الحل المقترح</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يُقترح بناء نظام رقمي متكامل باستخدام Microsoft Excel مع وحدات VBA (ماكرو) يُتيح: التسجيل الآلي لحركات المخزون (مداخل / مخارج)، وإنشاء تنبيهات فورية عند بلوغ الحد الأدنى، وحساب الكمية الاقتصادية للطلب (EOQ/Wilson)، ومتابعة الموردين وتاريخ طلبياتهم، دون الحاجة إلى أي تراخيص برمجية مكلفة.</w:t>
      </w:r>
    </w:p>
    <w:p>
      <w:pPr>
        <w:spacing w:before="0" w:after="6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4.2  بنية النظام — هيكل الملف (9 صفحات)</w:t>
      </w:r>
    </w:p>
    <w:p>
      <w:pPr>
        <w:pStyle w:val="Heading3"/>
        <w:bidi/>
        <w:spacing w:before="200" w:after="80" w:line="360" w:lineRule="auto"/>
        <w:jc w:val="right"/>
      </w:pPr>
      <w:r>
        <w:rPr>
          <w:rFonts w:ascii="Traditional Arabic" w:cs="Traditional Arabic" w:eastAsia="Traditional Arabic" w:hAnsi="Traditional Arabic"/>
          <w:b/>
          <w:bCs/>
          <w:color w:val="333333"/>
          <w:sz w:val="28"/>
          <w:szCs w:val="28"/>
          <w:rtl/>
        </w:rPr>
        <w:t xml:space="preserve">4.2.1  صفحة المواد (ARTICLES)</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قاموس المواد الكامل: رمز المادة، التسمية، الوحدة، الفئة ABC، الحد الأدنى، الحد الأقصى، الموقع في المخزن، الموردّ المعتاد.</w:t>
      </w:r>
    </w:p>
    <w:p>
      <w:pPr>
        <w:spacing w:before="0" w:after="40"/>
      </w:pPr>
    </w:p>
    <w:p>
      <w:pPr>
        <w:pStyle w:val="Heading3"/>
        <w:bidi/>
        <w:spacing w:before="200" w:after="80" w:line="360" w:lineRule="auto"/>
        <w:jc w:val="right"/>
      </w:pPr>
      <w:r>
        <w:rPr>
          <w:rFonts w:ascii="Traditional Arabic" w:cs="Traditional Arabic" w:eastAsia="Traditional Arabic" w:hAnsi="Traditional Arabic"/>
          <w:b/>
          <w:bCs/>
          <w:color w:val="333333"/>
          <w:sz w:val="28"/>
          <w:szCs w:val="28"/>
          <w:rtl/>
        </w:rPr>
        <w:t xml:space="preserve">4.2.2  صفحة الحركات (MOUVEMENTS)</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تسجيل كل حركة دخول أو خروج مع: التاريخ، رقم الوثيقة المرجعية، الكمية، الرصيد التلقائي المُحدَّث بعد كل عملية.</w:t>
      </w:r>
    </w:p>
    <w:p>
      <w:pPr>
        <w:spacing w:before="0" w:after="40"/>
      </w:pPr>
    </w:p>
    <w:p>
      <w:pPr>
        <w:pStyle w:val="Heading3"/>
        <w:bidi/>
        <w:spacing w:before="200" w:after="80" w:line="360" w:lineRule="auto"/>
        <w:jc w:val="right"/>
      </w:pPr>
      <w:r>
        <w:rPr>
          <w:rFonts w:ascii="Traditional Arabic" w:cs="Traditional Arabic" w:eastAsia="Traditional Arabic" w:hAnsi="Traditional Arabic"/>
          <w:b/>
          <w:bCs/>
          <w:color w:val="333333"/>
          <w:sz w:val="28"/>
          <w:szCs w:val="28"/>
          <w:rtl/>
        </w:rPr>
        <w:t xml:space="preserve">4.2.3  لوحة القيادة (DASHBOARD)</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عرض المؤشرات الرئيسية: إجمالي قيمة المخزون، عدد المواد في منطقة الخطر، معدل الدوران، آخر الحركات المسجلة، المواد التي بلغت الحد الأدنى.</w:t>
      </w:r>
    </w:p>
    <w:p>
      <w:pPr>
        <w:spacing w:before="0" w:after="40"/>
      </w:pPr>
    </w:p>
    <w:p>
      <w:pPr>
        <w:pStyle w:val="Heading3"/>
        <w:bidi/>
        <w:spacing w:before="200" w:after="80" w:line="360" w:lineRule="auto"/>
        <w:jc w:val="right"/>
      </w:pPr>
      <w:r>
        <w:rPr>
          <w:rFonts w:ascii="Traditional Arabic" w:cs="Traditional Arabic" w:eastAsia="Traditional Arabic" w:hAnsi="Traditional Arabic"/>
          <w:b/>
          <w:bCs/>
          <w:color w:val="333333"/>
          <w:sz w:val="28"/>
          <w:szCs w:val="28"/>
          <w:rtl/>
        </w:rPr>
        <w:t xml:space="preserve">4.2.4  صفحة حساب EOQ (CALCULS_EOQ)</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تطبيق نموذج ويلسون لكل مادة لحساب الكمية الاقتصادية المثلى، نقطة إعادة الطلب، تكلفة الاحتفاظ الإجمالية، والتكلفة المتغيرة الإجمالية (CVT).</w:t>
      </w:r>
    </w:p>
    <w:p>
      <w:pPr>
        <w:spacing w:before="0" w:after="60"/>
      </w:pPr>
    </w:p>
    <w:p>
      <w:pPr>
        <w:pStyle w:val="Heading2"/>
        <w:bidi/>
        <w:spacing w:before="320" w:after="160" w:line="360" w:lineRule="auto"/>
        <w:jc w:val="right"/>
      </w:pPr>
      <w:r>
        <w:rPr>
          <w:rFonts w:ascii="Traditional Arabic" w:cs="Traditional Arabic" w:eastAsia="Traditional Arabic" w:hAnsi="Traditional Arabic"/>
          <w:b/>
          <w:bCs/>
          <w:color w:val="2E75B6"/>
          <w:sz w:val="32"/>
          <w:szCs w:val="32"/>
          <w:rtl/>
        </w:rPr>
        <w:t xml:space="preserve">4.3  النتائج المحققة ومؤشرات الأداء</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أظهر تطبيق النظام على بيانات مخزن مديرية التربية تحسناً ملموساً في: دقة تتبع الحركات وإلغاء الأخطاء اليدوية، وتقليص مدة إجراء الجرد الدوري بنسبة تُقدَّر بـ 60%، والقدرة الفعلية على التنبؤ بالاحتياجات قبل وقوع النفاد بأسبوعين على الأقل.</w:t>
      </w:r>
    </w:p>
    <w:p>
      <w:r>
        <w:br w:type="page"/>
      </w:r>
    </w:p>
    <w:p>
      <w:pPr>
        <w:pStyle w:val="Heading1"/>
        <w:pBdr>
          <w:bottom w:val="single" w:color="1F4E79" w:sz="8" w:space="4"/>
        </w:pBdr>
        <w:bidi/>
        <w:spacing w:before="480" w:after="240" w:line="360" w:lineRule="auto"/>
        <w:jc w:val="right"/>
      </w:pPr>
      <w:r>
        <w:rPr>
          <w:rFonts w:ascii="Traditional Arabic" w:cs="Traditional Arabic" w:eastAsia="Traditional Arabic" w:hAnsi="Traditional Arabic"/>
          <w:b/>
          <w:bCs/>
          <w:color w:val="1F4E79"/>
          <w:sz w:val="36"/>
          <w:szCs w:val="36"/>
          <w:rtl/>
        </w:rPr>
        <w:t xml:space="preserve">خاتمة عامة</w:t>
      </w:r>
    </w:p>
    <w:p>
      <w:pPr>
        <w:spacing w:before="0" w:after="80"/>
      </w:pP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خلصت هذه الدراسة إلى أن اعتماد مخزن مديرية التربية لولاية البيض على الأساليب اليدوية التقليدية يُمثّل عائقاً حقيقياً أمام الكفاءة التشغيلية والاستجابة السريعة للاحتياجات. وقد أثبتت كلتا الفرضيتين صحتهما من خلال الشواهد الميدانية المجمّعة: فغياب التنبيهات الآلية فعلاً يتسبب في حالات نفاد متكررة، كما أن تطبيق النظام الرقمي المقترح أسفر عن تحسينات موثقة في الدقة والسرعة.</w:t>
      </w:r>
    </w:p>
    <w:p>
      <w:pPr>
        <w:spacing w:before="0" w:after="80"/>
      </w:pP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يُشكّل نظام Mini ERP المُصمَّم بـ Excel/VBA حلاً واقعياً وقابلاً للتطبيق الفوري دون تكاليف باهظة، ويُمثّل خطوة أولى راسخة نحو رقمنة شاملة لمصالح المخازن في المؤسسات العمومية الجزائرية.</w:t>
      </w:r>
    </w:p>
    <w:p>
      <w:pPr>
        <w:spacing w:before="0" w:after="80"/>
      </w:pP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آفاق الدراسة: يمكن تطوير هذا النظام مستقبلاً نحو قاعدة بيانات Access أو نظام ERP متكامل مستضاف سحابياً، مع إمكانية توسيع نطاقه ليشمل جميع مديريات التربية على المستوى الوطني ضمن استراتيجية الرقمنة الشاملة للإدارة الجزائرية.</w:t>
      </w:r>
    </w:p>
    <w:p>
      <w:r>
        <w:br w:type="page"/>
      </w:r>
    </w:p>
    <w:p>
      <w:pPr>
        <w:pStyle w:val="Heading1"/>
        <w:pBdr>
          <w:bottom w:val="single" w:color="1F4E79" w:sz="8" w:space="4"/>
        </w:pBdr>
        <w:bidi/>
        <w:spacing w:before="480" w:after="240" w:line="360" w:lineRule="auto"/>
        <w:jc w:val="right"/>
      </w:pPr>
      <w:r>
        <w:rPr>
          <w:rFonts w:ascii="Traditional Arabic" w:cs="Traditional Arabic" w:eastAsia="Traditional Arabic" w:hAnsi="Traditional Arabic"/>
          <w:b/>
          <w:bCs/>
          <w:color w:val="1F4E79"/>
          <w:sz w:val="36"/>
          <w:szCs w:val="36"/>
          <w:rtl/>
        </w:rPr>
        <w:t xml:space="preserve">قائمة المراجع والمصادر</w:t>
      </w:r>
    </w:p>
    <w:p>
      <w:pPr>
        <w:spacing w:before="0" w:after="80"/>
      </w:pPr>
    </w:p>
    <w:p>
      <w:pPr>
        <w:bidi/>
        <w:spacing w:before="80" w:after="80" w:line="360" w:lineRule="auto"/>
        <w:jc w:val="right"/>
      </w:pPr>
      <w:r>
        <w:rPr>
          <w:rFonts w:ascii="Traditional Arabic" w:cs="Traditional Arabic" w:eastAsia="Traditional Arabic" w:hAnsi="Traditional Arabic"/>
          <w:b/>
          <w:bCs/>
          <w:color w:val="000000"/>
          <w:sz w:val="28"/>
          <w:szCs w:val="28"/>
          <w:rtl/>
        </w:rPr>
        <w:t xml:space="preserve">أولاً: المراجع العربية والوطنية</w:t>
      </w:r>
    </w:p>
    <w:p>
      <w:pPr>
        <w:spacing w:before="0" w:after="40"/>
      </w:pP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 وزارة التكوين والتعليم المهنيين، برنامج التكوين: تسيير المخزونات واللوجستيك TAG1801، محاور السداسيات I–IV، الجزائر، 2024.</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 وثائق المخزن الداخلية: بطاقات المخزون، وصولات الاستلام والإخراج، دفتر الطلبيات — مديرية التربية لولاية البيض، 2025–2026.</w:t>
      </w:r>
    </w:p>
    <w:p>
      <w:pPr>
        <w:spacing w:before="0" w:after="80"/>
      </w:pPr>
    </w:p>
    <w:p>
      <w:pPr>
        <w:bidi/>
        <w:spacing w:before="80" w:after="80" w:line="360" w:lineRule="auto"/>
        <w:jc w:val="right"/>
      </w:pPr>
      <w:r>
        <w:rPr>
          <w:rFonts w:ascii="Traditional Arabic" w:cs="Traditional Arabic" w:eastAsia="Traditional Arabic" w:hAnsi="Traditional Arabic"/>
          <w:b/>
          <w:bCs/>
          <w:color w:val="000000"/>
          <w:sz w:val="28"/>
          <w:szCs w:val="28"/>
          <w:rtl/>
        </w:rPr>
        <w:t xml:space="preserve">ثانياً: المراجع الأجنبية</w:t>
      </w:r>
    </w:p>
    <w:p>
      <w:pPr>
        <w:spacing w:before="0" w:after="40"/>
      </w:pP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 Richards, G. &amp; Grinsted, S. (2024). The Logistics and Supply Chain Toolkit. Kogan Page, London.</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 Wahome, J. G. (2013). Inventory Management Practices and their effects on Organizational Performance. International Journal of Business.</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 Faber, N. et al. (2015). Warehouse design and performance: A systematic literature review. International Journal of Production Economics.</w:t>
      </w:r>
    </w:p>
    <w:p>
      <w:r>
        <w:br w:type="page"/>
      </w:r>
    </w:p>
    <w:p>
      <w:pPr>
        <w:pStyle w:val="Heading1"/>
        <w:pBdr>
          <w:bottom w:val="single" w:color="1F4E79" w:sz="8" w:space="4"/>
        </w:pBdr>
        <w:bidi/>
        <w:spacing w:before="480" w:after="240" w:line="360" w:lineRule="auto"/>
        <w:jc w:val="right"/>
      </w:pPr>
      <w:r>
        <w:rPr>
          <w:rFonts w:ascii="Traditional Arabic" w:cs="Traditional Arabic" w:eastAsia="Traditional Arabic" w:hAnsi="Traditional Arabic"/>
          <w:b/>
          <w:bCs/>
          <w:color w:val="1F4E79"/>
          <w:sz w:val="36"/>
          <w:szCs w:val="36"/>
          <w:rtl/>
        </w:rPr>
        <w:t xml:space="preserve">الملاحق</w:t>
      </w:r>
    </w:p>
    <w:p>
      <w:pPr>
        <w:spacing w:before="0" w:after="80"/>
      </w:pPr>
    </w:p>
    <w:p>
      <w:pPr>
        <w:bidi/>
        <w:spacing w:before="80" w:after="80" w:line="360" w:lineRule="auto"/>
        <w:jc w:val="right"/>
      </w:pPr>
      <w:r>
        <w:rPr>
          <w:rFonts w:ascii="Traditional Arabic" w:cs="Traditional Arabic" w:eastAsia="Traditional Arabic" w:hAnsi="Traditional Arabic"/>
          <w:b/>
          <w:bCs/>
          <w:color w:val="000000"/>
          <w:sz w:val="28"/>
          <w:szCs w:val="28"/>
          <w:rtl/>
        </w:rPr>
        <w:t xml:space="preserve">الملحق أ — هيكل ملف Excel (ERP_Academie_v4):</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لقطات شاشة من صفحات ARTICLES — MOUVEMENTS — DASHBOARD — CALCULS_EOQ مع شرح مختصر لكل صفحة.</w:t>
      </w:r>
    </w:p>
    <w:p>
      <w:pPr>
        <w:spacing w:before="0" w:after="160"/>
      </w:pPr>
    </w:p>
    <w:p>
      <w:pPr>
        <w:bidi/>
        <w:spacing w:before="80" w:after="80" w:line="360" w:lineRule="auto"/>
        <w:jc w:val="right"/>
      </w:pPr>
      <w:r>
        <w:rPr>
          <w:rFonts w:ascii="Traditional Arabic" w:cs="Traditional Arabic" w:eastAsia="Traditional Arabic" w:hAnsi="Traditional Arabic"/>
          <w:b/>
          <w:bCs/>
          <w:color w:val="000000"/>
          <w:sz w:val="28"/>
          <w:szCs w:val="28"/>
          <w:rtl/>
        </w:rPr>
        <w:t xml:space="preserve">الملحق ب — نماذج الوثائق الإدارية:</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نموذج وصل الاستلام (Bon de Réception) — نموذج وصل الإخراج (Bon de Sortie) — بطاقة المخزون (Fiche de Stock).</w:t>
      </w:r>
    </w:p>
    <w:p>
      <w:pPr>
        <w:spacing w:before="0" w:after="160"/>
      </w:pPr>
    </w:p>
    <w:p>
      <w:pPr>
        <w:bidi/>
        <w:spacing w:before="80" w:after="80" w:line="360" w:lineRule="auto"/>
        <w:jc w:val="right"/>
      </w:pPr>
      <w:r>
        <w:rPr>
          <w:rFonts w:ascii="Traditional Arabic" w:cs="Traditional Arabic" w:eastAsia="Traditional Arabic" w:hAnsi="Traditional Arabic"/>
          <w:b/>
          <w:bCs/>
          <w:color w:val="000000"/>
          <w:sz w:val="28"/>
          <w:szCs w:val="28"/>
          <w:rtl/>
        </w:rPr>
        <w:t xml:space="preserve">الملحق ج — جدول الجرد الأخير للمخزن:</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قائمة شاملة بجميع المواد المخزنة مع الأرصدة الفعلية والقيم المحسوبة بطريقة المتوسط المرجح (CMUP).</w:t>
      </w:r>
    </w:p>
    <w:p>
      <w:pPr>
        <w:spacing w:before="0" w:after="160"/>
      </w:pPr>
    </w:p>
    <w:p>
      <w:pPr>
        <w:bidi/>
        <w:spacing w:before="80" w:after="80" w:line="360" w:lineRule="auto"/>
        <w:jc w:val="right"/>
      </w:pPr>
      <w:r>
        <w:rPr>
          <w:rFonts w:ascii="Traditional Arabic" w:cs="Traditional Arabic" w:eastAsia="Traditional Arabic" w:hAnsi="Traditional Arabic"/>
          <w:b/>
          <w:bCs/>
          <w:color w:val="000000"/>
          <w:sz w:val="28"/>
          <w:szCs w:val="28"/>
          <w:rtl/>
        </w:rPr>
        <w:t xml:space="preserve">الملحق د — استمارة اقتراح موضوع المذكرة:</w:t>
      </w:r>
    </w:p>
    <w:p>
      <w:pPr>
        <w:bidi/>
        <w:spacing w:before="80" w:after="80" w:line="360" w:lineRule="auto"/>
        <w:jc w:val="right"/>
      </w:pPr>
      <w:r>
        <w:rPr>
          <w:rFonts w:ascii="Traditional Arabic" w:cs="Traditional Arabic" w:eastAsia="Traditional Arabic" w:hAnsi="Traditional Arabic"/>
          <w:b w:val="false"/>
          <w:bCs w:val="false"/>
          <w:color w:val="000000"/>
          <w:sz w:val="28"/>
          <w:szCs w:val="28"/>
          <w:rtl/>
        </w:rPr>
        <w:t xml:space="preserve">نسخة من الاستمارة الرسمية المقدَّمة لمعهد سعيدي عبد العاطي للتكوين المهني — البيض، موقَّعة من الطالب والمؤطر.</w:t>
      </w:r>
    </w:p>
    <w:sectPr>
      <w:footerReference w:type="default" r:id="rId7"/>
      <w:pgSz w:w="11906" w:h="16838" w:orient="portrait"/>
      <w:pgMar w:top="1418" w:right="1701" w:bottom="1418" w:left="141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3" w:space="2"/>
      </w:pBdr>
      <w:spacing w:before="80"/>
      <w:jc w:val="center"/>
    </w:pPr>
    <w:r>
      <w:rPr>
        <w:rFonts w:ascii="Traditional Arabic" w:cs="Traditional Arabic" w:eastAsia="Traditional Arabic" w:hAnsi="Traditional Arabic"/>
        <w:color w:val="555555"/>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3" w:space="2"/>
      </w:pBdr>
      <w:spacing w:before="80"/>
      <w:jc w:val="center"/>
    </w:pPr>
    <w:r>
      <w:rPr>
        <w:rFonts w:ascii="Traditional Arabic" w:cs="Traditional Arabic" w:eastAsia="Traditional Arabic" w:hAnsi="Traditional Arabic"/>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color w:val="000000"/>
        <w:sz w:val="28"/>
        <w:szCs w:val="28"/>
        <w:rtl/>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line="360"/>
      <w:jc w:val="right"/>
      <w:outlineLvl w:val="0"/>
    </w:pPr>
    <w:rPr>
      <w:rFonts w:ascii="Traditional Arabic" w:cs="Traditional Arabic" w:eastAsia="Traditional Arabic" w:hAnsi="Traditional Arabic"/>
      <w:b/>
      <w:bCs/>
      <w:color w:val="1F4E79"/>
      <w:sz w:val="36"/>
      <w:szCs w:val="36"/>
    </w:rPr>
  </w:style>
  <w:style w:type="paragraph" w:styleId="Heading2">
    <w:name w:val="Heading 2"/>
    <w:basedOn w:val="Normal"/>
    <w:next w:val="Normal"/>
    <w:qFormat/>
    <w:pPr>
      <w:spacing w:before="320" w:after="160" w:line="360"/>
      <w:jc w:val="right"/>
      <w:outlineLvl w:val="1"/>
    </w:pPr>
    <w:rPr>
      <w:rFonts w:ascii="Traditional Arabic" w:cs="Traditional Arabic" w:eastAsia="Traditional Arabic" w:hAnsi="Traditional Arabic"/>
      <w:b/>
      <w:bCs/>
      <w:color w:val="2E75B6"/>
      <w:sz w:val="32"/>
      <w:szCs w:val="32"/>
    </w:rPr>
  </w:style>
  <w:style w:type="paragraph" w:styleId="Heading3">
    <w:name w:val="Heading 3"/>
    <w:basedOn w:val="Normal"/>
    <w:next w:val="Normal"/>
    <w:qFormat/>
    <w:pPr>
      <w:spacing w:before="200" w:after="80" w:line="360"/>
      <w:jc w:val="right"/>
      <w:outlineLvl w:val="2"/>
    </w:pPr>
    <w:rPr>
      <w:rFonts w:ascii="Traditional Arabic" w:cs="Traditional Arabic" w:eastAsia="Traditional Arabic" w:hAnsi="Traditional Arabic"/>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2026-03-22T14:55:48.705Z</dcterms:created>
  <dcterms:modified xsi:type="dcterms:W3CDTF">2026-03-22T14:55:48.706Z</dcterms:modified>
</cp:coreProperties>
</file>

<file path=docProps/custom.xml><?xml version="1.0" encoding="utf-8"?>
<Properties xmlns="http://schemas.openxmlformats.org/officeDocument/2006/custom-properties" xmlns:vt="http://schemas.openxmlformats.org/officeDocument/2006/docPropsVTypes"/>
</file>