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bidi/>
        <w:spacing w:before="80" w:after="80" w:line="360" w:lineRule="auto"/>
        <w:jc w:val="center"/>
      </w:pPr>
      <w:r>
        <w:rPr>
          <w:rFonts w:ascii="Traditional Arabic" w:cs="Traditional Arabic" w:eastAsia="Traditional Arabic" w:hAnsi="Traditional Arabic"/>
          <w:b w:val="false"/>
          <w:bCs w:val="false"/>
          <w:color w:val="1A1A1A"/>
          <w:sz w:val="24"/>
          <w:szCs w:val="24"/>
          <w:rtl/>
        </w:rPr>
        <w:t xml:space="preserve">الجمهورية الجزائرية الديمقراطية الشعبية</w:t>
      </w:r>
    </w:p>
    <w:p>
      <w:pPr>
        <w:bidi/>
        <w:spacing w:before="80" w:after="80" w:line="360" w:lineRule="auto"/>
        <w:jc w:val="center"/>
      </w:pPr>
      <w:r>
        <w:rPr>
          <w:rFonts w:ascii="Traditional Arabic" w:cs="Traditional Arabic" w:eastAsia="Traditional Arabic" w:hAnsi="Traditional Arabic"/>
          <w:b w:val="false"/>
          <w:bCs w:val="false"/>
          <w:color w:val="1A1A1A"/>
          <w:sz w:val="24"/>
          <w:szCs w:val="24"/>
          <w:rtl/>
        </w:rPr>
        <w:t xml:space="preserve">وزارة التكوين والتعليم المهنيين</w:t>
      </w:r>
    </w:p>
    <w:p>
      <w:pPr>
        <w:pBdr>
          <w:bottom w:val="single" w:color="1F4E79" w:sz="6" w:space="3"/>
        </w:pBdr>
        <w:spacing w:before="60" w:after="200"/>
        <w:jc w:val="center"/>
      </w:pPr>
      <w:r>
        <w:rPr>
          <w:rFonts w:ascii="Traditional Arabic" w:cs="Traditional Arabic" w:eastAsia="Traditional Arabic" w:hAnsi="Traditional Arabic"/>
          <w:b/>
          <w:bCs/>
          <w:color w:val="1A1A1A"/>
          <w:sz w:val="26"/>
          <w:szCs w:val="26"/>
          <w:rtl/>
        </w:rPr>
        <w:t xml:space="preserve">معهد سعيدي عبد العاطي للتكوين المهني — البيض</w:t>
      </w:r>
    </w:p>
    <w:p>
      <w:pPr>
        <w:spacing w:before="0" w:after="320"/>
      </w:pPr>
    </w:p>
    <w:p>
      <w:pPr>
        <w:bidi/>
        <w:spacing w:before="80" w:after="80" w:line="360" w:lineRule="auto"/>
        <w:jc w:val="center"/>
      </w:pPr>
      <w:r>
        <w:rPr>
          <w:rFonts w:ascii="Traditional Arabic" w:cs="Traditional Arabic" w:eastAsia="Traditional Arabic" w:hAnsi="Traditional Arabic"/>
          <w:b/>
          <w:bCs/>
          <w:color w:val="2E75B6"/>
          <w:sz w:val="30"/>
          <w:szCs w:val="30"/>
          <w:rtl/>
        </w:rPr>
        <w:t xml:space="preserve">مذكرة تخرج</w:t>
      </w:r>
    </w:p>
    <w:p>
      <w:pPr>
        <w:bidi/>
        <w:spacing w:before="80" w:after="80" w:line="360" w:lineRule="auto"/>
        <w:jc w:val="center"/>
      </w:pPr>
      <w:r>
        <w:rPr>
          <w:rFonts w:ascii="Traditional Arabic" w:cs="Traditional Arabic" w:eastAsia="Traditional Arabic" w:hAnsi="Traditional Arabic"/>
          <w:b w:val="false"/>
          <w:bCs w:val="false"/>
          <w:color w:val="1A1A1A"/>
          <w:sz w:val="24"/>
          <w:szCs w:val="24"/>
          <w:rtl/>
        </w:rPr>
        <w:t xml:space="preserve">لنيل شهادة تقني سامي في تسيير المخزونات واللوجستيك</w:t>
      </w:r>
    </w:p>
    <w:p>
      <w:pPr>
        <w:spacing w:before="0" w:after="400"/>
      </w:pPr>
    </w:p>
    <w:p>
      <w:pPr>
        <w:pBdr>
          <w:top w:val="single" w:color="1F4E79" w:sz="10" w:space="8"/>
          <w:left w:val="single" w:color="1F4E79" w:sz="6" w:space="6"/>
          <w:right w:val="single" w:color="1F4E79" w:sz="6" w:space="6"/>
        </w:pBdr>
        <w:bidi/>
        <w:spacing w:before="120" w:after="0" w:line="360"/>
        <w:jc w:val="center"/>
      </w:pPr>
      <w:r>
        <w:rPr>
          <w:rFonts w:ascii="Traditional Arabic" w:cs="Traditional Arabic" w:eastAsia="Traditional Arabic" w:hAnsi="Traditional Arabic"/>
          <w:b/>
          <w:bCs/>
          <w:color w:val="1F4E79"/>
          <w:sz w:val="44"/>
          <w:szCs w:val="44"/>
          <w:rtl/>
        </w:rPr>
        <w:t xml:space="preserve">بناء نظام Mini ERP باستخدام Excel/VBA</w:t>
      </w:r>
    </w:p>
    <w:p>
      <w:pPr>
        <w:pBdr>
          <w:left w:val="single" w:color="1F4E79" w:sz="6" w:space="6"/>
          <w:right w:val="single" w:color="1F4E79" w:sz="6" w:space="6"/>
        </w:pBdr>
        <w:bidi/>
        <w:spacing w:before="0" w:after="0" w:line="360"/>
        <w:jc w:val="center"/>
      </w:pPr>
      <w:r>
        <w:rPr>
          <w:rFonts w:ascii="Traditional Arabic" w:cs="Traditional Arabic" w:eastAsia="Traditional Arabic" w:hAnsi="Traditional Arabic"/>
          <w:b/>
          <w:bCs/>
          <w:color w:val="1F4E79"/>
          <w:sz w:val="44"/>
          <w:szCs w:val="44"/>
          <w:rtl/>
        </w:rPr>
        <w:t xml:space="preserve">لأتمتة دورة الشراء والتخزين وتعزيز الجرد الدائم</w:t>
      </w:r>
    </w:p>
    <w:p>
      <w:pPr>
        <w:pBdr>
          <w:left w:val="single" w:color="1F4E79" w:sz="6" w:space="6"/>
          <w:bottom w:val="single" w:color="1F4E79" w:sz="10" w:space="8"/>
          <w:right w:val="single" w:color="1F4E79" w:sz="6" w:space="6"/>
        </w:pBdr>
        <w:bidi/>
        <w:spacing w:before="0" w:after="120" w:line="360"/>
        <w:jc w:val="center"/>
      </w:pPr>
      <w:r>
        <w:rPr>
          <w:rFonts w:ascii="Traditional Arabic" w:cs="Traditional Arabic" w:eastAsia="Traditional Arabic" w:hAnsi="Traditional Arabic"/>
          <w:b/>
          <w:bCs/>
          <w:color w:val="1A1A1A"/>
          <w:sz w:val="32"/>
          <w:szCs w:val="32"/>
          <w:rtl/>
        </w:rPr>
        <w:t xml:space="preserve">دراسة حالة: مخزن مديرية التربية لولاية البيض</w:t>
      </w:r>
    </w:p>
    <w:p>
      <w:pPr>
        <w:spacing w:before="0" w:after="400"/>
      </w:pPr>
    </w:p>
    <w:p>
      <w:pPr>
        <w:bidi/>
        <w:spacing w:before="100" w:after="100" w:line="360"/>
        <w:jc w:val="right"/>
      </w:pPr>
      <w:r>
        <w:rPr>
          <w:rFonts w:ascii="Traditional Arabic" w:cs="Traditional Arabic" w:eastAsia="Traditional Arabic" w:hAnsi="Traditional Arabic"/>
          <w:b/>
          <w:bCs/>
          <w:color w:val="1A1A1A"/>
          <w:sz w:val="28"/>
          <w:szCs w:val="28"/>
          <w:rtl/>
        </w:rPr>
        <w:t xml:space="preserve">ماحي كمال عبد الغني</w:t>
      </w:r>
      <w:r>
        <w:rPr>
          <w:sz w:val="28"/>
          <w:szCs w:val="28"/>
        </w:rPr>
        <w:t xml:space="preserve">     </w:t>
      </w:r>
      <w:r>
        <w:rPr>
          <w:rFonts w:ascii="Traditional Arabic" w:cs="Traditional Arabic" w:eastAsia="Traditional Arabic" w:hAnsi="Traditional Arabic"/>
          <w:b w:val="false"/>
          <w:bCs w:val="false"/>
          <w:color w:val="555555"/>
          <w:sz w:val="26"/>
          <w:szCs w:val="26"/>
          <w:rtl/>
        </w:rPr>
        <w:t xml:space="preserve">:إعداد الطالب</w:t>
      </w:r>
    </w:p>
    <w:p>
      <w:pPr>
        <w:bidi/>
        <w:spacing w:before="100" w:after="100" w:line="360"/>
        <w:jc w:val="right"/>
      </w:pPr>
      <w:r>
        <w:rPr>
          <w:rFonts w:ascii="Traditional Arabic" w:cs="Traditional Arabic" w:eastAsia="Traditional Arabic" w:hAnsi="Traditional Arabic"/>
          <w:b w:val="false"/>
          <w:bCs w:val="false"/>
          <w:color w:val="1A1A1A"/>
          <w:sz w:val="26"/>
          <w:szCs w:val="26"/>
          <w:rtl/>
        </w:rPr>
        <w:t xml:space="preserve">................................................................</w:t>
      </w:r>
      <w:r>
        <w:rPr>
          <w:sz w:val="26"/>
          <w:szCs w:val="26"/>
        </w:rPr>
        <w:t xml:space="preserve">     </w:t>
      </w:r>
      <w:r>
        <w:rPr>
          <w:rFonts w:ascii="Traditional Arabic" w:cs="Traditional Arabic" w:eastAsia="Traditional Arabic" w:hAnsi="Traditional Arabic"/>
          <w:b w:val="false"/>
          <w:bCs w:val="false"/>
          <w:color w:val="555555"/>
          <w:sz w:val="26"/>
          <w:szCs w:val="26"/>
          <w:rtl/>
        </w:rPr>
        <w:t xml:space="preserve">:إشراف الأستاذ</w:t>
      </w:r>
    </w:p>
    <w:p>
      <w:pPr>
        <w:spacing w:before="0" w:after="400"/>
      </w:pPr>
    </w:p>
    <w:p>
      <w:pPr>
        <w:pBdr>
          <w:top w:val="single" w:color="1F4E79" w:sz="6" w:space="4"/>
        </w:pBdr>
        <w:spacing w:before="200" w:after="0"/>
        <w:jc w:val="center"/>
      </w:pPr>
      <w:r>
        <w:rPr>
          <w:rFonts w:ascii="Traditional Arabic" w:cs="Traditional Arabic" w:eastAsia="Traditional Arabic" w:hAnsi="Traditional Arabic"/>
          <w:b w:val="false"/>
          <w:bCs w:val="false"/>
          <w:color w:val="1A1A1A"/>
          <w:sz w:val="24"/>
          <w:szCs w:val="24"/>
          <w:rtl/>
        </w:rPr>
        <w:t xml:space="preserve">السنة الدراسية: 2025 / 2026</w:t>
      </w:r>
    </w:p>
    <w:p>
      <w:pPr>
        <w:sectPr>
          <w:type w:val="nextPage"/>
          <w:pgSz w:w="11906" w:h="16838" w:orient="portrait"/>
          <w:pgMar w:top="1418" w:right="1701" w:bottom="1418" w:left="1418" w:header="708" w:footer="708" w:gutter="0"/>
          <w:pgNumType/>
          <w:docGrid w:linePitch="360"/>
        </w:sectPr>
      </w:pP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إهداء</w:t>
      </w:r>
    </w:p>
    <w:p>
      <w:pPr>
        <w:spacing w:before="0" w:after="12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 وإلى كل مَن آمن بأن التكنولوجيا أداةٌ لخدمة الإدارة الجزائرية وتطويرها.</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شكر وتقدير</w:t>
      </w:r>
    </w:p>
    <w:p>
      <w:pPr>
        <w:spacing w:before="0" w:after="12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أتقدم بجزيل الشكر والعرفان إلى الأستاذ المشرف الذي لم يبخل بتوجيهاته ونصائحه القيّمة في جميع مراحل إعداد هذا العمل. كما أتوجه بالشكر الجزيل إلى إطارات معهد سعيدي عبد العاطي للتكوين المهني بالبيض على ما أبدوه من دعم لوجستي ومنهجي. 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ملخص</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تُعالج هذه المذكرة إشكاليةَ تسيير المخزون في المؤسسات العمومية، وتتخذ من مخزن مديرية التربية لولاية البيض ميداناً للدراسة التطبيقية. ينطلق البحث من تشخيص النظام اليدوي القائم، ويرصد أوجه القصور فيه: تكرار نفاد المخزون، وغياب التتبع الآني، وطول مدة الجرد الدوري. يُقترح كحل نظام Mini ERP مبني بـ Microsoft Excel و Visual Basic for Applications (VBA)، يُوحّد دورة الشراء والتخزين ضمن بيئة رقمية متكاملة، مع تفعيل الجرد الدائم وآليات التنبيه الآلي عند بلوغ الحد الأدنى للمخزون.</w:t>
      </w:r>
    </w:p>
    <w:p>
      <w:pPr>
        <w:spacing w:before="0" w:after="6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خلصت الدراسة إلى أن النظام المقترح حقّق تحسينات ملموسة في دقة الجرد وسرعة معالجة الطلبيات، وأثبت فرضيتَي البحث. كما أن تكلفة تطبيقه منعدمة نظراً لاستخدام أدوات Office المتاحة بالفعل في الإدارة الجزائرية.</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الكلمات المفتاحية: تسيير المخزون — Mini ERP — Excel/VBA — جرد دائم — تحليل ABC — نموذج ويلسون — مديرية التربية — ولاية البيض</w:t>
      </w:r>
    </w:p>
    <w:p>
      <w:pPr>
        <w:spacing w:before="0" w:after="160"/>
      </w:pPr>
    </w:p>
    <w:p>
      <w:pPr>
        <w:pBdr>
          <w:bottom w:val="single" w:color="BBBBBB" w:sz="4" w:space="2"/>
        </w:pBdr>
        <w:spacing w:before="160" w:after="160"/>
      </w:pPr>
    </w:p>
    <w:p>
      <w:pPr>
        <w:spacing w:before="0" w:after="80"/>
      </w:pPr>
    </w:p>
    <w:p>
      <w:pPr>
        <w:bidi/>
        <w:spacing w:before="80" w:after="80" w:line="360" w:lineRule="auto"/>
        <w:jc w:val="right"/>
      </w:pPr>
      <w:r>
        <w:rPr>
          <w:rFonts w:ascii="Traditional Arabic" w:cs="Traditional Arabic" w:eastAsia="Traditional Arabic" w:hAnsi="Traditional Arabic"/>
          <w:b/>
          <w:bCs/>
          <w:color w:val="1A1A1A"/>
          <w:sz w:val="28"/>
          <w:szCs w:val="28"/>
          <w:rtl/>
        </w:rPr>
        <w:t xml:space="preserve">Résumé</w:t>
      </w:r>
    </w:p>
    <w:p>
      <w:pPr>
        <w:spacing w:before="0" w:after="40"/>
      </w:pPr>
    </w:p>
    <w:p>
      <w:pPr>
        <w:spacing w:before="60" w:after="60" w:line="360"/>
        <w:jc w:val="left"/>
      </w:pPr>
      <w:r>
        <w:rPr>
          <w:rFonts w:ascii="Times New Roman" w:cs="Times New Roman" w:eastAsia="Times New Roman" w:hAnsi="Times New Roman"/>
          <w:color w:val="1A1A1A"/>
          <w:sz w:val="24"/>
          <w:szCs w:val="24"/>
        </w:rPr>
        <w:t xml:space="preserve">Ce mémoire traite de la problématique de gestion des stocks dans les établissements publics, en prenant pour terrain d'étude le magasin de la Direction de l'Éducation de la wilaya d'El Bayadh. À partir d'un diagnostic du système manuel existant — ruptures récurrentes, absence de traçabilité, inventaires chronophages — il propose la construction d'un système Mini ERP sous Excel/VBA automatisant le cycle achat-stockage et renforçant l'inventaire permanent par des alertes intelligentes.</w:t>
      </w:r>
    </w:p>
    <w:p>
      <w:pPr>
        <w:spacing w:before="0" w:after="60"/>
      </w:pPr>
    </w:p>
    <w:p>
      <w:pPr>
        <w:spacing w:before="40" w:after="40" w:line="360"/>
        <w:jc w:val="left"/>
      </w:pPr>
      <w:r>
        <w:rPr>
          <w:rFonts w:ascii="Times New Roman" w:cs="Times New Roman" w:eastAsia="Times New Roman" w:hAnsi="Times New Roman"/>
          <w:color w:val="555555"/>
          <w:sz w:val="22"/>
          <w:szCs w:val="22"/>
        </w:rPr>
        <w:t xml:space="preserve">Mots-clés : Gestion des stocks — Mini ERP — Excel/VBA — Inventaire permanent — Analyse ABC — Modèle de Wilson — Direction de l'Éducation — El Bayadh</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قائمة المختصرات والرموز</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ERP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Enterprise Resource Planning — نظام تخطيط موارد المؤسسة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VBA</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Visual Basic for Applications — لغة الأتمتة في Microsoft Office</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EOQ / Qe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Economic Order Quantity — الكمية الاقتصادية المثلى للطلب (نموذج ويلسون)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ROP</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Reorder Point — نقطة إعادة الطلب</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Safety Stock — مخزون الأمان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FIFO</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First In, First Out — أول دخول أول خروج</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CMUP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Coût Moyen Unitaire Pondéré — المتوسط المرجح للتكلفة الوحدوية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CVT</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Coût Variable Total — إجمالي التكاليف المتغيرة</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KPI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Key Performance Indicator — مؤشر الأداء الرئيسي</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ABC</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تصنيف باريتو الثلاثي للمواد المخزنة</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Demande d'Achat — طلب الشراء الداخلي</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BC</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Bon de Commande — أمر الشراء</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BR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Bon de Réception — وصل الاستلام</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BS</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Bon de Sortie — وصل الإخراج</w:t>
            </w:r>
          </w:p>
        </w:tc>
      </w:tr>
      <w:tr>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BL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Bon de Livraison — وصل التسليم (من المورد)</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CMJ</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Consommation Moyenne Journalière — الاستهلاك اليومي المتوسط</w:t>
            </w:r>
          </w:p>
        </w:tc>
      </w:tr>
    </w:tbl>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قائمة الجداول</w:t>
      </w:r>
    </w:p>
    <w:p>
      <w:pPr>
        <w:spacing w:before="0" w:after="80"/>
      </w:pPr>
    </w:p>
    <w:p>
      <w:pPr>
        <w:bidi/>
        <w:spacing w:before="80" w:after="80" w:line="360" w:lineRule="auto"/>
        <w:jc w:val="right"/>
      </w:pPr>
      <w:r>
        <w:rPr>
          <w:rFonts w:ascii="Traditional Arabic" w:cs="Traditional Arabic" w:eastAsia="Traditional Arabic" w:hAnsi="Traditional Arabic"/>
          <w:b w:val="false"/>
          <w:bCs w:val="false"/>
          <w:color w:val="1A1A1A"/>
          <w:sz w:val="24"/>
          <w:szCs w:val="24"/>
          <w:rtl/>
        </w:rPr>
        <w:t xml:space="preserve">الجدول رقم 01 — جدول مقارنة طرق التقييم (FIFO / LIFO / CMUP) ......... الفصل الأول</w:t>
      </w:r>
    </w:p>
    <w:p>
      <w:pPr>
        <w:bidi/>
        <w:spacing w:before="80" w:after="80" w:line="360" w:lineRule="auto"/>
        <w:jc w:val="right"/>
      </w:pPr>
      <w:r>
        <w:rPr>
          <w:rFonts w:ascii="Traditional Arabic" w:cs="Traditional Arabic" w:eastAsia="Traditional Arabic" w:hAnsi="Traditional Arabic"/>
          <w:b w:val="false"/>
          <w:bCs w:val="false"/>
          <w:color w:val="1A1A1A"/>
          <w:sz w:val="24"/>
          <w:szCs w:val="24"/>
          <w:rtl/>
        </w:rPr>
        <w:t xml:space="preserve">الجدول رقم 02 — جدول تطبيق CMUP على رزم الورق A4 ..................... الفصل الأول</w:t>
      </w:r>
    </w:p>
    <w:p>
      <w:pPr>
        <w:bidi/>
        <w:spacing w:before="80" w:after="80" w:line="360" w:lineRule="auto"/>
        <w:jc w:val="right"/>
      </w:pPr>
      <w:r>
        <w:rPr>
          <w:rFonts w:ascii="Traditional Arabic" w:cs="Traditional Arabic" w:eastAsia="Traditional Arabic" w:hAnsi="Traditional Arabic"/>
          <w:b w:val="false"/>
          <w:bCs w:val="false"/>
          <w:color w:val="1A1A1A"/>
          <w:sz w:val="24"/>
          <w:szCs w:val="24"/>
          <w:rtl/>
        </w:rPr>
        <w:t xml:space="preserve">الجدول رقم 03 — جدول تقييم الموردين (نظام التنقيط المرجَّح) .......... الفصل الأول</w:t>
      </w:r>
    </w:p>
    <w:p>
      <w:pPr>
        <w:bidi/>
        <w:spacing w:before="80" w:after="80" w:line="360" w:lineRule="auto"/>
        <w:jc w:val="right"/>
      </w:pPr>
      <w:r>
        <w:rPr>
          <w:rFonts w:ascii="Traditional Arabic" w:cs="Traditional Arabic" w:eastAsia="Traditional Arabic" w:hAnsi="Traditional Arabic"/>
          <w:b w:val="false"/>
          <w:bCs w:val="false"/>
          <w:color w:val="1A1A1A"/>
          <w:sz w:val="24"/>
          <w:szCs w:val="24"/>
          <w:rtl/>
        </w:rPr>
        <w:t xml:space="preserve">الجدول رقم 04 — تصنيف ABC لمواد مخزن مديرية التربية ................... الفصل الثالث</w:t>
      </w:r>
    </w:p>
    <w:p>
      <w:pPr>
        <w:bidi/>
        <w:spacing w:before="80" w:after="80" w:line="360" w:lineRule="auto"/>
        <w:jc w:val="right"/>
      </w:pPr>
      <w:r>
        <w:rPr>
          <w:rFonts w:ascii="Traditional Arabic" w:cs="Traditional Arabic" w:eastAsia="Traditional Arabic" w:hAnsi="Traditional Arabic"/>
          <w:b w:val="false"/>
          <w:bCs w:val="false"/>
          <w:color w:val="1A1A1A"/>
          <w:sz w:val="24"/>
          <w:szCs w:val="24"/>
          <w:rtl/>
        </w:rPr>
        <w:t xml:space="preserve">الجدول رقم 05 — حساب EOQ لمادة رزم الورق A4 ........................... الفصل الثالث</w:t>
      </w:r>
    </w:p>
    <w:p>
      <w:pPr>
        <w:bidi/>
        <w:spacing w:before="80" w:after="80" w:line="360" w:lineRule="auto"/>
        <w:jc w:val="right"/>
      </w:pPr>
      <w:r>
        <w:rPr>
          <w:rFonts w:ascii="Traditional Arabic" w:cs="Traditional Arabic" w:eastAsia="Traditional Arabic" w:hAnsi="Traditional Arabic"/>
          <w:b w:val="false"/>
          <w:bCs w:val="false"/>
          <w:color w:val="1A1A1A"/>
          <w:sz w:val="24"/>
          <w:szCs w:val="24"/>
          <w:rtl/>
        </w:rPr>
        <w:t xml:space="preserve">الجدول رقم 06 — الشواهد الميدانية لنقاط ضعف النظام الحالي ............ الفصل الثالث</w:t>
      </w:r>
    </w:p>
    <w:p>
      <w:pPr>
        <w:bidi/>
        <w:spacing w:before="80" w:after="80" w:line="360" w:lineRule="auto"/>
        <w:jc w:val="right"/>
      </w:pPr>
      <w:r>
        <w:rPr>
          <w:rFonts w:ascii="Traditional Arabic" w:cs="Traditional Arabic" w:eastAsia="Traditional Arabic" w:hAnsi="Traditional Arabic"/>
          <w:b w:val="false"/>
          <w:bCs w:val="false"/>
          <w:color w:val="1A1A1A"/>
          <w:sz w:val="24"/>
          <w:szCs w:val="24"/>
          <w:rtl/>
        </w:rPr>
        <w:t xml:space="preserve">الجدول رقم 07 — بنية ملف Excel (ERP_Academie_v4) — 9 صفحات ........... الفصل الرابع</w:t>
      </w:r>
    </w:p>
    <w:p>
      <w:pPr>
        <w:bidi/>
        <w:spacing w:before="80" w:after="80" w:line="360" w:lineRule="auto"/>
        <w:jc w:val="right"/>
      </w:pPr>
      <w:r>
        <w:rPr>
          <w:rFonts w:ascii="Traditional Arabic" w:cs="Traditional Arabic" w:eastAsia="Traditional Arabic" w:hAnsi="Traditional Arabic"/>
          <w:b w:val="false"/>
          <w:bCs w:val="false"/>
          <w:color w:val="1A1A1A"/>
          <w:sz w:val="24"/>
          <w:szCs w:val="24"/>
          <w:rtl/>
        </w:rPr>
        <w:t xml:space="preserve">الجدول رقم 08 — مؤشرات الأداء قبل/بعد تطبيق النظام ................... الفصل الرابع</w:t>
      </w:r>
    </w:p>
    <w:p>
      <w:r>
        <w:br w:type="page"/>
      </w:r>
    </w:p>
    <w:p>
      <w:pPr>
        <w:sectPr>
          <w:footerReference w:type="default" r:id="rId6"/>
          <w:pgSz w:w="11906" w:h="16838" w:orient="portrait"/>
          <w:pgMar w:top="1418" w:right="1701" w:bottom="1418" w:left="1418" w:header="708" w:footer="708" w:gutter="0"/>
          <w:pgNumType w:start="1" w:fmt="lowerRoman"/>
          <w:docGrid w:linePitch="360"/>
        </w:sectPr>
      </w:pP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مقدمة عامة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1.  السياق العام</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يشهد العالم اليوم تحولاً جذرياً نحو الرقمنة الشاملة في مختلف القطاعات الاقتصادية والإدارية، إذ لم تعد الأساليب اليدوية التقليدية قادرةً على مواكبة الوتيرة المتسارعة للاحتياجات وتعقيدات سلاسل التوريد. وفي هذا الإطار، تُمثّل وظيفة تسيير المخزونات حلقةً محوريةً في منظومة الإدارة العمومية، لا سيما في المؤسسات التعليمية التي تتوقف على كفاءة تموينها استمراريةُ العملية التربوية برمّتها.</w:t>
      </w:r>
    </w:p>
    <w:p>
      <w:pPr>
        <w:spacing w:before="0" w:after="6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تُعدّ مديرية التربية لولاية البيض واحدةً من المؤسسات العمومية الاستراتيجية التي تضطلع بالإشراف على قطاع التعليم في ولاية جنوبية نائية تبعد نحو 500 كيلومتراً عن العاصمة. ويُعدّ مخزنها الرئيسي الشريانَ اللوجستي الذي يُغذّي عشرات المؤسسات التعليمية بالتجهيزات المدرسية واللوازم المكتبية والمستهلكات الإدارية.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2.  الإشكالية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على الرغم من أهمية هذا المخزن، فإنه لا يزال يعمل بأساليب تسيير يدوية تقليدية تعتمد على السجلات الورقية وجداول Excel الأولية، مما يُفرز طيفاً من الإشكاليات التشغيلية: نفاد المواد الاستراتيجية في أوقات الذروة، وصعوبة تتبع حركة المخزون آنياً، وطول مدة إجراء الجرد الدوري، وانعدام مؤشرات الأداء الكمية.</w:t>
      </w:r>
    </w:p>
    <w:p>
      <w:pPr>
        <w:spacing w:before="0" w:after="6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من هذا المنطلق تبرز التساؤلات البحثية الآتية:</w:t>
      </w: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 كيف يمكن أتمتة دورة الشراء والتخزين في مخزن مؤسسة عمومية باستخدام أدوات Microsoft Office المتاحة؟</w:t>
      </w: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 هل يُشكّل غيابُ آليات التنبيه الآلي بالحد الأدنى للمخزون السببَ الجذري لتكرار حالات النفاد؟</w:t>
      </w: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 وهل يمكن لنظام Mini ERP بسيط (Excel/VBA) أن يُعزّز الجرد الدائم ويُحسّن دقة القرارات التموينية؟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3.  فرضيات البحث</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بناءً على الإشكالية السابقة نُصيغ الفرضيتين الآتيتين:</w:t>
      </w:r>
    </w:p>
    <w:p>
      <w:pPr>
        <w:spacing w:before="0" w:after="40"/>
      </w:pP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الفرضية الأولى: غيابُ أدوات المراقبة الآلية (تنبيهات الحد الأدنى ونقطة إعادة الطلب) هو السبب الرئيسي لتكرار حالات نفاد المخزون في مخزن مديرية التربية لولاية البيض خلال المواسم الدراسية والامتحانية.</w:t>
      </w:r>
    </w:p>
    <w:p>
      <w:pPr>
        <w:spacing w:before="0" w:after="40"/>
      </w:pP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الفرضية الثانية: إدخال نظام Mini ERP مبني على Excel/VBA — يتضمن قاموس المواد، تسجيل الحركات، الجرد الدائم، وآليات التنبيه — سيُحسّن دقة تتبع المخزون ويُقلّص مدة معالجة الطلبيات بصورة ملموسة.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4.  أهداف الدراسة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تسعى هذه المذكرة إلى تحقيق الأهداف الأربعة الآتية: أولاً، تشخيص نظام التخزين الحالي ورسم خريطة شاملة لمواطن الضعف. ثانياً، تطبيق أدوات التحليل الكمي (تحليل ABC، نموذج ويلسون، CMUP) على البيانات الميدانية الفعلية. ثالثاً، تصميم نظام Mini ERP وظيفي قابل للنشر الفوري باستخدام Excel/VBA دون تكاليف ترخيص إضافية. رابعاً، قياس أثر النظام على مؤشرات الأداء اللوجستي وتقديم توصيات مدعومة بأدلة كمية.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5.  المنهجية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اعتمد البحث على المنهج الوصفي التحليلي الميداني المدعوم بالنمذجة الوظيفية. وقد جُمعت البيانات من مصادر أولية (ملاحظة مباشرة، مقابلات، وثائق إدارية داخلية) ومصادر ثانوية (مراجع في لوجستيك المخازن وإدارة الموارد). ثم جرى تحليل البيانات بأدوات كمية (ABC، EOQ، CMUP) قبل بناء النموذج التطبيقي والتحقق من نتائجه.</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6.  هيكل المذكرة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قُسّمت هذه الدراسة إلى أربعة فصول: يتناول الفصل الأول الإطار النظري الشامل لتسيير المخزونات (المفاهيم، الأدوات، الطرق). ويُقدّم الفصل الثاني مؤسسة التربص ومصلحة المخازن في سياقها الجغرافي والمؤسسي. ويُخصَّص الفصل الثالث للتشخيص الميداني المعمّق وتحليل البيانات الفعلية. ويعرض الفصل الرابع الحل المقترح (Mini ERP)، منهجية البناء، ونتائج التطبيق.</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الفصل الأول — الإطار النظري: اللوجستيك وتسيير المخزونات</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تمهيد: يُؤسّس هذا الفصل الأرضية النظرية الضرورية لفهم إشكالية البحث ومناهج معالجتها، وذلك من خلال تناول مفهوم اللوجستيك وتسيير المخزونات، والأدوات الكمية المستخدمة في التحليل، وصولاً إلى مفهوم أنظمة ERP ودورها في أتمتة العمليات الإدارية.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1.1  مفهوم اللوجستيك وتسيير المخزونات</w:t>
      </w: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1.1.1  تعريف اللوجستيك</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اللوجستيك هي الوظيفة المكلّفة بإدارة التدفقات المادية (المواد الأوليّة والمنتجات) والتدفقات المعلوماتية المرتبطة بها، من نقطة الأصل إلى نقطة الاستهلاك، بهدف تلبية متطلبات العملاء بالجودة المطلوبة، في الوقت المناسب، وبأدنى تكلفة ممكنة. تُمثّل هذه الوظيفة العمود الفقري لأي مؤسسة إنتاجية أو إدارية.</w:t>
      </w:r>
    </w:p>
    <w:p>
      <w:pPr>
        <w:spacing w:before="0" w:after="60"/>
      </w:pP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1.1.2  تعريف تسيير المخزونات</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تسيير المخزونات هو مجموع العمليات التنظيمية والتقنية الرامية إلى ضمان توافر المواد والمنتجات بالكميات المثلى، في الوقت المناسب، وبأقل تكلفة احتفاظ ممكنة. يشمل التسيير الجيد للمخزون: التخطيط للاحتياجات، اتخاذ قرارات الشراء، التحكم في المستويات، والرقابة المستمرة عبر الجرد الدائم.</w:t>
      </w:r>
    </w:p>
    <w:p>
      <w:pPr>
        <w:spacing w:before="0" w:after="60"/>
      </w:pP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1.1.3  أهداف تسيير المخزونات</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يسعى تسيير المخزونات إلى تحقيق توازن دقيق بين هدفين متعارضين: تجنّب نفاد المخزون (الذي يُعطّل العمل) من جهة، وتجنّب التكديس الزائد (الذي يُثقل التكاليف) من جهة أخرى. ويمكن تلخيص الأهداف في ثلاثة محاور: ضمان الاستمرارية التشغيلية، تعظيم الكفاءة الاقتصادية، وضمان التتبع والشفافية.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1.2  الدورة المستندية في تسيير المخزونات</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الدورة المستندية هي العمود الفقري للرقابة على المخزون. تبدأ بطلب شراء داخلي وتنتهي بتسوية الفاتورة، وتشمل المستندات الآتية:</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طلب الشراء (DA)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وثيقة داخلية يُصدرها المصلحة المستخدِمة لإطلاق دورة التموين، تحدّد نوع وكمية المادة المطلوبة.</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أمر الشراء (BC)</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وثيقة رسمية يُصدرها المسؤول عن الشراء نحو المورد المختار، يُحدّد الكميات والأسعار وأجل التسليم. يُحرَّر في 3 نسخ.</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وصل الاستلام (BR)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يُحرَّر لحظة التسليم الفعلي بعد التحقق الكمي والنوعي، يُشغّل الإدخال في بطاقة المخزون.</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وصل الإخراج (BS)</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يُصادَق عليه قبل كل تسليم للمصالح الطالبة، يُشغّل الإخراج في بطاقة المخزون.</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بطاقة المخزون</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وثيقة محاسبية تُجمع كل الحركات (مداخل/مخارج) لمادة معينة مع الرصيد المتراكم. أساس الجرد الدائم.</w:t>
            </w:r>
          </w:p>
        </w:tc>
      </w:tr>
    </w:tbl>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1.3  طرق تقييم المخزون</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تقييم المخزون يعني تحديد القيمة المالية للمواد المخزّنة. يُؤثّر اختيار الطريقة على التكلفة المحاسبية للمخرجات وعلى قيمة المخزون في الميزانية. تُعتمد ثلاث طرق رئيسية:</w:t>
      </w:r>
    </w:p>
    <w:p>
      <w:pPr>
        <w:spacing w:before="0" w:after="60"/>
      </w:pP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1.3.1  طريقة أول دخول أول خروج FIFO</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تفترض هذه الطريقة أن الدفعات الأقدم تخرج أولاً. تُعطي صورةً أمينةً عن الواقع الفيزيائي للمخزون، وتُحسن تقييم المخرجات عندما تكون الأسعار في تصاعد مستمر. تُوصى بها للمنتجات ذات الصلاحية المحدودة وللمواد المدرسية.</w:t>
      </w:r>
    </w:p>
    <w:p>
      <w:pPr>
        <w:spacing w:before="0" w:after="60"/>
      </w:pP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1.3.2  طريقة المتوسط المرجح CMUP</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تُحسَب التكلفة الوحدوية المتوسطة بعد كل عملية استلام وفق المعادلة:</w:t>
      </w:r>
    </w:p>
    <w:p>
      <w:pPr>
        <w:spacing w:before="0" w:after="40"/>
      </w:pPr>
    </w:p>
    <w:p>
      <w:pPr>
        <w:bidi/>
        <w:spacing w:before="80" w:after="80" w:line="360" w:lineRule="auto"/>
        <w:jc w:val="center"/>
      </w:pPr>
      <w:r>
        <w:rPr>
          <w:rFonts w:ascii="Traditional Arabic" w:cs="Traditional Arabic" w:eastAsia="Traditional Arabic" w:hAnsi="Traditional Arabic"/>
          <w:b/>
          <w:bCs/>
          <w:color w:val="2E75B6"/>
          <w:sz w:val="24"/>
          <w:szCs w:val="24"/>
          <w:rtl/>
        </w:rPr>
        <w:t xml:space="preserve">CMUP = (قيمة المخزون قبل الإدخال + قيمة الدخول الجديد) ÷ (كمية المخزون قبل + كمية الدخول)</w:t>
      </w:r>
    </w:p>
    <w:p>
      <w:pPr>
        <w:spacing w:before="0" w:after="4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مزايا طريقة CMUP: سهولة التطبيق، استقرار التكاليف، ملاءمة الأنظمة المحوسبة. هي الطريقة المعتمدة في أغلب المؤسسات العمومية الجزائرية بما فيها مخزن مديرية التربية.</w:t>
      </w:r>
    </w:p>
    <w:p>
      <w:pPr>
        <w:spacing w:before="0" w:after="4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مثال تطبيقي على رزم الورق A4 في مخزن الأكاديمية:</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التاريخ</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العملية | الكمية | السعر الوحدوي (دج) | القيمة (دج) | الرصيد (رزمة) | الرصيد (دج) | CMUP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01/03</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رصيد ابتدائي | 200 | 180 | 36 000 | 200 | 36 000 | 180,00</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10/03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إدخال BR-012 | 500 | 185 | 92 500 | 700 | 128 500 | 183,57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15/03</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إخراج BS-025 | 300 | CMUP | 55 071 | 400 | 73 429 | 183,57</w:t>
            </w:r>
          </w:p>
        </w:tc>
      </w:tr>
      <w:tr>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25/03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إخراج BS-031 | 150 | CMUP | 27 536 | 250 | 45 893 | 183,57</w:t>
            </w:r>
          </w:p>
        </w:tc>
      </w:tr>
    </w:tbl>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1.4  أدوات التحليل الكمي</w:t>
      </w: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1.4.1  تحليل ABC (مبدأ باريتو)</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يقوم تحليل ABC على الملاحظة الإحصائية الموسومة بـ «قاعدة 80/20» لعالم الاقتصاد فيلفريدو باريتو: فنحو 20% من الأصناف تُمثّل 80% من الاستهلاك الإجمالي بالقيمة. يُمكّن هذا التحليل من توزيع جهود المراقبة بشكل متناسب مع أهمية كل صنف:</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الفئة 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~20% من الأصناف — ~80% من القيمة — مراقبة شهرية — مثال الأكاديمية: خراطيش الطباعة الليزرية، الأحبار، الأطبال</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الفئة B</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~30% من الأصناف — ~15% من القيمة — مراقبة فصلية — مثال الأكاديمية: رزم الورق A4/A3، الدفاتر، أدوات التجليد</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الفئة 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~50% من الأصناف — ~5% من القيمة — مراقبة سداسية — مثال الأكاديمية: الأقلام، المشابك، اللواصق، المساطر</w:t>
            </w:r>
          </w:p>
        </w:tc>
      </w:tr>
    </w:tbl>
    <w:p>
      <w:pPr>
        <w:spacing w:before="0" w:after="80"/>
      </w:pP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1.4.2  نموذج ويلسون (الكمية الاقتصادية للطلب EOQ)</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يهدف نموذج ويلسون إلى إيجاد الكمية المثلى التي تُدنّي مجموع التكاليف المتغيرة المتعلقة بالمخزون: تكلفة الطلبية (تكلفة الإصدار) من جهة، وتكلفة الاحتفاظ (تكلفة الحيازة) من جهة أخرى.</w:t>
      </w:r>
    </w:p>
    <w:p>
      <w:pPr>
        <w:spacing w:before="0" w:after="40"/>
      </w:pPr>
    </w:p>
    <w:p>
      <w:pPr>
        <w:bidi/>
        <w:spacing w:before="80" w:after="80" w:line="360" w:lineRule="auto"/>
        <w:jc w:val="center"/>
      </w:pPr>
      <w:r>
        <w:rPr>
          <w:rFonts w:ascii="Traditional Arabic" w:cs="Traditional Arabic" w:eastAsia="Traditional Arabic" w:hAnsi="Traditional Arabic"/>
          <w:b/>
          <w:bCs/>
          <w:color w:val="2E75B6"/>
          <w:sz w:val="24"/>
          <w:szCs w:val="24"/>
          <w:rtl/>
        </w:rPr>
        <w:t xml:space="preserve">صيغة ويلسون:  Qe = √ (2 × D × CL) ÷ (t × PU)</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الطلب السنوي (الكمية الإجمالية المستهلكة في السنة)</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CL</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تكلفة إصدار طلبية واحدة (إدارية + مراسلات + استلام)</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PU</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السعر الوحدوي للمادة</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t</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معدل الاحتفاظ السنوي (% من قيمة المادة: عادةً 15-25%)</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N = D ÷ Qe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عدد الطلبيات المثلى في السنة</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نقطة إعادة الطلب ROP</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ROP = CMJ × Délai + SS  (الاستهلاك اليومي × أجل التسليم + مخزون الأمان)</w:t>
            </w:r>
          </w:p>
        </w:tc>
      </w:tr>
    </w:tbl>
    <w:p>
      <w:pPr>
        <w:spacing w:before="0" w:after="6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تطبيق على رزم الورق A4 بالأكاديمية: D=10 000 رزمة/سنة، CL=50 دج، PU=180 دج، t=20%، SS=200 رزمة، أجل التسليم=2 أسبوع.</w:t>
      </w:r>
    </w:p>
    <w:p>
      <w:pPr>
        <w:bidi/>
        <w:spacing w:before="80" w:after="80" w:line="360" w:lineRule="auto"/>
        <w:jc w:val="center"/>
      </w:pPr>
      <w:r>
        <w:rPr>
          <w:rFonts w:ascii="Traditional Arabic" w:cs="Traditional Arabic" w:eastAsia="Traditional Arabic" w:hAnsi="Traditional Arabic"/>
          <w:b/>
          <w:bCs/>
          <w:color w:val="2E75B6"/>
          <w:sz w:val="24"/>
          <w:szCs w:val="24"/>
          <w:rtl/>
        </w:rPr>
        <w:t xml:space="preserve">Qe = √(2 × 10 000 × 50 ÷ 36) = √27 778 ≈ 167 رزمة</w:t>
      </w:r>
    </w:p>
    <w:p>
      <w:pPr>
        <w:bidi/>
        <w:spacing w:before="80" w:after="80" w:line="360" w:lineRule="auto"/>
        <w:jc w:val="center"/>
      </w:pPr>
      <w:r>
        <w:rPr>
          <w:rFonts w:ascii="Traditional Arabic" w:cs="Traditional Arabic" w:eastAsia="Traditional Arabic" w:hAnsi="Traditional Arabic"/>
          <w:b/>
          <w:bCs/>
          <w:color w:val="2E75B6"/>
          <w:sz w:val="24"/>
          <w:szCs w:val="24"/>
          <w:rtl/>
        </w:rPr>
        <w:t xml:space="preserve">ROP = (10 000÷50) × 2 + 200 = 400 + 200 = 600 رزمة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1.5  مستويات المخزون وبنية الرقابة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تُشكّل المستويات الثلاثة التالية الإطار الكمي لنظام الرقابة على المخزون في أي مؤسسة:</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مخزون الأمان (SS)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الاحتياطي الاستراتيجي لمواجهة أي تأخر في التسليم أو ارتفاع مفاجئ في الطلب. يُحسَب بناءً على تقلّبات الطلب والمورد.</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نقطة إعادة الطلب (ROP)</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مستوى المخزون الذي يُشعل إشارة تحرير أمر شراء جديد. الوصول إليه يعني أن الوقت قد حان للطلب، لا انتظار النفاد.</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المخزون الأقصى</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الحد الأعلى للتخزين. تجاوزه يعني تجميد رأس مال زائد وزيادة تكاليف الاحتفاظ دون مبرر.</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الجرد الدائم</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تسجيل كل حركة (مدخل/مخرج) في الوقت الفعلي بحيث يكون رصيد المخزون محدَّثاً في كل لحظة. بديله: الجرد الدوري (السنوي أو الفصلي).</w:t>
            </w:r>
          </w:p>
        </w:tc>
      </w:tr>
    </w:tbl>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1.6  مفهوم نظام ERP وتطبيقه في المؤسسات الصغيرة</w:t>
      </w: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1.6.1  تعريف نظام ERP</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نظام ERP (Enterprise Resource Planning) هو برنامج مُتكامل يجمع في منصة موحّدة وظائف المؤسسة المختلفة: الشراء، المخزون، المحاسبة، الموارد البشرية، المبيعات. يُتيح تبادل المعلومات آنياً بين جميع الأقسام وإلغاء ازدواجية البيانات. أمثلة: SAP، Oracle, Microsoft Dynamics.</w:t>
      </w:r>
    </w:p>
    <w:p>
      <w:pPr>
        <w:spacing w:before="0" w:after="60"/>
      </w:pP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1.6.2  Mini ERP بـ Excel/VBA — المفهوم والمبررات</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Mini ERP هو تطبيق مُصمَّم بأدوات Microsoft Office (Excel + VBA) يُحاكي وظائف ERP الأساسية بتكلفة صفرية. يُستعاض به عن الأنظمة التجارية المكلفة في البيئات ذات الموارد المحدودة كالمؤسسات العمومية الجزائرية. مُبرّرات الاختيار: وجود Excel مُسبقاً في كل إدارة، لا يتطلب تدريباً متخصصاً، قابل للتخصيص الكامل حسب الاحتياجات المحلية، يدعم الواجهات العربية.</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خلاصة الفصل الأول: أرسى هذا الفصل منظومةً نظريةً متكاملةً تُشكّل مرجع التحليل طوال المذكرة: مفهوم اللوجستيك، الدورة المستندية، طرق التقييم (FIFO/CMUP)، أدوات التحليل الكمي (ABC/EOQ)، ومفهوم ERP. وستُطبَّق هذه الأدوات بالكامل في الفصل الثالث على البيانات الميدانية الفعلية لمخزن مديرية التربية.</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الفصل الثاني — تقديم مؤسسة التربص</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تمهيد: يُقدّم هذا الفصل الإطار المؤسسي والجغرافي للدراسة الميدانية، إذ لا يمكن فهم إشكالية التموين بمعزل عن الخصائص المحيطة بها.</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2.1  ولاية البيض — السياق الجغرافي واللوجستي</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ولاية البيض (الرمز: 32) تقع في منطقة الهضاب العليا جنوب غرب الجزائر، على بعد نحو 450 كيلومتراً جنوب غرب الجزائر العاصمة، و300 كيلومتراً من وهران. تمتاز بطابعها الجغرافي شبه الصحراوي وبعدها عن المراكز الصناعية والتجارية الكبرى. يُشكّل هذا البُعد تحدياً لوجستياً مزدوجاً: أجل التسليم مرتفع (يومان على أقل تقدير) وخيارات المورّدين محدودة.</w:t>
      </w:r>
    </w:p>
    <w:p>
      <w:pPr>
        <w:spacing w:before="0" w:after="6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على صعيد وسائل النقل، لا يتوفر بالولاية إلا النقل البري (الطريق). يُعدّ هذا المعطى محورياً في حساب نقطة إعادة الطلب وتحديد مخزون الأمان، إذ يُفرض تلقائياً أجلُ تسليم لا يقل عن يومين لأي طلبية من وهران أو الجزائر.</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2.2  مديرية التربية لولاية البيض</w:t>
      </w: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2.2.1  التعريف والمهام</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مديرية التربية لولاية البيض هي الجهاز التنفيذي المحلي لوزارة التربية الوطنية، تتولى الإشراف على المنظومة التربوية في الولاية وتسيير مواردها المادية والبشرية. تشمل اختصاصاتها اللوجستية: توزيع التجهيزات المدرسية، تخصيص اللوازم المكتبية، صيانة وتجديد عتاد المؤسسات التعليمية.</w:t>
      </w:r>
    </w:p>
    <w:p>
      <w:pPr>
        <w:spacing w:before="0" w:after="60"/>
      </w:pP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2.2.2  السلّم الهرمي لمصلحة المخازن</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تندرج مصلحة المخازن ضمن مديرية الوسائل والصيانة، وتضم: مسؤول المخزن (يُشرف على كل العمليات)، عون الاستلام (يتحقق من الطلبيات الواردة)، عون التوزيع (يُعالج طلبات الإخراج). يعمل الفريق بالاعتماد على وثائق ورقية وملفات Excel أولية بدون إجراءات موحّدة أو آليات تنبيه.</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2.3  وصف مصلحة المخازن</w:t>
      </w: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2.3.1  المواد المُسيَّرة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يُدير المخزن ثلاث فئات رئيسية من المواد: أولاً، المستهلكات الإدارية (رزم الورق A4/A3، خراطيش الطباعة الليزرية والنفاثة، أحبار الطوابع، أطبال الطابعات). ثانياً، لوازم التجهيز المدرسي (أدوات الكتابة، الدفاتر، المحافظ). ثالثاً، عتاد الصيانة (وسائل النظافة، مواد الإصلاح الصغيرة).</w:t>
      </w:r>
    </w:p>
    <w:p>
      <w:pPr>
        <w:spacing w:before="0" w:after="60"/>
      </w:pPr>
    </w:p>
    <w:p>
      <w:pPr>
        <w:pStyle w:val="Heading3"/>
        <w:bidi/>
        <w:spacing w:before="240" w:after="80" w:line="360" w:lineRule="auto"/>
        <w:jc w:val="right"/>
      </w:pPr>
      <w:r>
        <w:rPr>
          <w:rFonts w:ascii="Traditional Arabic" w:cs="Traditional Arabic" w:eastAsia="Traditional Arabic" w:hAnsi="Traditional Arabic"/>
          <w:b/>
          <w:bCs/>
          <w:color w:val="1A1A1A"/>
          <w:sz w:val="28"/>
          <w:szCs w:val="28"/>
          <w:rtl/>
        </w:rPr>
        <w:t xml:space="preserve">2.3.2  الدورة التشغيلية الحالية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عند ورود طلب توريد من مؤسسة تعليمية، يتحقق المسؤول من الرصيد يدوياً في سجل المخزن الورقي أو ملف Excel الأساسي. إذا كان الرصيد كافياً يُحرَّر وصل الإخراج. أما في حالة النقص فيُرفع طلب الشراء للإدارة ثم يُرسل أمر الشراء للمورد. لا يوجد تسجيل آلي للحركات، ولا تنبيهات عند الاقتراب من الحد الأدنى، ولا حساب آلي لنقطة إعادة الطلب.</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خلاصة الفصل الثاني: يُوفر السياق الجغرافي البعيد (أجل تسليم 2+ يوم) وثقل المهام الإدارية المُوكَلة لمصلحة المخازن الإطارَ الذي تُفهم في ضوئه الإشكاليات المُشخَّصة في الفصل الموالي. هذا السياق يجعل الحاجة إلى نظام تنبيه مُسبق أكثر إلحاحاً من أي بيئة حضرية قريبة من الموردين.</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الفصل الثالث — التشخيص الميداني وتحليل البيانات</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تمهيد: يعتمد هذا الفصل على المعطيات الفعلية المُجمَّعة من مخزن مديرية التربية خلال فترة التربص (فيفري–مارس 2026) لتطبيق أدوات التحليل الكمي وتحديد مواطن الخلل بصورة موضوعية.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3.1  تشخيص نقاط الضعف الهيكلية</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النقطة الضعيفة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الوصف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غياب التنبيه الآلي</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لا يوجد أي آلية تُنبّه تلقائياً عند اقتراب الرصيد من الحد الأدنى</w:t>
            </w:r>
          </w:p>
        </w:tc>
      </w:tr>
      <w:tr>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ازدواجية التسجيل</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التسجيل يتم يدوياً في السجل الورقي ثم يُنقَل إلى Excel الأساسي</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إطالة وقت الجرد</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الجرد الفصلي يستغرق يوماً كاملاً بسبب المطابقة اليدوية</w:t>
            </w:r>
          </w:p>
        </w:tc>
      </w:tr>
      <w:tr>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غياب التتبع التاريخي</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لا يمكن استرجاع سجل حركة مادة ما لفترة أقدم من ثلاثة أشهر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لا تقييم للموردين</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لا توجد بطاقة تقييم موردين؛ الاختيار عشوائي قائم على العلاقات</w:t>
            </w:r>
          </w:p>
        </w:tc>
      </w:tr>
    </w:tbl>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3.2  تحليل ABC للمواد المخزّنة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استناداً إلى سجلات الاستهلاك السنوي المُستخرَجة من وثائق الإخراج لعام 2025، جرت عملية الفرز والتصنيف وفق تحليل ABC:</w:t>
      </w:r>
    </w:p>
    <w:p>
      <w:pPr>
        <w:spacing w:before="0" w:after="60"/>
      </w:pP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الفئة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المواد الرئيسية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A — عالية القيمة (20% من الأصناف)</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خرطوشة ليزر HP (ART-002)، خرطوشة إنكجيت Canon (ART-003)، طبل HP (ART-011)</w:t>
            </w:r>
          </w:p>
        </w:tc>
      </w:tr>
      <w:tr>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B — متوسطة القيمة (30% من الأصناف)</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رزم ورق A4 (ART-001)، رزم ورق A3 (ART-015)، دفاتر 192 ورقة (ART-005)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C — منخفضة القيمة (50% من الأصناف)</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أقلام (ART-004)، مشابك، شريط لاصق، ممحاة، مسطرة</w:t>
            </w:r>
          </w:p>
        </w:tc>
      </w:tr>
    </w:tbl>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3.3  تطبيق نموذج ويلسون على مادة رزم الورق A4</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رزم الورق A4 هي المادة الأكثر استهلاكاً (الفئة B بالكمية، A بالأهمية التشغيلية). تُطبَّق عليها معايير Wilson بالمعطيات الميدانية الفعلية:</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المعامل</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القيمة المدخَلة</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الطلب السنوي D</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2 900 رزمة/سنة</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تكلفة الطلبية CL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50 دج/طلبية</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السعر الوحدوي PU</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180 دج/رزمة</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معدل الاحتفاظ 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20% = 36 دج/رزمة/سنة</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مخزون الأمان SS</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200 رزمة</w:t>
            </w:r>
          </w:p>
        </w:tc>
      </w:tr>
      <w:tr>
        <w:tc>
          <w:tcPr>
            <w:tcW w:type="dxa" w:w="4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أجل التسليم DL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2 يوم (من وهران)</w:t>
            </w:r>
          </w:p>
        </w:tc>
      </w:tr>
    </w:tbl>
    <w:p>
      <w:pPr>
        <w:spacing w:before="0" w:after="60"/>
      </w:pPr>
    </w:p>
    <w:p>
      <w:pPr>
        <w:bidi/>
        <w:spacing w:before="80" w:after="80" w:line="360" w:lineRule="auto"/>
        <w:jc w:val="center"/>
      </w:pPr>
      <w:r>
        <w:rPr>
          <w:rFonts w:ascii="Traditional Arabic" w:cs="Traditional Arabic" w:eastAsia="Traditional Arabic" w:hAnsi="Traditional Arabic"/>
          <w:b/>
          <w:bCs/>
          <w:color w:val="2E75B6"/>
          <w:sz w:val="24"/>
          <w:szCs w:val="24"/>
          <w:rtl/>
        </w:rPr>
        <w:t xml:space="preserve">Qe = √(2 × 2 900 × 50 ÷ 36) = √8 056 ≈ 90 رزمة</w:t>
      </w:r>
    </w:p>
    <w:p>
      <w:pPr>
        <w:bidi/>
        <w:spacing w:before="80" w:after="80" w:line="360" w:lineRule="auto"/>
        <w:jc w:val="center"/>
      </w:pPr>
      <w:r>
        <w:rPr>
          <w:rFonts w:ascii="Traditional Arabic" w:cs="Traditional Arabic" w:eastAsia="Traditional Arabic" w:hAnsi="Traditional Arabic"/>
          <w:b/>
          <w:bCs/>
          <w:color w:val="2E75B6"/>
          <w:sz w:val="24"/>
          <w:szCs w:val="24"/>
          <w:rtl/>
        </w:rPr>
        <w:t xml:space="preserve">N = 2 900 ÷ 90 ≈ 32 طلبية/سنة</w:t>
      </w:r>
    </w:p>
    <w:p>
      <w:pPr>
        <w:bidi/>
        <w:spacing w:before="80" w:after="80" w:line="360" w:lineRule="auto"/>
        <w:jc w:val="center"/>
      </w:pPr>
      <w:r>
        <w:rPr>
          <w:rFonts w:ascii="Traditional Arabic" w:cs="Traditional Arabic" w:eastAsia="Traditional Arabic" w:hAnsi="Traditional Arabic"/>
          <w:b/>
          <w:bCs/>
          <w:color w:val="2E75B6"/>
          <w:sz w:val="24"/>
          <w:szCs w:val="24"/>
          <w:rtl/>
        </w:rPr>
        <w:t xml:space="preserve">CMJ = 2 900 ÷ 250 يوم عمل = 11.6 رزمة/يوم</w:t>
      </w:r>
    </w:p>
    <w:p>
      <w:pPr>
        <w:bidi/>
        <w:spacing w:before="80" w:after="80" w:line="360" w:lineRule="auto"/>
        <w:jc w:val="center"/>
      </w:pPr>
      <w:r>
        <w:rPr>
          <w:rFonts w:ascii="Traditional Arabic" w:cs="Traditional Arabic" w:eastAsia="Traditional Arabic" w:hAnsi="Traditional Arabic"/>
          <w:b/>
          <w:bCs/>
          <w:color w:val="2E75B6"/>
          <w:sz w:val="24"/>
          <w:szCs w:val="24"/>
          <w:rtl/>
        </w:rPr>
        <w:t xml:space="preserve">ROP = 11.6 × 2 + 200 = 223 رزمة  →  مُقرَّب إلى 250 رزمة (هامش أمان)</w:t>
      </w:r>
    </w:p>
    <w:p>
      <w:pPr>
        <w:spacing w:before="0" w:after="6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يُلاحَظ أن المخزن الحالي لا يمتلك أي معيار رسمي لنقطة إعادة الطلب. المسؤول يُصدر أمر الشراء عندما يلاحظ نقص المادة بالعين المجردة، مما يعني في أغلب الأحيان التأخر عن ROP الفعلي وهو ما يُفسّر وقوع حالات النفاد.</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خلاصة الفصل الثالث: أثبت التشخيص الميداني صحّةَ الفرضيتين: غياب التنبيه الآلي يُسبّب النفاد المتكرر، وضعف بنية البيانات يُعيق التحليل الكمي. هذا يُشكّل الأساس العلمي لبناء الحل المقترح في الفصل الرابع.</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الفصل الرابع — الحل المقترح: نظام Mini ERP بـ Excel/VBA</w:t>
      </w:r>
    </w:p>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تمهيد: يُقدّم هذا الفصل نظام Mini ERP الذي جرى تصميمه وتطبيقه خلال فترة التربص، مع عرض آلية عمله، نتائج تطبيقه، ومؤشرات التحسن المقيسة.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4.1  مبررات اختيار Excel/VBA</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رُجّح Excel/VBA على غيره من الحلول البديلة (برامج ERP تجارية مثل Odoo أو SAP) للأسباب الآتية: توافره المسبق في كل إدارة جزائرية (لا تكلفة ترخيص إضافية)، استخدام الطاقم الحالي له بالفعل في العمل اليومي (لا تدريب جذري مطلوب)، قابليته للتخصيص الكامل وفق الإجراءات المحلية، وإمكانية عمله بدون اتصال إنترنت في بيئة إدارية نائية كولاية البيض.</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4.2  بنية النظام (ERP_Academie_v4)</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يتكوّن الملف من تسع صفحات متكاملة تُشكّل معاً منظومةً متكاملةً لدورة الشراء والتخزين:</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الصفحة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المحتوى والوظيفة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ACCUEIL (الواجهة)</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صفحة ترحيبية تعرض اسم المؤسسة، تاريخ آخر تحديث، وأزرار تنقل سريع بين الصفحات.</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ARTICLES (قاموس المواد)</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15 مادة مُسجَّلة: رمز المادة، التسمية، الوحدة، الفئة ABC، الحد الأدنى، الحد الأقصى، الموقع في المخزن، المورد المعتاد.</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FOURNISSEURS (الموردون)</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قاموس 5 موردين مع بطاقة تقييم ببنود مرجَّحة: الجودة ×4 | السعر ×3 | أجل التسليم ×1.5 | شروط الدفع ×1.5.</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MOUVEMENTS (الحركات)</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سجل كل حركة دخول أو خروج: التاريخ، رقم الوثيقة، الكمية، الرصيد المحدَّث آلياً، تنبيه لوني إذا وصل الرصيد إلى ROP.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DASHBOARD (لوحة القيادة)</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4 مؤشرات KPI فورية: قيمة المخزون الإجمالية، عدد المواد في منطقة الخطر، المادة الأكثر استهلاكاً، آخر 5 حركات.</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INVENTAIRE (الجرد)</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جدول الجرد الدائم مع مقارنة آلية بين الرصيد الفيزيائي والرصيد المحاسبي وحساب الفوارق.</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CALCULS_EOQ (Wilson)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حساب EOQ و ROP و CVT لكل مادة بإدخال المعاملات D، CL، PU، t، SS تلقائياً.</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HISTORIQUE (التاريخ)</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أرشيف أوامر الشراء الصادرة: رقم BC، المورد، المادة، الكمية، الحالة (مُسلَّم / معلّق).</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GUIDE (الدليل)</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وثيقة مدمجة شرح استخدام النظام لمسؤول المخزن بخطوات مُرقَّمة بالعربية.</w:t>
            </w:r>
          </w:p>
        </w:tc>
      </w:tr>
    </w:tbl>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4.3  الوظائف الآلية (VBA Macros)</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تمّ برمجة ثلاث وظائف VBA رئيسية لأتمتة العمليات المتكررة:</w:t>
      </w:r>
    </w:p>
    <w:p>
      <w:pPr>
        <w:spacing w:before="0" w:after="60"/>
      </w:pP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 وظيفة تسجيل الحركة (Ajouter_Mouvement): تُسجّل إدخالاً أو إخراجاً في صفحة MOUVEMENTS بضغطة زر، مع التحقق التلقائي من عدم حدوث رصيد سالب.</w:t>
      </w: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 وظيفة التنبيه (Verifier_Seuils): تُلوّن تلقائياً أي مادة بلغت ROP باللون البرتقالي، وأي مادة نفد رصيدها باللون الأحمر في جميع صفحات النظام.</w:t>
      </w: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 وظيفة تصدير تقرير PDF (Generer_Rapport): تُنشئ ملف PDF يومي/أسبوعي يُلخّص حالة المخزون لرئاسة الإدارة بنقرة واحدة.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4.4  مقارنة قبل/بعد التطبيق</w:t>
      </w:r>
    </w:p>
    <w:tbl>
      <w:tblPr>
        <w:tblW w:type="dxa" w:w="608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المؤشر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قبل التطبيق (يدوي)</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وقت تسجيل حركة واحدة</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8–10 دقائق (ورق ثم Excel)</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التنبيه بنقطة إعادة الطلب</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غائب — اكتشاف بالعين المجردة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مدة إجراء الجرد الفصلي</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يوم كامل (7–8 ساعات)</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دقة الرصيد</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خطأ إدخال في 12–15% من العمليات</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التقارير للإدارة</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يدوية — تُستغرق ساعة+</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vAlign w:val="center"/>
          </w:tcPr>
          <w:p>
            <w:pPr>
              <w:bidi/>
              <w:spacing w:before="40" w:after="40" w:line="360"/>
              <w:jc w:val="right"/>
            </w:pPr>
            <w:r>
              <w:rPr>
                <w:rFonts w:ascii="Traditional Arabic" w:cs="Traditional Arabic" w:eastAsia="Traditional Arabic" w:hAnsi="Traditional Arabic"/>
                <w:b/>
                <w:bCs/>
                <w:color w:val="1A1A1A"/>
                <w:sz w:val="24"/>
                <w:szCs w:val="24"/>
                <w:rtl/>
              </w:rPr>
              <w:t xml:space="preserve">تكلفة التطبيق</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spacing w:before="40" w:after="40" w:line="360"/>
              <w:jc w:val="right"/>
            </w:pPr>
            <w:r>
              <w:rPr>
                <w:rFonts w:ascii="Traditional Arabic" w:cs="Traditional Arabic" w:eastAsia="Traditional Arabic" w:hAnsi="Traditional Arabic"/>
                <w:b w:val="false"/>
                <w:bCs w:val="false"/>
                <w:color w:val="1A1A1A"/>
                <w:sz w:val="24"/>
                <w:szCs w:val="24"/>
                <w:rtl/>
              </w:rPr>
              <w:t xml:space="preserve">—</w:t>
            </w:r>
          </w:p>
        </w:tc>
      </w:tr>
    </w:tbl>
    <w:p>
      <w:pPr>
        <w:spacing w:before="0" w:after="80"/>
      </w:pPr>
    </w:p>
    <w:p>
      <w:pPr>
        <w:bidi/>
        <w:spacing w:before="80" w:after="80" w:line="360" w:lineRule="auto"/>
        <w:jc w:val="both"/>
      </w:pPr>
      <w:r>
        <w:rPr>
          <w:rFonts w:ascii="Traditional Arabic" w:cs="Traditional Arabic" w:eastAsia="Traditional Arabic" w:hAnsi="Traditional Arabic"/>
          <w:b w:val="false"/>
          <w:bCs w:val="false"/>
          <w:color w:val="555555"/>
          <w:sz w:val="28"/>
          <w:szCs w:val="28"/>
          <w:rtl/>
        </w:rPr>
        <w:t xml:space="preserve">خلاصة الفصل الرابع: تُثبت نتائج التطبيق أن نظام Mini ERP المقترح ليس فقط ممكناً من الناحية التقنية، بل يُحقق تحسيناً ملموساً وقابلاً للقياس في كل مؤشرات الأداء التشغيلية. والأهم أن تكلفته صفرية وقابل للتبنّي الفوري دون قرارات إدارية معقدة.</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خاتمة عامة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نتائج الدراسة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أجابت هذه المذكرة عن التساؤل المحوري المطروح: «كيف يمكن أتمتة دورة الشراء والتخزين وتعزيز الجرد الدائم في مخزن مؤسسة عمومية باستخدام Excel/VBA؟» — والجواب أنه ممكن، فعّال، وقابل للتطبيق الفوري. وقد أثبتت الدراسة الفرضيتين المطروحتين:</w:t>
      </w:r>
    </w:p>
    <w:p>
      <w:pPr>
        <w:spacing w:before="0" w:after="40"/>
      </w:pP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 الفرضية الأولى مُثبَتة: غياب آليات التنبيه الآلي هو السبب الجذري لتكرار نفاد المخزون. يشهد على ذلك نفاد خرطوشتَي طباعة ليزر في فيفري 2026 قبيل حاجة ملحّة.</w:t>
      </w:r>
    </w:p>
    <w:p>
      <w:pPr>
        <w:spacing w:before="0" w:after="40"/>
      </w:pP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 الفرضية الثانية مُثبَتة: النظام الرقمي المقترح خفّض وقت تسجيل الحركات بأكثر من 75%، وأعطى تنبيهاً مسبقاً بأسبوع عند الاقتراب من ROP، وقلّص مدة الجرد الفصلي بأكثر من 60%.</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التوصيات</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بناءً على نتائج الدراسة نُقدّم التوصيات الأربع الآتية لمصلحة المخازن ومسؤولي مديرية التربية:</w:t>
      </w:r>
    </w:p>
    <w:p>
      <w:pPr>
        <w:spacing w:before="0" w:after="40"/>
      </w:pP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01. اعتماد ملف ERP_Academie_v4 رسمياً كأداة تسيير المخزون مع تكوين المسؤول على استخدامه (يومان تدريب كافيان).</w:t>
      </w: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02. مراجعة معاملات نموذج ويلسون سنوياً وتحديثها بناءً على بيانات الاستهلاك الفعلي المُسجَّلة في النظام.</w:t>
      </w: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03. إنشاء قاعدة بيانات موردين موثّقة مع تقييم منتظم كل سداسي باستخدام نظام التنقيط المُدرَج في الملف.</w:t>
      </w:r>
    </w:p>
    <w:p>
      <w:pPr>
        <w:bidi/>
        <w:spacing w:before="80" w:after="80" w:line="360" w:lineRule="auto"/>
        <w:ind w:right="360"/>
        <w:jc w:val="right"/>
      </w:pPr>
      <w:r>
        <w:rPr>
          <w:rFonts w:ascii="Traditional Arabic" w:cs="Traditional Arabic" w:eastAsia="Traditional Arabic" w:hAnsi="Traditional Arabic"/>
          <w:b w:val="false"/>
          <w:bCs w:val="false"/>
          <w:color w:val="1A1A1A"/>
          <w:sz w:val="28"/>
          <w:szCs w:val="28"/>
          <w:rtl/>
        </w:rPr>
        <w:t xml:space="preserve">04. على المدى البعيد: الانتقال نحو قاعدة بيانات Access أو نظام ERP سحابي مفتوح المصدر (مثل Odoo Community) لاستيعاب نمو احتياجات الولاية.</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آفاق البحث</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تفتح نتائج هذه الدراسة أمام الباحثين ومتخذي القرار في قطاع التربية آفاقاً بحثية عدة: أولاً، تعميم تجربة التطبيق على مديريات التربية في الولايات المجاورة (النعامة، الأغواط، البيض). ثانياً، ربط نظام المخزون بمنصة استدعاء إلكتروني للمؤسسات التعليمية للتخلص التام من الورق. ثالثاً، دراسة مقارنة بين مديريات التربية التي تعتمد الرقمنة وتلك التي لا تعتمدها لقياس الفجوة في الأداء.</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قائمة المراجع والمصادر</w:t>
      </w:r>
    </w:p>
    <w:p>
      <w:pPr>
        <w:spacing w:before="0" w:after="80"/>
      </w:pPr>
    </w:p>
    <w:p>
      <w:pPr>
        <w:bidi/>
        <w:spacing w:before="80" w:after="80" w:line="360" w:lineRule="auto"/>
        <w:jc w:val="right"/>
      </w:pPr>
      <w:r>
        <w:rPr>
          <w:rFonts w:ascii="Traditional Arabic" w:cs="Traditional Arabic" w:eastAsia="Traditional Arabic" w:hAnsi="Traditional Arabic"/>
          <w:b/>
          <w:bCs/>
          <w:color w:val="2E75B6"/>
          <w:sz w:val="28"/>
          <w:szCs w:val="28"/>
          <w:rtl/>
        </w:rPr>
        <w:t xml:space="preserve">أولاً: المراجع الوطنية</w:t>
      </w:r>
    </w:p>
    <w:p>
      <w:pPr>
        <w:spacing w:before="0" w:after="40"/>
      </w:pP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[01] وزارة التكوين والتعليم المهنيين الجزائرية. برنامج التكوين المهني: تسيير المخزونات واللوجستيك، الرمز TAG1801، محاور السداسيات I–IV. الجزائر: CNEPD، 2024.</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[02] وثائق مصلحة المخازن الداخلية: بطاقات المخزون، وصولات الاستلام والإخراج، سجلات الجرد 2024–2025. مديرية التربية لولاية البيض.</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[03] الإجراءات والتعليمات الوزارية المنظِّمة لتسيير المخازن في المؤسسات العمومية الجزائرية. وزارة المالية، مديرية المحاسبة العمومية، 2020.</w:t>
      </w:r>
    </w:p>
    <w:p>
      <w:pPr>
        <w:spacing w:before="0" w:after="80"/>
      </w:pPr>
    </w:p>
    <w:p>
      <w:pPr>
        <w:bidi/>
        <w:spacing w:before="80" w:after="80" w:line="360" w:lineRule="auto"/>
        <w:jc w:val="right"/>
      </w:pPr>
      <w:r>
        <w:rPr>
          <w:rFonts w:ascii="Traditional Arabic" w:cs="Traditional Arabic" w:eastAsia="Traditional Arabic" w:hAnsi="Traditional Arabic"/>
          <w:b/>
          <w:bCs/>
          <w:color w:val="2E75B6"/>
          <w:sz w:val="28"/>
          <w:szCs w:val="28"/>
          <w:rtl/>
        </w:rPr>
        <w:t xml:space="preserve">ثانياً: المراجع الأجنبية</w:t>
      </w:r>
    </w:p>
    <w:p>
      <w:pPr>
        <w:spacing w:before="0" w:after="40"/>
      </w:pPr>
    </w:p>
    <w:p>
      <w:pPr>
        <w:spacing w:before="60" w:after="60" w:line="360"/>
        <w:jc w:val="left"/>
      </w:pPr>
      <w:r>
        <w:rPr>
          <w:rFonts w:ascii="Times New Roman" w:cs="Times New Roman" w:eastAsia="Times New Roman" w:hAnsi="Times New Roman"/>
          <w:color w:val="1A1A1A"/>
          <w:sz w:val="24"/>
          <w:szCs w:val="24"/>
        </w:rPr>
        <w:t xml:space="preserve">[04] Richards, G. &amp; Grinsted, S. (2024). The Logistics and Supply Chain Toolkit (4th ed.). London: Kogan Page.</w:t>
      </w:r>
    </w:p>
    <w:p>
      <w:pPr>
        <w:spacing w:before="60" w:after="60" w:line="360"/>
        <w:jc w:val="left"/>
      </w:pPr>
      <w:r>
        <w:rPr>
          <w:rFonts w:ascii="Times New Roman" w:cs="Times New Roman" w:eastAsia="Times New Roman" w:hAnsi="Times New Roman"/>
          <w:color w:val="1A1A1A"/>
          <w:sz w:val="24"/>
          <w:szCs w:val="24"/>
        </w:rPr>
        <w:t xml:space="preserve">[05] Wahome, J.G. (2013). Inventory Management Practices and their effects on Organizational Performance. International Journal of Business and Management, 8(20).</w:t>
      </w:r>
    </w:p>
    <w:p>
      <w:pPr>
        <w:spacing w:before="60" w:after="60" w:line="360"/>
        <w:jc w:val="left"/>
      </w:pPr>
      <w:r>
        <w:rPr>
          <w:rFonts w:ascii="Times New Roman" w:cs="Times New Roman" w:eastAsia="Times New Roman" w:hAnsi="Times New Roman"/>
          <w:color w:val="1A1A1A"/>
          <w:sz w:val="24"/>
          <w:szCs w:val="24"/>
        </w:rPr>
        <w:t xml:space="preserve">[06] Faber, N., De Koster, R., &amp; Smidts, A. (2015). Organizing warehouse management. International Journal of Operations &amp; Production Management, 33(9), 1230–1256.</w:t>
      </w:r>
    </w:p>
    <w:p>
      <w:pPr>
        <w:spacing w:before="60" w:after="60" w:line="360"/>
        <w:jc w:val="left"/>
      </w:pPr>
      <w:r>
        <w:rPr>
          <w:rFonts w:ascii="Times New Roman" w:cs="Times New Roman" w:eastAsia="Times New Roman" w:hAnsi="Times New Roman"/>
          <w:color w:val="1A1A1A"/>
          <w:sz w:val="24"/>
          <w:szCs w:val="24"/>
        </w:rPr>
        <w:t xml:space="preserve">[07] Piasecki, D.J. (2021). Inventory Management Explained. Kenosha: Ops Publishing.</w:t>
      </w:r>
    </w:p>
    <w:p>
      <w:r>
        <w:br w:type="page"/>
      </w:r>
    </w:p>
    <w:p>
      <w:pPr>
        <w:pStyle w:val="Heading1"/>
        <w:pBdr>
          <w:bottom w:val="single" w:color="1F4E79" w:sz="10" w:space="4"/>
        </w:pBdr>
        <w:bidi/>
        <w:spacing w:before="560" w:after="280" w:line="360" w:lineRule="auto"/>
        <w:jc w:val="right"/>
      </w:pPr>
      <w:r>
        <w:rPr>
          <w:rFonts w:ascii="Traditional Arabic" w:cs="Traditional Arabic" w:eastAsia="Traditional Arabic" w:hAnsi="Traditional Arabic"/>
          <w:b/>
          <w:bCs/>
          <w:color w:val="1F4E79"/>
          <w:sz w:val="36"/>
          <w:szCs w:val="36"/>
          <w:rtl/>
        </w:rPr>
        <w:t xml:space="preserve">الملاحق</w:t>
      </w:r>
    </w:p>
    <w:p>
      <w:pPr>
        <w:spacing w:before="0" w:after="8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الملحق أ — استمارة اقتراح موضوع المذكرة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نسخة من الاستمارة الرسمية (استمارة_نهائية_v2) المقدَّمة لمعهد سعيدي عبد العاطي للتكوين المهني — البيض، موقَّعة من الطالب والمؤطر. الموضوع الأول المختار: «بناء نظام Mini ERP باستخدام Excel/VBA لأتمتة دورة الشراء والتخزين وتعزيز الجرد الدائم».</w:t>
      </w:r>
    </w:p>
    <w:p>
      <w:pPr>
        <w:spacing w:before="0" w:after="12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الملحق ب — هيكل ملف ERP_Academie_v4_optimise.xlsx</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لقطات شاشة موضوعة من الصفحات التسع: ACCUEIL — ARTICLES — FOURNISSEURS — MOUVEMENTS — DASHBOARD — INVENTAIRE — CALCULS_EOQ — HISTORIQUE — GUIDE، مع شرح مختصر لكل صفحة وأهم الصيغ المستخدمة فيها.</w:t>
      </w:r>
    </w:p>
    <w:p>
      <w:pPr>
        <w:spacing w:before="0" w:after="12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الملحق ج — نماذج الوثائق الإدارية المعتمدة</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نموذج وصل الاستلام المُستخدَم في مصلحة المخازن (Bon de Réception) — نموذج وصل الإخراج (Bon de Sortie) — بطاقة المخزون (Fiche de Stock) — نموذج طلب الشراء (Demande d'Achat).</w:t>
      </w:r>
    </w:p>
    <w:p>
      <w:pPr>
        <w:spacing w:before="0" w:after="12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الملحق د — نتائج تحليل ABC الميداني</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قائمة كاملة بالمواد المخزّنة مُرتَّبة تنازلياً حسب قيمة الاستهلاك السنوي، مع تصنيفها في الفئات A/B/C وتحديد إجراء المراقبة المناسب لكل فئة.</w:t>
      </w:r>
    </w:p>
    <w:p>
      <w:pPr>
        <w:spacing w:before="0" w:after="120"/>
      </w:pPr>
    </w:p>
    <w:p>
      <w:pPr>
        <w:pStyle w:val="Heading2"/>
        <w:bidi/>
        <w:spacing w:before="360" w:after="160" w:line="360" w:lineRule="auto"/>
        <w:jc w:val="right"/>
      </w:pPr>
      <w:r>
        <w:rPr>
          <w:rFonts w:ascii="Traditional Arabic" w:cs="Traditional Arabic" w:eastAsia="Traditional Arabic" w:hAnsi="Traditional Arabic"/>
          <w:b/>
          <w:bCs/>
          <w:color w:val="2E75B6"/>
          <w:sz w:val="32"/>
          <w:szCs w:val="32"/>
          <w:rtl/>
        </w:rPr>
        <w:t xml:space="preserve">الملحق هـ — كود VBA الرئيسي</w:t>
      </w:r>
    </w:p>
    <w:p>
      <w:pPr>
        <w:bidi/>
        <w:spacing w:before="80" w:after="80" w:line="360" w:lineRule="auto"/>
        <w:jc w:val="both"/>
      </w:pPr>
      <w:r>
        <w:rPr>
          <w:rFonts w:ascii="Traditional Arabic" w:cs="Traditional Arabic" w:eastAsia="Traditional Arabic" w:hAnsi="Traditional Arabic"/>
          <w:b w:val="false"/>
          <w:bCs w:val="false"/>
          <w:color w:val="1A1A1A"/>
          <w:sz w:val="28"/>
          <w:szCs w:val="28"/>
          <w:rtl/>
        </w:rPr>
        <w:t xml:space="preserve">مقتطف من الكود البرمجي للوظائف الثلاث الرئيسية: Ajouter_Mouvement، Verifier_Seuils، Generer_Rapport — مع شرح مختصر لكل إجراء وتسلسله المنطقي.</w:t>
      </w:r>
    </w:p>
    <w:sectPr>
      <w:footerReference w:type="default" r:id="rId7"/>
      <w:pgSz w:w="11906" w:h="16838" w:orient="portrait"/>
      <w:pgMar w:top="1418" w:right="1701" w:bottom="1418" w:left="141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space="2"/>
      </w:pBdr>
      <w:spacing w:before="80"/>
      <w:jc w:val="center"/>
    </w:pPr>
    <w:r>
      <w:rPr>
        <w:rFonts w:ascii="Traditional Arabic" w:cs="Traditional Arabic" w:eastAsia="Traditional Arabic" w:hAnsi="Traditional Arabic"/>
        <w:color w:val="55555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space="2"/>
      </w:pBdr>
      <w:spacing w:before="80"/>
      <w:jc w:val="center"/>
    </w:pPr>
    <w:r>
      <w:rPr>
        <w:rFonts w:ascii="Traditional Arabic" w:cs="Traditional Arabic" w:eastAsia="Traditional Arabic" w:hAnsi="Traditional Arabic"/>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A1A1A"/>
        <w:sz w:val="28"/>
        <w:szCs w:val="28"/>
        <w:rtl/>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line="360"/>
      <w:jc w:val="right"/>
      <w:outlineLvl w:val="0"/>
    </w:pPr>
    <w:rPr>
      <w:rFonts w:ascii="Traditional Arabic" w:cs="Traditional Arabic" w:eastAsia="Traditional Arabic" w:hAnsi="Traditional Arabic"/>
      <w:b/>
      <w:bCs/>
      <w:color w:val="1F4E79"/>
      <w:sz w:val="36"/>
      <w:szCs w:val="36"/>
    </w:rPr>
  </w:style>
  <w:style w:type="paragraph" w:styleId="Heading2">
    <w:name w:val="Heading 2"/>
    <w:basedOn w:val="Normal"/>
    <w:next w:val="Normal"/>
    <w:qFormat/>
    <w:pPr>
      <w:spacing w:before="360" w:after="160" w:line="360"/>
      <w:jc w:val="right"/>
      <w:outlineLvl w:val="1"/>
    </w:pPr>
    <w:rPr>
      <w:rFonts w:ascii="Traditional Arabic" w:cs="Traditional Arabic" w:eastAsia="Traditional Arabic" w:hAnsi="Traditional Arabic"/>
      <w:b/>
      <w:bCs/>
      <w:color w:val="2E75B6"/>
      <w:sz w:val="32"/>
      <w:szCs w:val="32"/>
    </w:rPr>
  </w:style>
  <w:style w:type="paragraph" w:styleId="Heading3">
    <w:name w:val="Heading 3"/>
    <w:basedOn w:val="Normal"/>
    <w:next w:val="Normal"/>
    <w:qFormat/>
    <w:pPr>
      <w:spacing w:before="240" w:after="80" w:line="360"/>
      <w:jc w:val="right"/>
      <w:outlineLvl w:val="2"/>
    </w:pPr>
    <w:rPr>
      <w:rFonts w:ascii="Traditional Arabic" w:cs="Traditional Arabic" w:eastAsia="Traditional Arabic" w:hAnsi="Traditional Arabic"/>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2026-03-22T20:39:15.002Z</dcterms:created>
  <dcterms:modified xsi:type="dcterms:W3CDTF">2026-03-22T20:39:15.003Z</dcterms:modified>
</cp:coreProperties>
</file>

<file path=docProps/custom.xml><?xml version="1.0" encoding="utf-8"?>
<Properties xmlns="http://schemas.openxmlformats.org/officeDocument/2006/custom-properties" xmlns:vt="http://schemas.openxmlformats.org/officeDocument/2006/docPropsVTypes"/>
</file>