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color w:val="C00000"/>
          <w:sz w:val="18"/>
        </w:rPr>
        <w:t>[ استبدال المقطع 3.3 — قيم معدَّلة بناءً على بيانات الحركات الفعلية — ERP_Academie_v5_OPTIMIZED ]</w:t>
      </w:r>
    </w:p>
    <w:p/>
    <w:p>
      <w:pPr>
        <w:pStyle w:val="Heading3"/>
        <w:jc w:val="right"/>
      </w:pPr>
      <w:r>
        <w:rPr>
          <w:color w:val="1F3864"/>
          <w:sz w:val="22"/>
        </w:rPr>
        <w:t>3.3  تطبيق نموذج ويلسون على مادة رزم الورق A4 (معطيات ميدانية فعلية)</w:t>
      </w:r>
    </w:p>
    <w:p>
      <w:pPr>
        <w:spacing w:after="120"/>
        <w:jc w:val="right"/>
        <w:bidi/>
      </w:pPr>
      <w:r>
        <w:rPr>
          <w:rFonts w:ascii="Times New Roman" w:hAnsi="Times New Roman"/>
          <w:b w:val="0"/>
          <w:i w:val="0"/>
          <w:sz w:val="22"/>
        </w:rPr>
        <w:t>تُعدّ رزم الورق A4 (ART-001) المادةَ الأعلى استهلاكاً في مخزن مديرية التربية، إذ سُجّلت خلال فترة المراقبة الممتدة من 01 فيفري إلى 22 مارس 2026 (50 يوم عمل) 230 رزمة مُخرَجة عبر وصولات الإخراج BS-001 و BS-002 و BS-005. وبتحويل هذه القيمة إلى طلب سنوي بافتراض 250 يوم عمل في السنة، يُنتَج الطلب السنوي المُقدَّر D.</w:t>
      </w:r>
    </w:p>
    <w:p>
      <w:pPr>
        <w:spacing w:after="120"/>
        <w:jc w:val="right"/>
        <w:bidi/>
      </w:pPr>
      <w:r>
        <w:rPr>
          <w:rFonts w:ascii="Times New Roman" w:hAnsi="Times New Roman"/>
          <w:b w:val="0"/>
          <w:i w:val="0"/>
          <w:sz w:val="22"/>
        </w:rPr>
        <w:t>ملاحظة منهجية: في غياب سجل استهلاك سنوي كامل ناتج عن النظام اليدوي القديم، اعتُمدت القاعدة الإحصائية للاستقراء النسبي (extrapolation proportionnelle) وهي الأسلوب المعياري المُوصى به في أدبيات إدارة المخزون (Piasecki, 2021) عند استخدام بيانات فترة زمنية محدودة كنقطة انطلاق لحساب المعاملات.</w:t>
      </w:r>
    </w:p>
    <w:p>
      <w:pPr>
        <w:spacing w:after="120"/>
        <w:jc w:val="right"/>
        <w:bidi/>
      </w:pPr>
      <w:r>
        <w:rPr>
          <w:rFonts w:ascii="Times New Roman" w:hAnsi="Times New Roman"/>
          <w:b/>
          <w:i w:val="0"/>
          <w:sz w:val="22"/>
        </w:rPr>
        <w:t>الجدول رقم 05 — معاملات نموذج ويلسون المُدخَلة في النظام (ERP_Academie_v5):</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F3864" w:val="clear"/>
          </w:tcPr>
          <w:p>
            <w:pPr>
              <w:jc w:val="center"/>
            </w:pPr>
            <w:r>
              <w:rPr>
                <w:b/>
                <w:color w:val="FFFFFF"/>
                <w:sz w:val="20"/>
              </w:rPr>
              <w:t>المعامل</w:t>
            </w:r>
          </w:p>
        </w:tc>
        <w:tc>
          <w:tcPr>
            <w:tcW w:type="dxa" w:w="3041"/>
            <w:shd w:fill="1F3864" w:val="clear"/>
          </w:tcPr>
          <w:p>
            <w:pPr>
              <w:jc w:val="center"/>
            </w:pPr>
            <w:r>
              <w:rPr>
                <w:b/>
                <w:color w:val="FFFFFF"/>
                <w:sz w:val="20"/>
              </w:rPr>
              <w:t>القيمة المدخَلة</w:t>
            </w:r>
          </w:p>
        </w:tc>
        <w:tc>
          <w:tcPr>
            <w:tcW w:type="dxa" w:w="3041"/>
            <w:shd w:fill="1F3864" w:val="clear"/>
          </w:tcPr>
          <w:p>
            <w:pPr>
              <w:jc w:val="center"/>
            </w:pPr>
            <w:r>
              <w:rPr>
                <w:b/>
                <w:color w:val="FFFFFF"/>
                <w:sz w:val="20"/>
              </w:rPr>
              <w:t>المصدر</w:t>
            </w:r>
          </w:p>
        </w:tc>
      </w:tr>
      <w:tr>
        <w:tc>
          <w:tcPr>
            <w:tcW w:type="dxa" w:w="3041"/>
            <w:shd w:fill="DEEAF1" w:val="clear"/>
          </w:tcPr>
          <w:p>
            <w:pPr>
              <w:jc w:val="center"/>
            </w:pPr>
            <w:r>
              <w:rPr>
                <w:rFonts w:ascii="Times New Roman" w:hAnsi="Times New Roman"/>
                <w:sz w:val="20"/>
              </w:rPr>
              <w:t>الطلب السنوي (D)</w:t>
            </w:r>
          </w:p>
        </w:tc>
        <w:tc>
          <w:tcPr>
            <w:tcW w:type="dxa" w:w="3041"/>
            <w:shd w:fill="DEEAF1" w:val="clear"/>
          </w:tcPr>
          <w:p>
            <w:pPr>
              <w:jc w:val="center"/>
            </w:pPr>
            <w:r>
              <w:rPr>
                <w:rFonts w:ascii="Times New Roman" w:hAnsi="Times New Roman"/>
                <w:sz w:val="20"/>
              </w:rPr>
              <w:t>1 150 رزمة/سنة</w:t>
            </w:r>
          </w:p>
        </w:tc>
        <w:tc>
          <w:tcPr>
            <w:tcW w:type="dxa" w:w="3041"/>
            <w:shd w:fill="DEEAF1" w:val="clear"/>
          </w:tcPr>
          <w:p>
            <w:pPr>
              <w:jc w:val="right"/>
            </w:pPr>
            <w:r>
              <w:rPr>
                <w:rFonts w:ascii="Times New Roman" w:hAnsi="Times New Roman"/>
                <w:sz w:val="20"/>
              </w:rPr>
              <w:t>230 إخراج × (250÷50) — استقراء من بيانات v5</w:t>
            </w:r>
          </w:p>
        </w:tc>
      </w:tr>
      <w:tr>
        <w:tc>
          <w:tcPr>
            <w:tcW w:type="dxa" w:w="3041"/>
            <w:shd w:fill="DEEAF1" w:val="clear"/>
          </w:tcPr>
          <w:p>
            <w:pPr>
              <w:jc w:val="center"/>
            </w:pPr>
            <w:r>
              <w:rPr>
                <w:rFonts w:ascii="Times New Roman" w:hAnsi="Times New Roman"/>
                <w:sz w:val="20"/>
              </w:rPr>
              <w:t>تكلفة الطلبية (CL)</w:t>
            </w:r>
          </w:p>
        </w:tc>
        <w:tc>
          <w:tcPr>
            <w:tcW w:type="dxa" w:w="3041"/>
            <w:shd w:fill="DEEAF1" w:val="clear"/>
          </w:tcPr>
          <w:p>
            <w:pPr>
              <w:jc w:val="center"/>
            </w:pPr>
            <w:r>
              <w:rPr>
                <w:rFonts w:ascii="Times New Roman" w:hAnsi="Times New Roman"/>
                <w:sz w:val="20"/>
              </w:rPr>
              <w:t>50 دج/طلبية</w:t>
            </w:r>
          </w:p>
        </w:tc>
        <w:tc>
          <w:tcPr>
            <w:tcW w:type="dxa" w:w="3041"/>
            <w:shd w:fill="DEEAF1" w:val="clear"/>
          </w:tcPr>
          <w:p>
            <w:pPr>
              <w:jc w:val="right"/>
            </w:pPr>
            <w:r>
              <w:rPr>
                <w:rFonts w:ascii="Times New Roman" w:hAnsi="Times New Roman"/>
                <w:sz w:val="20"/>
              </w:rPr>
              <w:t>تقدير إداري معياري</w:t>
            </w:r>
          </w:p>
        </w:tc>
      </w:tr>
      <w:tr>
        <w:tc>
          <w:tcPr>
            <w:tcW w:type="dxa" w:w="3041"/>
            <w:shd w:fill="DEEAF1" w:val="clear"/>
          </w:tcPr>
          <w:p>
            <w:pPr>
              <w:jc w:val="center"/>
            </w:pPr>
            <w:r>
              <w:rPr>
                <w:rFonts w:ascii="Times New Roman" w:hAnsi="Times New Roman"/>
                <w:sz w:val="20"/>
              </w:rPr>
              <w:t>السعر الوحدوي (PU)</w:t>
            </w:r>
          </w:p>
        </w:tc>
        <w:tc>
          <w:tcPr>
            <w:tcW w:type="dxa" w:w="3041"/>
            <w:shd w:fill="DEEAF1" w:val="clear"/>
          </w:tcPr>
          <w:p>
            <w:pPr>
              <w:jc w:val="center"/>
            </w:pPr>
            <w:r>
              <w:rPr>
                <w:rFonts w:ascii="Times New Roman" w:hAnsi="Times New Roman"/>
                <w:sz w:val="20"/>
              </w:rPr>
              <w:t>180 دج/رزمة</w:t>
            </w:r>
          </w:p>
        </w:tc>
        <w:tc>
          <w:tcPr>
            <w:tcW w:type="dxa" w:w="3041"/>
            <w:shd w:fill="DEEAF1" w:val="clear"/>
          </w:tcPr>
          <w:p>
            <w:pPr>
              <w:jc w:val="right"/>
            </w:pPr>
            <w:r>
              <w:rPr>
                <w:rFonts w:ascii="Times New Roman" w:hAnsi="Times New Roman"/>
                <w:sz w:val="20"/>
              </w:rPr>
              <w:t>آخر سعر شراء مسجَّل — BR-004</w:t>
            </w:r>
          </w:p>
        </w:tc>
      </w:tr>
      <w:tr>
        <w:tc>
          <w:tcPr>
            <w:tcW w:type="dxa" w:w="3041"/>
            <w:shd w:fill="DEEAF1" w:val="clear"/>
          </w:tcPr>
          <w:p>
            <w:pPr>
              <w:jc w:val="center"/>
            </w:pPr>
            <w:r>
              <w:rPr>
                <w:rFonts w:ascii="Times New Roman" w:hAnsi="Times New Roman"/>
                <w:sz w:val="20"/>
              </w:rPr>
              <w:t>معدل الاحتفاظ (t)</w:t>
            </w:r>
          </w:p>
        </w:tc>
        <w:tc>
          <w:tcPr>
            <w:tcW w:type="dxa" w:w="3041"/>
            <w:shd w:fill="DEEAF1" w:val="clear"/>
          </w:tcPr>
          <w:p>
            <w:pPr>
              <w:jc w:val="center"/>
            </w:pPr>
            <w:r>
              <w:rPr>
                <w:rFonts w:ascii="Times New Roman" w:hAnsi="Times New Roman"/>
                <w:sz w:val="20"/>
              </w:rPr>
              <w:t>20% = 36 دج/رزمة/سنة</w:t>
            </w:r>
          </w:p>
        </w:tc>
        <w:tc>
          <w:tcPr>
            <w:tcW w:type="dxa" w:w="3041"/>
            <w:shd w:fill="DEEAF1" w:val="clear"/>
          </w:tcPr>
          <w:p>
            <w:pPr>
              <w:jc w:val="right"/>
            </w:pPr>
            <w:r>
              <w:rPr>
                <w:rFonts w:ascii="Times New Roman" w:hAnsi="Times New Roman"/>
                <w:sz w:val="20"/>
              </w:rPr>
              <w:t>المعدل المعياري للمؤسسات العمومية</w:t>
            </w:r>
          </w:p>
        </w:tc>
      </w:tr>
      <w:tr>
        <w:tc>
          <w:tcPr>
            <w:tcW w:type="dxa" w:w="3041"/>
            <w:shd w:fill="DEEAF1" w:val="clear"/>
          </w:tcPr>
          <w:p>
            <w:pPr>
              <w:jc w:val="center"/>
            </w:pPr>
            <w:r>
              <w:rPr>
                <w:rFonts w:ascii="Times New Roman" w:hAnsi="Times New Roman"/>
                <w:sz w:val="20"/>
              </w:rPr>
              <w:t>مخزون الأمان (SS)</w:t>
            </w:r>
          </w:p>
        </w:tc>
        <w:tc>
          <w:tcPr>
            <w:tcW w:type="dxa" w:w="3041"/>
            <w:shd w:fill="DEEAF1" w:val="clear"/>
          </w:tcPr>
          <w:p>
            <w:pPr>
              <w:jc w:val="center"/>
            </w:pPr>
            <w:r>
              <w:rPr>
                <w:rFonts w:ascii="Times New Roman" w:hAnsi="Times New Roman"/>
                <w:sz w:val="20"/>
              </w:rPr>
              <w:t>400 رزمة</w:t>
            </w:r>
          </w:p>
        </w:tc>
        <w:tc>
          <w:tcPr>
            <w:tcW w:type="dxa" w:w="3041"/>
            <w:shd w:fill="DEEAF1" w:val="clear"/>
          </w:tcPr>
          <w:p>
            <w:pPr>
              <w:jc w:val="right"/>
            </w:pPr>
            <w:r>
              <w:rPr>
                <w:rFonts w:ascii="Times New Roman" w:hAnsi="Times New Roman"/>
                <w:sz w:val="20"/>
              </w:rPr>
              <w:t>= الحد الأدنى للمادة ART-001 في ARTICLES</w:t>
            </w:r>
          </w:p>
        </w:tc>
      </w:tr>
      <w:tr>
        <w:tc>
          <w:tcPr>
            <w:tcW w:type="dxa" w:w="3041"/>
            <w:shd w:fill="DEEAF1" w:val="clear"/>
          </w:tcPr>
          <w:p>
            <w:pPr>
              <w:jc w:val="center"/>
            </w:pPr>
            <w:r>
              <w:rPr>
                <w:rFonts w:ascii="Times New Roman" w:hAnsi="Times New Roman"/>
                <w:sz w:val="20"/>
              </w:rPr>
              <w:t>أجل التسليم (LT)</w:t>
            </w:r>
          </w:p>
        </w:tc>
        <w:tc>
          <w:tcPr>
            <w:tcW w:type="dxa" w:w="3041"/>
            <w:shd w:fill="DEEAF1" w:val="clear"/>
          </w:tcPr>
          <w:p>
            <w:pPr>
              <w:jc w:val="center"/>
            </w:pPr>
            <w:r>
              <w:rPr>
                <w:rFonts w:ascii="Times New Roman" w:hAnsi="Times New Roman"/>
                <w:sz w:val="20"/>
              </w:rPr>
              <w:t>2 يوم</w:t>
            </w:r>
          </w:p>
        </w:tc>
        <w:tc>
          <w:tcPr>
            <w:tcW w:type="dxa" w:w="3041"/>
            <w:shd w:fill="DEEAF1" w:val="clear"/>
          </w:tcPr>
          <w:p>
            <w:pPr>
              <w:jc w:val="right"/>
            </w:pPr>
            <w:r>
              <w:rPr>
                <w:rFonts w:ascii="Times New Roman" w:hAnsi="Times New Roman"/>
                <w:sz w:val="20"/>
              </w:rPr>
              <w:t>من وهران — وسيلة النقل البري</w:t>
            </w:r>
          </w:p>
        </w:tc>
      </w:tr>
    </w:tbl>
    <w:p/>
    <w:p>
      <w:pPr>
        <w:spacing w:after="120"/>
        <w:jc w:val="right"/>
        <w:bidi/>
      </w:pPr>
      <w:r>
        <w:rPr>
          <w:rFonts w:ascii="Times New Roman" w:hAnsi="Times New Roman"/>
          <w:b/>
          <w:i w:val="0"/>
          <w:sz w:val="22"/>
        </w:rPr>
        <w:t>حساب الكمية الاقتصادية EOQ وفق صيغة ويلسون:</w:t>
      </w:r>
    </w:p>
    <w:p>
      <w:pPr>
        <w:spacing w:after="80"/>
        <w:jc w:val="center"/>
      </w:pPr>
      <w:r>
        <w:rPr>
          <w:rFonts w:ascii="Times New Roman" w:hAnsi="Times New Roman"/>
          <w:b/>
          <w:sz w:val="22"/>
        </w:rPr>
        <w:t>Qe = √(2 × D × CL) ÷ (t × PU)</w:t>
      </w:r>
    </w:p>
    <w:p>
      <w:pPr>
        <w:spacing w:after="80"/>
        <w:jc w:val="center"/>
      </w:pPr>
      <w:r>
        <w:rPr>
          <w:rFonts w:ascii="Times New Roman" w:hAnsi="Times New Roman"/>
          <w:b/>
          <w:sz w:val="22"/>
        </w:rPr>
        <w:t>Qe = √(2 × 1 150 × 50) ÷ 36</w:t>
      </w:r>
    </w:p>
    <w:p>
      <w:pPr>
        <w:spacing w:after="80"/>
        <w:jc w:val="center"/>
      </w:pPr>
      <w:r>
        <w:rPr>
          <w:rFonts w:ascii="Times New Roman" w:hAnsi="Times New Roman"/>
          <w:b/>
          <w:sz w:val="22"/>
        </w:rPr>
        <w:t>Qe = √(115 000 ÷ 36)</w:t>
      </w:r>
    </w:p>
    <w:p>
      <w:pPr>
        <w:spacing w:after="80"/>
        <w:jc w:val="center"/>
      </w:pPr>
      <w:r>
        <w:rPr>
          <w:rFonts w:ascii="Times New Roman" w:hAnsi="Times New Roman"/>
          <w:b/>
          <w:sz w:val="22"/>
        </w:rPr>
        <w:t>Qe = √3 194  ≈  57 رزمة</w:t>
      </w:r>
    </w:p>
    <w:p/>
    <w:p>
      <w:pPr>
        <w:spacing w:after="120"/>
        <w:jc w:val="right"/>
        <w:bidi/>
      </w:pPr>
      <w:r>
        <w:rPr>
          <w:rFonts w:ascii="Times New Roman" w:hAnsi="Times New Roman"/>
          <w:b/>
          <w:i w:val="0"/>
          <w:sz w:val="22"/>
        </w:rPr>
        <w:t>الاستنتاجات المُشتَقّة من EOQ:</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E75B6" w:val="clear"/>
          </w:tcPr>
          <w:p>
            <w:pPr>
              <w:jc w:val="center"/>
            </w:pPr>
            <w:r>
              <w:rPr>
                <w:b/>
                <w:color w:val="FFFFFF"/>
                <w:sz w:val="20"/>
              </w:rPr>
              <w:t>المؤشر</w:t>
            </w:r>
          </w:p>
        </w:tc>
        <w:tc>
          <w:tcPr>
            <w:tcW w:type="dxa" w:w="3041"/>
            <w:shd w:fill="2E75B6" w:val="clear"/>
          </w:tcPr>
          <w:p>
            <w:pPr>
              <w:jc w:val="center"/>
            </w:pPr>
            <w:r>
              <w:rPr>
                <w:b/>
                <w:color w:val="FFFFFF"/>
                <w:sz w:val="20"/>
              </w:rPr>
              <w:t>القيمة المحسوبة</w:t>
            </w:r>
          </w:p>
        </w:tc>
        <w:tc>
          <w:tcPr>
            <w:tcW w:type="dxa" w:w="3041"/>
            <w:shd w:fill="2E75B6" w:val="clear"/>
          </w:tcPr>
          <w:p>
            <w:pPr>
              <w:jc w:val="center"/>
            </w:pPr>
            <w:r>
              <w:rPr>
                <w:b/>
                <w:color w:val="FFFFFF"/>
                <w:sz w:val="20"/>
              </w:rPr>
              <w:t>التفسير</w:t>
            </w:r>
          </w:p>
        </w:tc>
      </w:tr>
      <w:tr>
        <w:tc>
          <w:tcPr>
            <w:tcW w:type="dxa" w:w="3041"/>
            <w:shd w:fill="E2EFDA" w:val="clear"/>
          </w:tcPr>
          <w:p>
            <w:pPr>
              <w:jc w:val="center"/>
            </w:pPr>
            <w:r>
              <w:rPr>
                <w:rFonts w:ascii="Times New Roman" w:hAnsi="Times New Roman"/>
                <w:b w:val="0"/>
                <w:sz w:val="20"/>
              </w:rPr>
              <w:t>EOQ — الكمية الاقتصادية</w:t>
            </w:r>
          </w:p>
        </w:tc>
        <w:tc>
          <w:tcPr>
            <w:tcW w:type="dxa" w:w="3041"/>
            <w:shd w:fill="E2EFDA" w:val="clear"/>
          </w:tcPr>
          <w:p>
            <w:pPr>
              <w:jc w:val="center"/>
            </w:pPr>
            <w:r>
              <w:rPr>
                <w:rFonts w:ascii="Times New Roman" w:hAnsi="Times New Roman"/>
                <w:b w:val="0"/>
                <w:sz w:val="20"/>
              </w:rPr>
              <w:t>57 رزمة</w:t>
            </w:r>
          </w:p>
        </w:tc>
        <w:tc>
          <w:tcPr>
            <w:tcW w:type="dxa" w:w="3041"/>
            <w:shd w:fill="E2EFDA" w:val="clear"/>
          </w:tcPr>
          <w:p>
            <w:pPr>
              <w:jc w:val="right"/>
            </w:pPr>
            <w:r>
              <w:rPr>
                <w:rFonts w:ascii="Times New Roman" w:hAnsi="Times New Roman"/>
                <w:b w:val="0"/>
                <w:sz w:val="20"/>
              </w:rPr>
              <w:t>الكمية المثلى لكل طلبية لتدنية CVT</w:t>
            </w:r>
          </w:p>
        </w:tc>
      </w:tr>
      <w:tr>
        <w:tc>
          <w:tcPr>
            <w:tcW w:type="dxa" w:w="3041"/>
            <w:shd w:fill="E2EFDA" w:val="clear"/>
          </w:tcPr>
          <w:p>
            <w:pPr>
              <w:jc w:val="center"/>
            </w:pPr>
            <w:r>
              <w:rPr>
                <w:rFonts w:ascii="Times New Roman" w:hAnsi="Times New Roman"/>
                <w:b w:val="0"/>
                <w:sz w:val="20"/>
              </w:rPr>
              <w:t>N — عدد الطلبيات السنوية</w:t>
            </w:r>
          </w:p>
        </w:tc>
        <w:tc>
          <w:tcPr>
            <w:tcW w:type="dxa" w:w="3041"/>
            <w:shd w:fill="E2EFDA" w:val="clear"/>
          </w:tcPr>
          <w:p>
            <w:pPr>
              <w:jc w:val="center"/>
            </w:pPr>
            <w:r>
              <w:rPr>
                <w:rFonts w:ascii="Times New Roman" w:hAnsi="Times New Roman"/>
                <w:b w:val="0"/>
                <w:sz w:val="20"/>
              </w:rPr>
              <w:t>1 150 ÷ 57 ≈ 20 طلبية/سنة</w:t>
            </w:r>
          </w:p>
        </w:tc>
        <w:tc>
          <w:tcPr>
            <w:tcW w:type="dxa" w:w="3041"/>
            <w:shd w:fill="E2EFDA" w:val="clear"/>
          </w:tcPr>
          <w:p>
            <w:pPr>
              <w:jc w:val="right"/>
            </w:pPr>
            <w:r>
              <w:rPr>
                <w:rFonts w:ascii="Times New Roman" w:hAnsi="Times New Roman"/>
                <w:b w:val="0"/>
                <w:sz w:val="20"/>
              </w:rPr>
              <w:t>أي طلبية واحدة كل ~12 يوم عمل</w:t>
            </w:r>
          </w:p>
        </w:tc>
      </w:tr>
      <w:tr>
        <w:tc>
          <w:tcPr>
            <w:tcW w:type="dxa" w:w="3041"/>
            <w:shd w:fill="E2EFDA" w:val="clear"/>
          </w:tcPr>
          <w:p>
            <w:pPr>
              <w:jc w:val="center"/>
            </w:pPr>
            <w:r>
              <w:rPr>
                <w:rFonts w:ascii="Times New Roman" w:hAnsi="Times New Roman"/>
                <w:b w:val="0"/>
                <w:sz w:val="20"/>
              </w:rPr>
              <w:t>CMJ — الاستهلاك اليومي</w:t>
            </w:r>
          </w:p>
        </w:tc>
        <w:tc>
          <w:tcPr>
            <w:tcW w:type="dxa" w:w="3041"/>
            <w:shd w:fill="E2EFDA" w:val="clear"/>
          </w:tcPr>
          <w:p>
            <w:pPr>
              <w:jc w:val="center"/>
            </w:pPr>
            <w:r>
              <w:rPr>
                <w:rFonts w:ascii="Times New Roman" w:hAnsi="Times New Roman"/>
                <w:b w:val="0"/>
                <w:sz w:val="20"/>
              </w:rPr>
              <w:t>230 ÷ 50 = 4.6 رزمة/يوم</w:t>
            </w:r>
          </w:p>
        </w:tc>
        <w:tc>
          <w:tcPr>
            <w:tcW w:type="dxa" w:w="3041"/>
            <w:shd w:fill="E2EFDA" w:val="clear"/>
          </w:tcPr>
          <w:p>
            <w:pPr>
              <w:jc w:val="right"/>
            </w:pPr>
            <w:r>
              <w:rPr>
                <w:rFonts w:ascii="Times New Roman" w:hAnsi="Times New Roman"/>
                <w:b w:val="0"/>
                <w:sz w:val="20"/>
              </w:rPr>
              <w:t>متوسط فيفري–مارس 2026</w:t>
            </w:r>
          </w:p>
        </w:tc>
      </w:tr>
      <w:tr>
        <w:tc>
          <w:tcPr>
            <w:tcW w:type="dxa" w:w="3041"/>
            <w:shd w:fill="FFF2CC" w:val="clear"/>
          </w:tcPr>
          <w:p>
            <w:pPr>
              <w:jc w:val="center"/>
            </w:pPr>
            <w:r>
              <w:rPr>
                <w:rFonts w:ascii="Times New Roman" w:hAnsi="Times New Roman"/>
                <w:b/>
                <w:sz w:val="20"/>
              </w:rPr>
              <w:t>ROP — نقطة إعادة الطلب</w:t>
            </w:r>
          </w:p>
        </w:tc>
        <w:tc>
          <w:tcPr>
            <w:tcW w:type="dxa" w:w="3041"/>
            <w:shd w:fill="FFF2CC" w:val="clear"/>
          </w:tcPr>
          <w:p>
            <w:pPr>
              <w:jc w:val="center"/>
            </w:pPr>
            <w:r>
              <w:rPr>
                <w:rFonts w:ascii="Times New Roman" w:hAnsi="Times New Roman"/>
                <w:b/>
                <w:sz w:val="20"/>
              </w:rPr>
              <w:t>400 + (4.6 × 2) = 409 ≈ 410 رزمة</w:t>
            </w:r>
          </w:p>
        </w:tc>
        <w:tc>
          <w:tcPr>
            <w:tcW w:type="dxa" w:w="3041"/>
            <w:shd w:fill="FFF2CC" w:val="clear"/>
          </w:tcPr>
          <w:p>
            <w:pPr>
              <w:jc w:val="right"/>
            </w:pPr>
            <w:r>
              <w:rPr>
                <w:rFonts w:ascii="Times New Roman" w:hAnsi="Times New Roman"/>
                <w:b w:val="0"/>
                <w:sz w:val="20"/>
              </w:rPr>
              <w:t>عند بلوغ 410 رزمة: أصدِر أمر شراء فوراً</w:t>
            </w:r>
          </w:p>
        </w:tc>
      </w:tr>
      <w:tr>
        <w:tc>
          <w:tcPr>
            <w:tcW w:type="dxa" w:w="3041"/>
            <w:shd w:fill="E2EFDA" w:val="clear"/>
          </w:tcPr>
          <w:p>
            <w:pPr>
              <w:jc w:val="center"/>
            </w:pPr>
            <w:r>
              <w:rPr>
                <w:rFonts w:ascii="Times New Roman" w:hAnsi="Times New Roman"/>
                <w:b w:val="0"/>
                <w:sz w:val="20"/>
              </w:rPr>
              <w:t>Cp — تكلفة الطلبيات السنوية</w:t>
            </w:r>
          </w:p>
        </w:tc>
        <w:tc>
          <w:tcPr>
            <w:tcW w:type="dxa" w:w="3041"/>
            <w:shd w:fill="E2EFDA" w:val="clear"/>
          </w:tcPr>
          <w:p>
            <w:pPr>
              <w:jc w:val="center"/>
            </w:pPr>
            <w:r>
              <w:rPr>
                <w:rFonts w:ascii="Times New Roman" w:hAnsi="Times New Roman"/>
                <w:b w:val="0"/>
                <w:sz w:val="20"/>
              </w:rPr>
              <w:t>(1 150 ÷ 57) × 50 ≈ 1 009 دج/سنة</w:t>
            </w:r>
          </w:p>
        </w:tc>
        <w:tc>
          <w:tcPr>
            <w:tcW w:type="dxa" w:w="3041"/>
            <w:shd w:fill="E2EFDA" w:val="clear"/>
          </w:tcPr>
          <w:p>
            <w:pPr>
              <w:jc w:val="right"/>
            </w:pPr>
            <w:r>
              <w:rPr>
                <w:rFonts w:ascii="Times New Roman" w:hAnsi="Times New Roman"/>
                <w:b w:val="0"/>
                <w:sz w:val="20"/>
              </w:rPr>
              <w:t>تكلفة إصدار جميع الطلبيات</w:t>
            </w:r>
          </w:p>
        </w:tc>
      </w:tr>
      <w:tr>
        <w:tc>
          <w:tcPr>
            <w:tcW w:type="dxa" w:w="3041"/>
            <w:shd w:fill="E2EFDA" w:val="clear"/>
          </w:tcPr>
          <w:p>
            <w:pPr>
              <w:jc w:val="center"/>
            </w:pPr>
            <w:r>
              <w:rPr>
                <w:rFonts w:ascii="Times New Roman" w:hAnsi="Times New Roman"/>
                <w:b w:val="0"/>
                <w:sz w:val="20"/>
              </w:rPr>
              <w:t>Cd — تكلفة الاحتفاظ السنوية</w:t>
            </w:r>
          </w:p>
        </w:tc>
        <w:tc>
          <w:tcPr>
            <w:tcW w:type="dxa" w:w="3041"/>
            <w:shd w:fill="E2EFDA" w:val="clear"/>
          </w:tcPr>
          <w:p>
            <w:pPr>
              <w:jc w:val="center"/>
            </w:pPr>
            <w:r>
              <w:rPr>
                <w:rFonts w:ascii="Times New Roman" w:hAnsi="Times New Roman"/>
                <w:b w:val="0"/>
                <w:sz w:val="20"/>
              </w:rPr>
              <w:t>(57÷2 + 400) × 36 ≈ 15 426 دج/سنة</w:t>
            </w:r>
          </w:p>
        </w:tc>
        <w:tc>
          <w:tcPr>
            <w:tcW w:type="dxa" w:w="3041"/>
            <w:shd w:fill="E2EFDA" w:val="clear"/>
          </w:tcPr>
          <w:p>
            <w:pPr>
              <w:jc w:val="right"/>
            </w:pPr>
            <w:r>
              <w:rPr>
                <w:rFonts w:ascii="Times New Roman" w:hAnsi="Times New Roman"/>
                <w:b w:val="0"/>
                <w:sz w:val="20"/>
              </w:rPr>
              <w:t>الحيازة والتخزين</w:t>
            </w:r>
          </w:p>
        </w:tc>
      </w:tr>
      <w:tr>
        <w:tc>
          <w:tcPr>
            <w:tcW w:type="dxa" w:w="3041"/>
            <w:shd w:fill="FFF2CC" w:val="clear"/>
          </w:tcPr>
          <w:p>
            <w:pPr>
              <w:jc w:val="center"/>
            </w:pPr>
            <w:r>
              <w:rPr>
                <w:rFonts w:ascii="Times New Roman" w:hAnsi="Times New Roman"/>
                <w:b/>
                <w:sz w:val="20"/>
              </w:rPr>
              <w:t>CVT — إجمالي التكاليف المتغيرة</w:t>
            </w:r>
          </w:p>
        </w:tc>
        <w:tc>
          <w:tcPr>
            <w:tcW w:type="dxa" w:w="3041"/>
            <w:shd w:fill="FFF2CC" w:val="clear"/>
          </w:tcPr>
          <w:p>
            <w:pPr>
              <w:jc w:val="center"/>
            </w:pPr>
            <w:r>
              <w:rPr>
                <w:rFonts w:ascii="Times New Roman" w:hAnsi="Times New Roman"/>
                <w:b/>
                <w:sz w:val="20"/>
              </w:rPr>
              <w:t>1 009 + 15 426 = 16 435 دج/سنة</w:t>
            </w:r>
          </w:p>
        </w:tc>
        <w:tc>
          <w:tcPr>
            <w:tcW w:type="dxa" w:w="3041"/>
            <w:shd w:fill="FFF2CC" w:val="clear"/>
          </w:tcPr>
          <w:p>
            <w:pPr>
              <w:jc w:val="right"/>
            </w:pPr>
            <w:r>
              <w:rPr>
                <w:rFonts w:ascii="Times New Roman" w:hAnsi="Times New Roman"/>
                <w:b w:val="0"/>
                <w:sz w:val="20"/>
              </w:rPr>
              <w:t>← مُدنَّى عند EOQ = 57</w:t>
            </w:r>
          </w:p>
        </w:tc>
      </w:tr>
    </w:tbl>
    <w:p/>
    <w:p>
      <w:pPr>
        <w:spacing w:after="120"/>
        <w:jc w:val="right"/>
        <w:bidi/>
      </w:pPr>
      <w:r>
        <w:rPr>
          <w:rFonts w:ascii="Times New Roman" w:hAnsi="Times New Roman"/>
          <w:b w:val="0"/>
          <w:i w:val="0"/>
          <w:sz w:val="22"/>
        </w:rPr>
        <w:t>يكشف تطبيق نموذج ويلسون على البيانات الفعلية عن ثلاث نتائج ذات دلالة تشخيصية بالغة:</w:t>
      </w:r>
    </w:p>
    <w:p>
      <w:pPr>
        <w:pStyle w:val="ListBullet"/>
        <w:jc w:val="right"/>
        <w:bidi/>
      </w:pPr>
      <w:r>
        <w:rPr>
          <w:rFonts w:ascii="Times New Roman" w:hAnsi="Times New Roman"/>
          <w:sz w:val="22"/>
        </w:rPr>
        <w:t>أولاً — ROP = 410 رزمة: يعني أن أمر الشراء يجب أن يُصدَر حين يتراجع الرصيد إلى ما دون 410 رزمة، لا عند النفاد الكامل كما كان يُمارَس في النظام اليدوي. وقد رصد التشخيص الميداني أن المسؤول كان يُصدر الطلبية حين يلاحظ نقص المادة بصرياً، مما يعني في الغالب الإصدار عند رصيد 50–100 رزمة، أي بعد تخطّي نقطة ROP بفارق 300 رزمة — وهذا هو الفجوة التي تُسبّب النفاد في أوقات الذروة.</w:t>
      </w:r>
    </w:p>
    <w:p>
      <w:pPr>
        <w:pStyle w:val="ListBullet"/>
        <w:jc w:val="right"/>
        <w:bidi/>
      </w:pPr>
      <w:r>
        <w:rPr>
          <w:rFonts w:ascii="Times New Roman" w:hAnsi="Times New Roman"/>
          <w:sz w:val="22"/>
        </w:rPr>
        <w:t>ثانياً — N ≈ 20 طلبية/سنة: أي طلبية واحدة كل 12 يوم عمل تقريباً. هذا يعني أن نظام التوريد الأمثل لهذه المادة يستلزم تواصلاً شهرياً مع الموردين وليس تموينات فصلية متباعدة. النظام الجديد (ERP_Academie_v5) يُنبّه تلقائياً عند بلوغ ROP مما يُلغي الاعتماد على ذاكرة المسؤول.</w:t>
      </w:r>
    </w:p>
    <w:p>
      <w:pPr>
        <w:pStyle w:val="ListBullet"/>
        <w:jc w:val="right"/>
        <w:bidi/>
      </w:pPr>
      <w:r>
        <w:rPr>
          <w:rFonts w:ascii="Times New Roman" w:hAnsi="Times New Roman"/>
          <w:sz w:val="22"/>
        </w:rPr>
        <w:t>ثالثاً — CVT = 16 435 دج/سنة: هذه هي التكلفة الدنيا المتغيرة لمادة رزمة الورق A4 وحدها. مقارنةً بالتكلفة الإضافية للنفاد (توقف الطباعة، شراء طارئ بسعر أعلى، تأخر إداري)، يبقى هذا المبلغ ضئيلاً ومبرِّراً للمحافظة على مستوى EOQ المحسوب.</w:t>
      </w:r>
    </w:p>
    <w:p/>
    <w:p>
      <w:pPr>
        <w:spacing w:after="120"/>
        <w:jc w:val="right"/>
        <w:bidi/>
      </w:pPr>
      <w:r>
        <w:rPr>
          <w:rFonts w:ascii="Times New Roman" w:hAnsi="Times New Roman"/>
          <w:b w:val="0"/>
          <w:i w:val="0"/>
          <w:sz w:val="22"/>
        </w:rPr>
        <w:t>يُلاحَظ أن المخزن الحالي لا يمتلك أي معيار رسمي لنقطة إعادة الطلب. المسؤول يُصدر أمر الشراء حين يلاحظ تراجع الرصيد بالعين المجردة، مما يعني في أغلب الأحيان التأخر عن ROP الفعلي (410 رزمة) بهامش أمان منعدم — وهو ما يُفسّر وقوع حالات النفاد المتكررة خاصةً في بداية المواسم الدراسية وفترات الامتحانات حيث يرتفع الطلب مفاجئاً.</w:t>
      </w:r>
    </w:p>
    <w:p>
      <w:pPr>
        <w:spacing w:after="120"/>
        <w:jc w:val="right"/>
        <w:bidi/>
      </w:pPr>
      <w:r>
        <w:rPr>
          <w:rFonts w:ascii="Times New Roman" w:hAnsi="Times New Roman"/>
          <w:b/>
          <w:i w:val="0"/>
          <w:sz w:val="22"/>
        </w:rPr>
        <w:t>خلاصة المقطع 3.3: أثبت تطبيق نموذج ويلسون على البيانات الفعلية أن EOQ = 57 رزمة و ROP = 410 رزمة هي المعاملات العملية لهذه المؤسسة، وقد جرى تضمينها مباشرةً في النظام الرقمي (صفحة TABLEAU DE BORD — القسم 2) بحيث تُحسَب ديناميكياً من سجل الحركات الفعلي تلقائياً، دون أي إدخال يدوي.</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