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before="0" w:after="200" w:line="340" w:lineRule="auto"/>
        <w:jc w:val="right"/>
      </w:pPr>
      <w:r>
        <w:rPr>
          <w:rFonts w:ascii="Traditional Arabic" w:cs="Traditional Arabic" w:eastAsia="Traditional Arabic" w:hAnsi="Traditional Arabic"/>
          <w:b/>
          <w:bCs/>
          <w:color w:val="1B2631"/>
          <w:sz w:val="32"/>
          <w:szCs w:val="32"/>
        </w:rPr>
        <w:t xml:space="preserve">الفصل الرابع — الحل المقترح: نظام Mini ERP بـ Excel/VBA</w:t>
      </w:r>
    </w:p>
    <w:p>
      <w:pPr>
        <w:bidi/>
        <w:spacing w:before="120" w:after="100" w:line="340" w:lineRule="auto"/>
        <w:jc w:val="right"/>
      </w:pPr>
      <w:r>
        <w:rPr>
          <w:rFonts w:ascii="Traditional Arabic" w:cs="Traditional Arabic" w:eastAsia="Traditional Arabic" w:hAnsi="Traditional Arabic"/>
          <w:b/>
          <w:bCs/>
          <w:color w:val="0C447C"/>
          <w:sz w:val="24"/>
          <w:szCs w:val="24"/>
        </w:rPr>
        <w:t xml:space="preserve">تمهيد</w:t>
      </w:r>
    </w:p>
    <w:p>
      <w:pPr>
        <w:bidi/>
        <w:spacing w:before="60" w:after="130" w:line="340" w:lineRule="auto"/>
        <w:jc w:val="right"/>
      </w:pPr>
      <w:r>
        <w:rPr>
          <w:rFonts w:ascii="Traditional Arabic" w:cs="Traditional Arabic" w:eastAsia="Traditional Arabic" w:hAnsi="Traditional Arabic"/>
          <w:b w:val="false"/>
          <w:bCs w:val="false"/>
          <w:color w:val="000000"/>
          <w:sz w:val="22"/>
          <w:szCs w:val="22"/>
        </w:rPr>
        <w:t xml:space="preserve">يُقدِّم هذا الفصل نظام Mini ERP الذي جرى تصميمه وتطبيقه خلال فترة التربص في مخزن مديرية التربية لولاية البيض. يشمل العرضُ منهجيةَ البناء، وبنية الملف التسعية، والوظائف الآلية المُبرمَجة بـ VBA، وصولاً إلى قياس مؤشرات الأداء قبل وبعد التطبيق، وتقديم التوصيات الختامية للإدارة.</w:t>
      </w:r>
    </w:p>
    <w:p>
      <w:pPr>
        <w:bidi/>
        <w:spacing w:after="180" w:before="0" w:line="340" w:lineRule="auto"/>
        <w:jc w:val="center"/>
      </w:pPr>
    </w:p>
    <w:p>
      <w:pPr>
        <w:bidi/>
        <w:spacing w:before="300" w:after="150" w:line="340" w:lineRule="auto"/>
        <w:jc w:val="right"/>
      </w:pPr>
      <w:r>
        <w:rPr>
          <w:rFonts w:ascii="Traditional Arabic" w:cs="Traditional Arabic" w:eastAsia="Traditional Arabic" w:hAnsi="Traditional Arabic"/>
          <w:b/>
          <w:bCs/>
          <w:color w:val="0C447C"/>
          <w:sz w:val="28"/>
          <w:szCs w:val="28"/>
        </w:rPr>
        <w:t xml:space="preserve">4.1  مبررات اختيار Excel/VBA — لماذا لا نظام تجاري؟</w:t>
      </w:r>
    </w:p>
    <w:p>
      <w:pPr>
        <w:bidi/>
        <w:spacing w:before="60" w:after="130" w:line="340" w:lineRule="auto"/>
        <w:jc w:val="right"/>
      </w:pPr>
      <w:r>
        <w:rPr>
          <w:rFonts w:ascii="Traditional Arabic" w:cs="Traditional Arabic" w:eastAsia="Traditional Arabic" w:hAnsi="Traditional Arabic"/>
          <w:b w:val="false"/>
          <w:bCs w:val="false"/>
          <w:color w:val="000000"/>
          <w:sz w:val="22"/>
          <w:szCs w:val="22"/>
        </w:rPr>
        <w:t xml:space="preserve">رُجِّح حل Excel/VBA على الأنظمة التجارية (Odoo، SAP، Microsoft Dynamics) لأربعة اعتبارات عملية يُفرضها الواقع المؤسسي للإدارة الجزائرية:</w:t>
      </w:r>
    </w:p>
    <w:p>
      <w:pPr>
        <w:bidi/>
        <w:spacing w:before="60" w:after="130" w:line="340" w:lineRule="auto"/>
        <w:jc w:val="right"/>
      </w:pPr>
      <w:r>
        <w:rPr>
          <w:rFonts w:ascii="Traditional Arabic" w:cs="Traditional Arabic" w:eastAsia="Traditional Arabic" w:hAnsi="Traditional Arabic"/>
          <w:b w:val="false"/>
          <w:bCs w:val="false"/>
          <w:color w:val="000000"/>
          <w:sz w:val="22"/>
          <w:szCs w:val="22"/>
        </w:rPr>
        <w:t xml:space="preserve">أولاً: التوافر المُسبَق — يُوجد Microsoft Office في كل إدارة حكومية جزائرية دون أي تكلفة ترخيص إضافية. ثانياً: التكيُّف مع المستخدم الحالي — يستخدم طاقم المخزن Excel في عمله اليومي، مما يُقلِّل من مقاومة التغيير ومن وقت التدريب المطلوب. ثالثاً: التخصيص الكامل — يمكن ضبط كل معيار (ROP، SS، تصنيف ABC، صيغة CMUP) وفق الإجراءات المحلية لمخزن البيض. رابعاً: الاستقلالية — يعمل الملف بدون اتصال بالإنترنت في بيئة إدارية نائية تبعد 450 كيلومتراً عن العاصمة.</w:t>
      </w:r>
    </w:p>
    <w:p>
      <w:pPr>
        <w:bidi/>
        <w:spacing w:after="180" w:before="0" w:line="340" w:lineRule="auto"/>
        <w:jc w:val="center"/>
      </w:pPr>
    </w:p>
    <w:p>
      <w:pPr>
        <w:bidi/>
        <w:spacing w:before="300" w:after="150" w:line="340" w:lineRule="auto"/>
        <w:jc w:val="right"/>
      </w:pPr>
      <w:r>
        <w:rPr>
          <w:rFonts w:ascii="Traditional Arabic" w:cs="Traditional Arabic" w:eastAsia="Traditional Arabic" w:hAnsi="Traditional Arabic"/>
          <w:b/>
          <w:bCs/>
          <w:color w:val="0C447C"/>
          <w:sz w:val="28"/>
          <w:szCs w:val="28"/>
        </w:rPr>
        <w:t xml:space="preserve">4.2  بنية نظام ERP_Academie_v5 — التسع صفحات</w:t>
      </w:r>
    </w:p>
    <w:p>
      <w:pPr>
        <w:bidi/>
        <w:spacing w:before="60" w:after="130" w:line="340" w:lineRule="auto"/>
        <w:jc w:val="right"/>
      </w:pPr>
      <w:r>
        <w:rPr>
          <w:rFonts w:ascii="Traditional Arabic" w:cs="Traditional Arabic" w:eastAsia="Traditional Arabic" w:hAnsi="Traditional Arabic"/>
          <w:b w:val="false"/>
          <w:bCs w:val="false"/>
          <w:color w:val="000000"/>
          <w:sz w:val="22"/>
          <w:szCs w:val="22"/>
        </w:rPr>
        <w:t xml:space="preserve">يتكوَّن ملف ERP_Academie_v5_final.xlsx من تسع صفحات متكاملة تُشكِّل معاً منظومةً متكاملةً لدورة الشراء والتخزين، من الدخول الأول للمادة إلى قرار إعادة الطلب:</w:t>
      </w:r>
    </w:p>
    <w:p>
      <w:pPr>
        <w:bidi/>
        <w:spacing w:after="80" w:before="0" w:line="340" w:lineRule="auto"/>
        <w:jc w:val="center"/>
      </w:pPr>
    </w:p>
    <w:p>
      <w:pPr>
        <w:bidi/>
        <w:spacing w:before="60" w:after="120" w:line="340" w:lineRule="auto"/>
        <w:jc w:val="center"/>
      </w:pPr>
      <w:r>
        <w:rPr>
          <w:rFonts w:ascii="Traditional Arabic" w:cs="Traditional Arabic" w:eastAsia="Traditional Arabic" w:hAnsi="Traditional Arabic"/>
          <w:b/>
          <w:bCs/>
          <w:color w:val="0C447C"/>
          <w:sz w:val="22"/>
          <w:szCs w:val="22"/>
        </w:rPr>
        <w:t xml:space="preserve">الجدول رقم (08) — </w:t>
      </w:r>
      <w:r>
        <w:rPr>
          <w:rFonts w:ascii="Traditional Arabic" w:cs="Traditional Arabic" w:eastAsia="Traditional Arabic" w:hAnsi="Traditional Arabic"/>
          <w:b w:val="false"/>
          <w:bCs w:val="false"/>
          <w:color w:val="333333"/>
          <w:sz w:val="22"/>
          <w:szCs w:val="22"/>
        </w:rPr>
        <w:t xml:space="preserve">بنية نظام ERP_Academie_v5_final — الصفحات التسع ووظائفها</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5700"/>
      </w:tblGrid>
      <w:tr>
        <w:trPr>
          <w:tblHeader/>
        </w:trPr>
        <w:tc>
          <w:tcPr>
            <w:tcW w:type="dxa" w:w="14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Arial" w:cs="Arial" w:eastAsia="Arial" w:hAnsi="Arial"/>
                <w:b/>
                <w:bCs/>
                <w:color w:val="FFFFFF"/>
                <w:sz w:val="18"/>
                <w:szCs w:val="18"/>
              </w:rPr>
              <w:t xml:space="preserve">الصفحة (FR)</w:t>
            </w:r>
          </w:p>
        </w:tc>
        <w:tc>
          <w:tcPr>
            <w:tcW w:type="dxa" w:w="18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الاسم بالعربية</w:t>
            </w:r>
          </w:p>
        </w:tc>
        <w:tc>
          <w:tcPr>
            <w:tcW w:type="dxa" w:w="57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المحتوى والوظيفة</w:t>
            </w:r>
          </w:p>
        </w:tc>
      </w:tr>
      <w:tr>
        <w:tc>
          <w:tcPr>
            <w:tcW w:type="dxa" w:w="14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jc w:val="center"/>
            </w:pPr>
            <w:r>
              <w:rPr>
                <w:rFonts w:ascii="Arial" w:cs="Arial" w:eastAsia="Arial" w:hAnsi="Arial"/>
                <w:b/>
                <w:bCs/>
                <w:color w:val="1A5276"/>
                <w:sz w:val="18"/>
                <w:szCs w:val="18"/>
              </w:rPr>
              <w:t xml:space="preserve">ACCUEIL</w:t>
            </w:r>
          </w:p>
        </w:tc>
        <w:tc>
          <w:tcPr>
            <w:tcW w:type="dxa" w:w="1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الواجهة الرئيسية</w:t>
            </w:r>
          </w:p>
        </w:tc>
        <w:tc>
          <w:tcPr>
            <w:tcW w:type="dxa" w:w="57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صفحة ترحيبية: اسم المؤسسة، تاريخ آخر تحديث، أزرار تنقل سريع</w:t>
            </w:r>
          </w:p>
        </w:tc>
      </w:tr>
      <w:tr>
        <w:tc>
          <w:tcPr>
            <w:tcW w:type="dxa" w:w="1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jc w:val="center"/>
            </w:pPr>
            <w:r>
              <w:rPr>
                <w:rFonts w:ascii="Arial" w:cs="Arial" w:eastAsia="Arial" w:hAnsi="Arial"/>
                <w:b/>
                <w:bCs/>
                <w:color w:val="1A5276"/>
                <w:sz w:val="18"/>
                <w:szCs w:val="18"/>
              </w:rPr>
              <w:t xml:space="preserve">ARTICLES</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قاموس المواد</w:t>
            </w:r>
          </w:p>
        </w:tc>
        <w:tc>
          <w:tcPr>
            <w:tcW w:type="dxa" w:w="5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15 مادة: رمز، تسمية، وحدة، فئة ABC، الحد الأدنى/الأقصى، مورد، موقع في المخزن</w:t>
            </w:r>
          </w:p>
        </w:tc>
      </w:tr>
      <w:tr>
        <w:tc>
          <w:tcPr>
            <w:tcW w:type="dxa" w:w="14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jc w:val="center"/>
            </w:pPr>
            <w:r>
              <w:rPr>
                <w:rFonts w:ascii="Arial" w:cs="Arial" w:eastAsia="Arial" w:hAnsi="Arial"/>
                <w:b/>
                <w:bCs/>
                <w:color w:val="1A5276"/>
                <w:sz w:val="18"/>
                <w:szCs w:val="18"/>
              </w:rPr>
              <w:t xml:space="preserve">FOURNISSEURS</w:t>
            </w:r>
          </w:p>
        </w:tc>
        <w:tc>
          <w:tcPr>
            <w:tcW w:type="dxa" w:w="1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الموردون</w:t>
            </w:r>
          </w:p>
        </w:tc>
        <w:tc>
          <w:tcPr>
            <w:tcW w:type="dxa" w:w="57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5 موردين مع بطاقة تقييم مرجَّح: الجودة ×4، السعر ×3، الأجل ×1.5، الشروط ×1.5</w:t>
            </w:r>
          </w:p>
        </w:tc>
      </w:tr>
      <w:tr>
        <w:tc>
          <w:tcPr>
            <w:tcW w:type="dxa" w:w="1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jc w:val="center"/>
            </w:pPr>
            <w:r>
              <w:rPr>
                <w:rFonts w:ascii="Arial" w:cs="Arial" w:eastAsia="Arial" w:hAnsi="Arial"/>
                <w:b/>
                <w:bCs/>
                <w:color w:val="1A5276"/>
                <w:sz w:val="18"/>
                <w:szCs w:val="18"/>
              </w:rPr>
              <w:t xml:space="preserve">MOUVEMENTS</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سجل الحركات</w:t>
            </w:r>
          </w:p>
        </w:tc>
        <w:tc>
          <w:tcPr>
            <w:tcW w:type="dxa" w:w="5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كل دخول/خروج: التاريخ، الرمز، الكمية، الرصيد الآلي، CMUP الديناميكي، عمود التحقق</w:t>
            </w:r>
          </w:p>
        </w:tc>
      </w:tr>
      <w:tr>
        <w:tc>
          <w:tcPr>
            <w:tcW w:type="dxa" w:w="14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jc w:val="center"/>
            </w:pPr>
            <w:r>
              <w:rPr>
                <w:rFonts w:ascii="Arial" w:cs="Arial" w:eastAsia="Arial" w:hAnsi="Arial"/>
                <w:b/>
                <w:bCs/>
                <w:color w:val="1A5276"/>
                <w:sz w:val="18"/>
                <w:szCs w:val="18"/>
              </w:rPr>
              <w:t xml:space="preserve">TABLEAU DE BORD</w:t>
            </w:r>
          </w:p>
        </w:tc>
        <w:tc>
          <w:tcPr>
            <w:tcW w:type="dxa" w:w="1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لوحة القيادة</w:t>
            </w:r>
          </w:p>
        </w:tc>
        <w:tc>
          <w:tcPr>
            <w:tcW w:type="dxa" w:w="57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4 مؤشرات KPI فورية: القيمة الإجمالية، عدد تنبيهات ROP، المادة الأكثر استهلاكاً، 5 حركات أخيرة</w:t>
            </w:r>
          </w:p>
        </w:tc>
      </w:tr>
      <w:tr>
        <w:tc>
          <w:tcPr>
            <w:tcW w:type="dxa" w:w="1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jc w:val="center"/>
            </w:pPr>
            <w:r>
              <w:rPr>
                <w:rFonts w:ascii="Arial" w:cs="Arial" w:eastAsia="Arial" w:hAnsi="Arial"/>
                <w:b/>
                <w:bCs/>
                <w:color w:val="1A5276"/>
                <w:sz w:val="18"/>
                <w:szCs w:val="18"/>
              </w:rPr>
              <w:t xml:space="preserve">INVENTAIRE</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الجرد الدائم</w:t>
            </w:r>
          </w:p>
        </w:tc>
        <w:tc>
          <w:tcPr>
            <w:tcW w:type="dxa" w:w="5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مقارنة آلية: الرصيد الفيزيائي مقابل الرصيد المحاسبي وحساب فوارق الجرد</w:t>
            </w:r>
          </w:p>
        </w:tc>
      </w:tr>
      <w:tr>
        <w:tc>
          <w:tcPr>
            <w:tcW w:type="dxa" w:w="14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jc w:val="center"/>
            </w:pPr>
            <w:r>
              <w:rPr>
                <w:rFonts w:ascii="Arial" w:cs="Arial" w:eastAsia="Arial" w:hAnsi="Arial"/>
                <w:b/>
                <w:bCs/>
                <w:color w:val="1A5276"/>
                <w:sz w:val="18"/>
                <w:szCs w:val="18"/>
              </w:rPr>
              <w:t xml:space="preserve">CALCULS_EOQ</w:t>
            </w:r>
          </w:p>
        </w:tc>
        <w:tc>
          <w:tcPr>
            <w:tcW w:type="dxa" w:w="1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حساب ويلسون</w:t>
            </w:r>
          </w:p>
        </w:tc>
        <w:tc>
          <w:tcPr>
            <w:tcW w:type="dxa" w:w="57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EOQ، N، ROP، Cp، Cd، CVT — D مُحسَب تلقائياً من سجل الحركات وقابل للتحديث</w:t>
            </w:r>
          </w:p>
        </w:tc>
      </w:tr>
      <w:tr>
        <w:tc>
          <w:tcPr>
            <w:tcW w:type="dxa" w:w="1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jc w:val="center"/>
            </w:pPr>
            <w:r>
              <w:rPr>
                <w:rFonts w:ascii="Arial" w:cs="Arial" w:eastAsia="Arial" w:hAnsi="Arial"/>
                <w:b/>
                <w:bCs/>
                <w:color w:val="1A5276"/>
                <w:sz w:val="18"/>
                <w:szCs w:val="18"/>
              </w:rPr>
              <w:t xml:space="preserve">HISTORIQUE</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تاريخ الطلبيات</w:t>
            </w:r>
          </w:p>
        </w:tc>
        <w:tc>
          <w:tcPr>
            <w:tcW w:type="dxa" w:w="5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أرشيف أوامر الشراء BC-001→BC-007: المورد، المادة، الكمية، الحالة (مُسلَّم / معلَّق)</w:t>
            </w:r>
          </w:p>
        </w:tc>
      </w:tr>
      <w:tr>
        <w:tc>
          <w:tcPr>
            <w:tcW w:type="dxa" w:w="14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jc w:val="center"/>
            </w:pPr>
            <w:r>
              <w:rPr>
                <w:rFonts w:ascii="Arial" w:cs="Arial" w:eastAsia="Arial" w:hAnsi="Arial"/>
                <w:b/>
                <w:bCs/>
                <w:color w:val="1A5276"/>
                <w:sz w:val="18"/>
                <w:szCs w:val="18"/>
              </w:rPr>
              <w:t xml:space="preserve">GUIDE</w:t>
            </w:r>
          </w:p>
        </w:tc>
        <w:tc>
          <w:tcPr>
            <w:tcW w:type="dxa" w:w="1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دليل الاستخدام</w:t>
            </w:r>
          </w:p>
        </w:tc>
        <w:tc>
          <w:tcPr>
            <w:tcW w:type="dxa" w:w="57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وثيقة مدمجة — خطوات تشغيل النظام بالعربية لمسؤول المخزن دون حاجة لتدريب متخصص</w:t>
            </w:r>
          </w:p>
        </w:tc>
      </w:tr>
    </w:tbl>
    <w:p>
      <w:pPr>
        <w:bidi/>
        <w:spacing w:before="40" w:after="200" w:line="340" w:lineRule="auto"/>
        <w:jc w:val="center"/>
      </w:pPr>
      <w:r>
        <w:rPr>
          <w:rFonts w:ascii="Traditional Arabic" w:cs="Traditional Arabic" w:eastAsia="Traditional Arabic" w:hAnsi="Traditional Arabic"/>
          <w:b w:val="false"/>
          <w:bCs w:val="false"/>
          <w:color w:val="777777"/>
          <w:sz w:val="18"/>
          <w:szCs w:val="18"/>
        </w:rPr>
        <w:t xml:space="preserve">المصدر: إعداد الطالب — ERP_Academie_v5_final.xlsx | مارس 2026</w:t>
      </w:r>
    </w:p>
    <w:p>
      <w:pPr>
        <w:bidi/>
        <w:spacing w:after="180" w:before="0" w:line="340" w:lineRule="auto"/>
        <w:jc w:val="center"/>
      </w:pPr>
    </w:p>
    <w:p>
      <w:pPr>
        <w:bidi/>
        <w:spacing w:before="60" w:after="130" w:line="340" w:lineRule="auto"/>
        <w:jc w:val="right"/>
      </w:pPr>
      <w:r>
        <w:rPr>
          <w:rFonts w:ascii="Traditional Arabic" w:cs="Traditional Arabic" w:eastAsia="Traditional Arabic" w:hAnsi="Traditional Arabic"/>
          <w:b w:val="false"/>
          <w:bCs w:val="false"/>
          <w:color w:val="000000"/>
          <w:sz w:val="22"/>
          <w:szCs w:val="22"/>
        </w:rPr>
        <w:t xml:space="preserve">تجدر الإشارة إلى أن هذا التصميم يُحاكي البنية المعيارية لأنظمة ERP التجارية (وحدة المخزون، وحدة الشراء، وحدة التقارير) مع تكيُّف كامل مع حجم وإمكانيات المؤسسة العمومية الجزائرية المتوسطة الحجم.</w:t>
      </w:r>
    </w:p>
    <w:p>
      <w:pPr>
        <w:bidi/>
        <w:spacing w:after="180" w:before="0" w:line="340" w:lineRule="auto"/>
        <w:jc w:val="center"/>
      </w:pPr>
    </w:p>
    <w:p>
      <w:pPr>
        <w:bidi/>
        <w:spacing w:before="300" w:after="150" w:line="340" w:lineRule="auto"/>
        <w:jc w:val="right"/>
      </w:pPr>
      <w:r>
        <w:rPr>
          <w:rFonts w:ascii="Traditional Arabic" w:cs="Traditional Arabic" w:eastAsia="Traditional Arabic" w:hAnsi="Traditional Arabic"/>
          <w:b/>
          <w:bCs/>
          <w:color w:val="0C447C"/>
          <w:sz w:val="28"/>
          <w:szCs w:val="28"/>
        </w:rPr>
        <w:t xml:space="preserve">4.3  الوظائف الآلية — الـ VBA Macros</w:t>
      </w:r>
    </w:p>
    <w:p>
      <w:pPr>
        <w:bidi/>
        <w:spacing w:before="60" w:after="130" w:line="340" w:lineRule="auto"/>
        <w:jc w:val="right"/>
      </w:pPr>
      <w:r>
        <w:rPr>
          <w:rFonts w:ascii="Traditional Arabic" w:cs="Traditional Arabic" w:eastAsia="Traditional Arabic" w:hAnsi="Traditional Arabic"/>
          <w:b w:val="false"/>
          <w:bCs w:val="false"/>
          <w:color w:val="000000"/>
          <w:sz w:val="22"/>
          <w:szCs w:val="22"/>
        </w:rPr>
        <w:t xml:space="preserve">تمَّ برمجة ثلاث وظائف VBA رئيسية تُشكِّل العمود الفقري للأتمتة في النظام، إذ تُعالج العمليات الأكثر استهلاكاً للوقت في الإدارة اليدوية للمخزن:</w:t>
      </w:r>
    </w:p>
    <w:p>
      <w:pPr>
        <w:bidi/>
        <w:spacing w:after="80" w:before="0" w:line="340" w:lineRule="auto"/>
        <w:jc w:val="center"/>
      </w:pPr>
    </w:p>
    <w:p>
      <w:pPr>
        <w:bidi/>
        <w:spacing w:before="60" w:after="120" w:line="340" w:lineRule="auto"/>
        <w:jc w:val="center"/>
      </w:pPr>
      <w:r>
        <w:rPr>
          <w:rFonts w:ascii="Traditional Arabic" w:cs="Traditional Arabic" w:eastAsia="Traditional Arabic" w:hAnsi="Traditional Arabic"/>
          <w:b/>
          <w:bCs/>
          <w:color w:val="0C447C"/>
          <w:sz w:val="22"/>
          <w:szCs w:val="22"/>
        </w:rPr>
        <w:t xml:space="preserve">الجدول رقم (09) — </w:t>
      </w:r>
      <w:r>
        <w:rPr>
          <w:rFonts w:ascii="Traditional Arabic" w:cs="Traditional Arabic" w:eastAsia="Traditional Arabic" w:hAnsi="Traditional Arabic"/>
          <w:b w:val="false"/>
          <w:bCs w:val="false"/>
          <w:color w:val="333333"/>
          <w:sz w:val="22"/>
          <w:szCs w:val="22"/>
        </w:rPr>
        <w:t xml:space="preserve">الوظائف الآلية المُبرمَجة بـ VBA وأثرها التشغيلي</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400"/>
        <w:gridCol w:w="2100"/>
      </w:tblGrid>
      <w:tr>
        <w:trPr>
          <w:tblHeader/>
        </w:trPr>
        <w:tc>
          <w:tcPr>
            <w:tcW w:type="dxa" w:w="2000"/>
            <w:tcBorders>
              <w:top w:val="single" w:color="0C447C" w:sz="4"/>
              <w:left w:val="single" w:color="0C447C" w:sz="4"/>
              <w:bottom w:val="single" w:color="0C447C" w:sz="4"/>
              <w:right w:val="single" w:color="0C447C" w:sz="4"/>
            </w:tcBorders>
            <w:shd w:fill="1A5276" w:color="auto" w:val="clear"/>
            <w:tcMar>
              <w:top w:type="dxa" w:w="100"/>
              <w:left w:type="dxa" w:w="140"/>
              <w:bottom w:type="dxa" w:w="100"/>
              <w:right w:type="dxa" w:w="140"/>
            </w:tcMar>
            <w:vAlign w:val="center"/>
          </w:tcPr>
          <w:p>
            <w:pPr>
              <w:bidi/>
              <w:jc w:val="center"/>
            </w:pPr>
            <w:r>
              <w:rPr>
                <w:rFonts w:ascii="Arial" w:cs="Arial" w:eastAsia="Arial" w:hAnsi="Arial"/>
                <w:b/>
                <w:bCs/>
                <w:color w:val="FFFFFF"/>
                <w:sz w:val="18"/>
                <w:szCs w:val="18"/>
              </w:rPr>
              <w:t xml:space="preserve">اسم الوظيفة (VBA)</w:t>
            </w:r>
          </w:p>
        </w:tc>
        <w:tc>
          <w:tcPr>
            <w:tcW w:type="dxa" w:w="3400"/>
            <w:tcBorders>
              <w:top w:val="single" w:color="0C447C" w:sz="4"/>
              <w:left w:val="single" w:color="0C447C" w:sz="4"/>
              <w:bottom w:val="single" w:color="0C447C" w:sz="4"/>
              <w:right w:val="single" w:color="0C447C" w:sz="4"/>
            </w:tcBorders>
            <w:shd w:fill="1A5276"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الوصف الوظيفي</w:t>
            </w:r>
          </w:p>
        </w:tc>
        <w:tc>
          <w:tcPr>
            <w:tcW w:type="dxa" w:w="1400"/>
            <w:tcBorders>
              <w:top w:val="single" w:color="0C447C" w:sz="4"/>
              <w:left w:val="single" w:color="0C447C" w:sz="4"/>
              <w:bottom w:val="single" w:color="0C447C" w:sz="4"/>
              <w:right w:val="single" w:color="0C447C" w:sz="4"/>
            </w:tcBorders>
            <w:shd w:fill="1A5276"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الصفحة المُستهدَفة</w:t>
            </w:r>
          </w:p>
        </w:tc>
        <w:tc>
          <w:tcPr>
            <w:tcW w:type="dxa" w:w="2100"/>
            <w:tcBorders>
              <w:top w:val="single" w:color="0C447C" w:sz="4"/>
              <w:left w:val="single" w:color="0C447C" w:sz="4"/>
              <w:bottom w:val="single" w:color="0C447C" w:sz="4"/>
              <w:right w:val="single" w:color="0C447C" w:sz="4"/>
            </w:tcBorders>
            <w:shd w:fill="1A5276"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الأثر التشغيلي</w:t>
            </w:r>
          </w:p>
        </w:tc>
      </w:tr>
      <w:tr>
        <w:tc>
          <w:tcPr>
            <w:tcW w:type="dxa" w:w="20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jc w:val="center"/>
            </w:pPr>
            <w:r>
              <w:rPr>
                <w:rFonts w:ascii="Arial" w:cs="Arial" w:eastAsia="Arial" w:hAnsi="Arial"/>
                <w:b/>
                <w:bCs/>
                <w:color w:val="27AE60"/>
                <w:sz w:val="18"/>
                <w:szCs w:val="18"/>
              </w:rPr>
              <w:t xml:space="preserve">Ajouter_Mouvement</w:t>
            </w:r>
          </w:p>
        </w:tc>
        <w:tc>
          <w:tcPr>
            <w:tcW w:type="dxa" w:w="34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تسجيل حركة دخول أو خروج بضغطة زر واحدة مع التحقق من عدم نشوء رصيد سالب</w:t>
            </w:r>
          </w:p>
        </w:tc>
        <w:tc>
          <w:tcPr>
            <w:tcW w:type="dxa" w:w="14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jc w:val="center"/>
            </w:pPr>
            <w:r>
              <w:rPr>
                <w:rFonts w:ascii="Arial" w:cs="Arial" w:eastAsia="Arial" w:hAnsi="Arial"/>
                <w:b w:val="false"/>
                <w:bCs w:val="false"/>
                <w:color w:val="1A5276"/>
                <w:sz w:val="16"/>
                <w:szCs w:val="16"/>
              </w:rPr>
              <w:t xml:space="preserve">MOUVEMENTS</w:t>
            </w:r>
          </w:p>
        </w:tc>
        <w:tc>
          <w:tcPr>
            <w:tcW w:type="dxa" w:w="21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تقليص وقت التسجيل من 8 دقائق إلى &lt; 30 ثانية</w:t>
            </w:r>
          </w:p>
        </w:tc>
      </w:tr>
      <w:tr>
        <w:tc>
          <w:tcPr>
            <w:tcW w:type="dxa" w:w="20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jc w:val="center"/>
            </w:pPr>
            <w:r>
              <w:rPr>
                <w:rFonts w:ascii="Arial" w:cs="Arial" w:eastAsia="Arial" w:hAnsi="Arial"/>
                <w:b/>
                <w:bCs/>
                <w:color w:val="27AE60"/>
                <w:sz w:val="18"/>
                <w:szCs w:val="18"/>
              </w:rPr>
              <w:t xml:space="preserve">Verifier_Seuils</w:t>
            </w:r>
          </w:p>
        </w:tc>
        <w:tc>
          <w:tcPr>
            <w:tcW w:type="dxa" w:w="34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تلوين المواد التي بلغت ROP بالبرتقالي وتلك التي نفدت بالأحمر تلقائياً</w:t>
            </w:r>
          </w:p>
        </w:tc>
        <w:tc>
          <w:tcPr>
            <w:tcW w:type="dxa" w:w="14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jc w:val="center"/>
            </w:pPr>
            <w:r>
              <w:rPr>
                <w:rFonts w:ascii="Arial" w:cs="Arial" w:eastAsia="Arial" w:hAnsi="Arial"/>
                <w:b w:val="false"/>
                <w:bCs w:val="false"/>
                <w:color w:val="1A5276"/>
                <w:sz w:val="16"/>
                <w:szCs w:val="16"/>
              </w:rPr>
              <w:t xml:space="preserve">كل الصفحات</w:t>
            </w:r>
          </w:p>
        </w:tc>
        <w:tc>
          <w:tcPr>
            <w:tcW w:type="dxa" w:w="21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إطلاق تنبيه بصري فوري — بديل كامل للمراقبة اليدوية</w:t>
            </w:r>
          </w:p>
        </w:tc>
      </w:tr>
      <w:tr>
        <w:tc>
          <w:tcPr>
            <w:tcW w:type="dxa" w:w="20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jc w:val="center"/>
            </w:pPr>
            <w:r>
              <w:rPr>
                <w:rFonts w:ascii="Arial" w:cs="Arial" w:eastAsia="Arial" w:hAnsi="Arial"/>
                <w:b/>
                <w:bCs/>
                <w:color w:val="27AE60"/>
                <w:sz w:val="18"/>
                <w:szCs w:val="18"/>
              </w:rPr>
              <w:t xml:space="preserve">Generer_Rapport</w:t>
            </w:r>
          </w:p>
        </w:tc>
        <w:tc>
          <w:tcPr>
            <w:tcW w:type="dxa" w:w="34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إنشاء ملف PDF يومي/أسبوعي يُلخِّص حالة المخزون لرئاسة الإدارة</w:t>
            </w:r>
          </w:p>
        </w:tc>
        <w:tc>
          <w:tcPr>
            <w:tcW w:type="dxa" w:w="14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jc w:val="center"/>
            </w:pPr>
            <w:r>
              <w:rPr>
                <w:rFonts w:ascii="Arial" w:cs="Arial" w:eastAsia="Arial" w:hAnsi="Arial"/>
                <w:b w:val="false"/>
                <w:bCs w:val="false"/>
                <w:color w:val="1A5276"/>
                <w:sz w:val="16"/>
                <w:szCs w:val="16"/>
              </w:rPr>
              <w:t xml:space="preserve">TABLEAU DE BORD</w:t>
            </w:r>
          </w:p>
        </w:tc>
        <w:tc>
          <w:tcPr>
            <w:tcW w:type="dxa" w:w="21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تقرير رسمي بنقرة واحدة — لا يستغرق ساعة كالنظام اليدوي</w:t>
            </w:r>
          </w:p>
        </w:tc>
      </w:tr>
    </w:tbl>
    <w:p>
      <w:pPr>
        <w:bidi/>
        <w:spacing w:before="40" w:after="200" w:line="340" w:lineRule="auto"/>
        <w:jc w:val="center"/>
      </w:pPr>
      <w:r>
        <w:rPr>
          <w:rFonts w:ascii="Traditional Arabic" w:cs="Traditional Arabic" w:eastAsia="Traditional Arabic" w:hAnsi="Traditional Arabic"/>
          <w:b w:val="false"/>
          <w:bCs w:val="false"/>
          <w:color w:val="777777"/>
          <w:sz w:val="18"/>
          <w:szCs w:val="18"/>
        </w:rPr>
        <w:t xml:space="preserve">المصدر: إعداد الطالب — كود VBA مُدرَج في الملحق هـ من المذكرة</w:t>
      </w:r>
    </w:p>
    <w:p>
      <w:pPr>
        <w:bidi/>
        <w:spacing w:after="180" w:before="0" w:line="340" w:lineRule="auto"/>
        <w:jc w:val="center"/>
      </w:pPr>
    </w:p>
    <w:p>
      <w:pPr>
        <w:bidi/>
        <w:spacing w:before="60" w:after="130" w:line="340" w:lineRule="auto"/>
        <w:jc w:val="right"/>
      </w:pPr>
      <w:r>
        <w:rPr>
          <w:rFonts w:ascii="Traditional Arabic" w:cs="Traditional Arabic" w:eastAsia="Traditional Arabic" w:hAnsi="Traditional Arabic"/>
          <w:b w:val="false"/>
          <w:bCs w:val="false"/>
          <w:color w:val="000000"/>
          <w:sz w:val="22"/>
          <w:szCs w:val="22"/>
        </w:rPr>
        <w:t xml:space="preserve">تُطبَّق وظيفة Verifier_Seuils تلقائياً عند كل فتح للملف وعند كل تسجيل حركة جديدة، مما يجعل لوحة القيادة صورةً حيّة لحالة المخزون في أي لحظة. أما وظيفة Generer_Rapport فتُنتج تقريراً PDF مُنسَّقاً يشمل: قيمة المخزون الإجمالية، قائمة المواد في منطقة الخطر، وملخَّص آخر عشر حركات — بضغطة زر واحدة، دون أي عمل يدوي إضافي.</w:t>
      </w:r>
    </w:p>
    <w:p>
      <w:pPr>
        <w:bidi/>
        <w:spacing w:after="180" w:before="0" w:line="340" w:lineRule="auto"/>
        <w:jc w:val="center"/>
      </w:pPr>
    </w:p>
    <w:p>
      <w:pPr>
        <w:bidi/>
        <w:spacing w:before="300" w:after="150" w:line="340" w:lineRule="auto"/>
        <w:jc w:val="right"/>
      </w:pPr>
      <w:r>
        <w:rPr>
          <w:rFonts w:ascii="Traditional Arabic" w:cs="Traditional Arabic" w:eastAsia="Traditional Arabic" w:hAnsi="Traditional Arabic"/>
          <w:b/>
          <w:bCs/>
          <w:color w:val="0C447C"/>
          <w:sz w:val="28"/>
          <w:szCs w:val="28"/>
        </w:rPr>
        <w:t xml:space="preserve">4.4  الإضافات الجوهرية في الإصدار الخامس (v5-FINAL)</w:t>
      </w:r>
    </w:p>
    <w:p>
      <w:pPr>
        <w:bidi/>
        <w:spacing w:before="200" w:after="120" w:line="340" w:lineRule="auto"/>
        <w:jc w:val="right"/>
      </w:pPr>
      <w:r>
        <w:rPr>
          <w:rFonts w:ascii="Traditional Arabic" w:cs="Traditional Arabic" w:eastAsia="Traditional Arabic" w:hAnsi="Traditional Arabic"/>
          <w:b/>
          <w:bCs/>
          <w:color w:val="1A5276"/>
          <w:sz w:val="26"/>
          <w:szCs w:val="26"/>
        </w:rPr>
        <w:t xml:space="preserve">4.4.1  تصحيح ROP الفردي لكل مادة</w:t>
      </w:r>
    </w:p>
    <w:p>
      <w:pPr>
        <w:bidi/>
        <w:spacing w:before="60" w:after="130" w:line="340" w:lineRule="auto"/>
        <w:jc w:val="right"/>
      </w:pPr>
      <w:r>
        <w:rPr>
          <w:rFonts w:ascii="Traditional Arabic" w:cs="Traditional Arabic" w:eastAsia="Traditional Arabic" w:hAnsi="Traditional Arabic"/>
          <w:b w:val="false"/>
          <w:bCs w:val="false"/>
          <w:color w:val="000000"/>
          <w:sz w:val="22"/>
          <w:szCs w:val="22"/>
        </w:rPr>
        <w:t xml:space="preserve">الإشكالية التي رصدها التدقيق: كان نظام الإصدار الرابع يُطبِّق نقطة إعادة طلب موحَّدة (ROP=200) على جميع المواد الثماني، ما أدَّى إلى إطلاق 6 تنبيهات خاطئة من أصل 7. في الإصدار الخامس، يُحسَب ROP لكل مادة على حدة باستخدام استهلاكها الفعلي الخاص:</w:t>
      </w:r>
    </w:p>
    <w:p>
      <w:pPr>
        <w:bidi/>
        <w:spacing w:before="100" w:after="120" w:line="340" w:lineRule="auto"/>
        <w:jc w:val="center"/>
      </w:pPr>
      <w:r>
        <w:rPr>
          <w:rFonts w:ascii="Traditional Arabic" w:cs="Traditional Arabic" w:eastAsia="Traditional Arabic" w:hAnsi="Traditional Arabic"/>
          <w:b/>
          <w:bCs/>
          <w:color w:val="1A5276"/>
          <w:sz w:val="22"/>
          <w:szCs w:val="22"/>
        </w:rPr>
        <w:t xml:space="preserve">ROP = حد أدنى المادة + (إجمالي مخارجها / 38 يوم رصد) × 2 يوم تسليم</w:t>
      </w:r>
    </w:p>
    <w:p>
      <w:pPr>
        <w:bidi/>
        <w:spacing w:before="60" w:after="130" w:line="340" w:lineRule="auto"/>
        <w:jc w:val="right"/>
      </w:pPr>
      <w:r>
        <w:rPr>
          <w:rFonts w:ascii="Traditional Arabic" w:cs="Traditional Arabic" w:eastAsia="Traditional Arabic" w:hAnsi="Traditional Arabic"/>
          <w:b w:val="false"/>
          <w:bCs w:val="false"/>
          <w:color w:val="000000"/>
          <w:sz w:val="22"/>
          <w:szCs w:val="22"/>
        </w:rPr>
        <w:t xml:space="preserve">تُنتج هذه الصيغة قيماً منطقية: ROP=212 للورق A4 (استهلاك مرتفع) مقابل ROP=2 لدباسة المكتب (بدون سجل خروج)، بدلاً من ROP=200 لكليهما. النتيجة: نظام التنبيه انتقل من 6 إنذارات كاذبة إلى صفر — وتنبيه واحد حقيقي فعلي (ART-003).</w:t>
      </w:r>
    </w:p>
    <w:p>
      <w:pPr>
        <w:bidi/>
        <w:spacing w:after="80" w:before="0" w:line="340" w:lineRule="auto"/>
        <w:jc w:val="center"/>
      </w:pPr>
    </w:p>
    <w:p>
      <w:pPr>
        <w:bidi/>
        <w:spacing w:before="200" w:after="120" w:line="340" w:lineRule="auto"/>
        <w:jc w:val="right"/>
      </w:pPr>
      <w:r>
        <w:rPr>
          <w:rFonts w:ascii="Traditional Arabic" w:cs="Traditional Arabic" w:eastAsia="Traditional Arabic" w:hAnsi="Traditional Arabic"/>
          <w:b/>
          <w:bCs/>
          <w:color w:val="1A5276"/>
          <w:sz w:val="26"/>
          <w:szCs w:val="26"/>
        </w:rPr>
        <w:t xml:space="preserve">4.4.2  الطلب السنوي D المُحسَب تلقائياً</w:t>
      </w:r>
    </w:p>
    <w:p>
      <w:pPr>
        <w:bidi/>
        <w:spacing w:before="60" w:after="130" w:line="340" w:lineRule="auto"/>
        <w:jc w:val="right"/>
      </w:pPr>
      <w:r>
        <w:rPr>
          <w:rFonts w:ascii="Traditional Arabic" w:cs="Traditional Arabic" w:eastAsia="Traditional Arabic" w:hAnsi="Traditional Arabic"/>
          <w:b w:val="false"/>
          <w:bCs w:val="false"/>
          <w:color w:val="000000"/>
          <w:sz w:val="22"/>
          <w:szCs w:val="22"/>
        </w:rPr>
        <w:t xml:space="preserve">بدلاً من إدخال D=10,000 كقيمة ثابتة تقديرية، يحتسب النظام القيمة تلقائياً انطلاقاً من إجمالي المخارج الفعلية المُسجَّلة في MOUVEMENTS ويُحوِّلها إلى معدل سنوي على أساس 250 يوم عمل:</w:t>
      </w:r>
    </w:p>
    <w:p>
      <w:pPr>
        <w:bidi/>
        <w:spacing w:before="100" w:after="120" w:line="340" w:lineRule="auto"/>
        <w:jc w:val="center"/>
      </w:pPr>
      <w:r>
        <w:rPr>
          <w:rFonts w:ascii="Traditional Arabic" w:cs="Traditional Arabic" w:eastAsia="Traditional Arabic" w:hAnsi="Traditional Arabic"/>
          <w:b/>
          <w:bCs/>
          <w:color w:val="1A5276"/>
          <w:sz w:val="22"/>
          <w:szCs w:val="22"/>
        </w:rPr>
        <w:t xml:space="preserve">D = (إجمالي مخارج ART-001 ÷ 38 يوم) × 250 يوم ≈ 1 546 رزمة/سنة</w:t>
      </w:r>
    </w:p>
    <w:p>
      <w:pPr>
        <w:bidi/>
        <w:spacing w:before="60" w:after="130" w:line="340" w:lineRule="auto"/>
        <w:jc w:val="right"/>
      </w:pPr>
      <w:r>
        <w:rPr>
          <w:rFonts w:ascii="Traditional Arabic" w:cs="Traditional Arabic" w:eastAsia="Traditional Arabic" w:hAnsi="Traditional Arabic"/>
          <w:b w:val="false"/>
          <w:bCs w:val="false"/>
          <w:color w:val="000000"/>
          <w:sz w:val="22"/>
          <w:szCs w:val="22"/>
        </w:rPr>
        <w:t xml:space="preserve">تنعكس هذه القيمة مباشرةً على حساب EOQ (≈131 رزمة) وعدد الطلبيات السنوية (N≈11.8) وإجمالي التكاليف المتغيرة (CVT≈22,830 دج/سنة). مع إضافة بيانات مارس الكاملة، سيرتفع D تلقائياً دون أي تدخل يدوي.</w:t>
      </w:r>
    </w:p>
    <w:p>
      <w:pPr>
        <w:bidi/>
        <w:spacing w:after="80" w:before="0" w:line="340" w:lineRule="auto"/>
        <w:jc w:val="center"/>
      </w:pPr>
    </w:p>
    <w:p>
      <w:pPr>
        <w:bidi/>
        <w:spacing w:before="200" w:after="120" w:line="340" w:lineRule="auto"/>
        <w:jc w:val="right"/>
      </w:pPr>
      <w:r>
        <w:rPr>
          <w:rFonts w:ascii="Traditional Arabic" w:cs="Traditional Arabic" w:eastAsia="Traditional Arabic" w:hAnsi="Traditional Arabic"/>
          <w:b/>
          <w:bCs/>
          <w:color w:val="1A5276"/>
          <w:sz w:val="26"/>
          <w:szCs w:val="26"/>
        </w:rPr>
        <w:t xml:space="preserve">4.4.3  CMUP الديناميكي — عمود J، K، L في MOUVEMENTS</w:t>
      </w:r>
    </w:p>
    <w:p>
      <w:pPr>
        <w:bidi/>
        <w:spacing w:before="60" w:after="130" w:line="340" w:lineRule="auto"/>
        <w:jc w:val="right"/>
      </w:pPr>
      <w:r>
        <w:rPr>
          <w:rFonts w:ascii="Traditional Arabic" w:cs="Traditional Arabic" w:eastAsia="Traditional Arabic" w:hAnsi="Traditional Arabic"/>
          <w:b w:val="false"/>
          <w:bCs w:val="false"/>
          <w:color w:val="000000"/>
          <w:sz w:val="22"/>
          <w:szCs w:val="22"/>
        </w:rPr>
        <w:t xml:space="preserve">أضاف الإصدار الخامس ثلاثة أعمدة مساعدة في صفحة MOUVEMENTS (القيمة المتراكمة، الكمية المتراكمة، CMUP الحي) تُحقِّق منهجية المتوسط المرجح الكاملة بصورة تلقائية. كل مرة تدخل دفعة جديدة بسعر مختلف، يُعيد العمود L احتساب المتوسط المرجح فوراً — وهو بالضبط ما تُصفه نظرية CMUP في الفصل الأول. هذا يجعل النظام قادراً على التعامل مع تقلُّبات الأسعار دون أي تعديل يدوي.</w:t>
      </w:r>
    </w:p>
    <w:p>
      <w:pPr>
        <w:bidi/>
        <w:spacing w:after="180" w:before="0" w:line="340" w:lineRule="auto"/>
        <w:jc w:val="center"/>
      </w:pPr>
    </w:p>
    <w:p>
      <w:pPr>
        <w:bidi/>
        <w:spacing w:before="300" w:after="150" w:line="340" w:lineRule="auto"/>
        <w:jc w:val="right"/>
      </w:pPr>
      <w:r>
        <w:rPr>
          <w:rFonts w:ascii="Traditional Arabic" w:cs="Traditional Arabic" w:eastAsia="Traditional Arabic" w:hAnsi="Traditional Arabic"/>
          <w:b/>
          <w:bCs/>
          <w:color w:val="0C447C"/>
          <w:sz w:val="28"/>
          <w:szCs w:val="28"/>
        </w:rPr>
        <w:t xml:space="preserve">4.5  مقارنة مؤشرات الأداء قبل/بعد التطبيق</w:t>
      </w:r>
    </w:p>
    <w:p>
      <w:pPr>
        <w:bidi/>
        <w:spacing w:before="60" w:after="130" w:line="340" w:lineRule="auto"/>
        <w:jc w:val="right"/>
      </w:pPr>
      <w:r>
        <w:rPr>
          <w:rFonts w:ascii="Traditional Arabic" w:cs="Traditional Arabic" w:eastAsia="Traditional Arabic" w:hAnsi="Traditional Arabic"/>
          <w:b w:val="false"/>
          <w:bCs w:val="false"/>
          <w:color w:val="000000"/>
          <w:sz w:val="22"/>
          <w:szCs w:val="22"/>
        </w:rPr>
        <w:t xml:space="preserve">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w:t>
      </w:r>
    </w:p>
    <w:p>
      <w:pPr>
        <w:bidi/>
        <w:spacing w:after="80" w:before="0" w:line="340" w:lineRule="auto"/>
        <w:jc w:val="center"/>
      </w:pPr>
    </w:p>
    <w:p>
      <w:pPr>
        <w:bidi/>
        <w:spacing w:before="60" w:after="120" w:line="340" w:lineRule="auto"/>
        <w:jc w:val="center"/>
      </w:pPr>
      <w:r>
        <w:rPr>
          <w:rFonts w:ascii="Traditional Arabic" w:cs="Traditional Arabic" w:eastAsia="Traditional Arabic" w:hAnsi="Traditional Arabic"/>
          <w:b/>
          <w:bCs/>
          <w:color w:val="0C447C"/>
          <w:sz w:val="22"/>
          <w:szCs w:val="22"/>
        </w:rPr>
        <w:t xml:space="preserve">الجدول رقم (10) — </w:t>
      </w:r>
      <w:r>
        <w:rPr>
          <w:rFonts w:ascii="Traditional Arabic" w:cs="Traditional Arabic" w:eastAsia="Traditional Arabic" w:hAnsi="Traditional Arabic"/>
          <w:b w:val="false"/>
          <w:bCs w:val="false"/>
          <w:color w:val="333333"/>
          <w:sz w:val="22"/>
          <w:szCs w:val="22"/>
        </w:rPr>
        <w:t xml:space="preserve">مقارنة مؤشرات الأداء اللوجستي قبل وبعد تطبيق نظام Mini ERP</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100"/>
      </w:tblGrid>
      <w:tr>
        <w:trPr>
          <w:tblHeader/>
        </w:trPr>
        <w:tc>
          <w:tcPr>
            <w:tcW w:type="dxa" w:w="22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مؤشر الأداء (KPI)</w:t>
            </w:r>
          </w:p>
        </w:tc>
        <w:tc>
          <w:tcPr>
            <w:tcW w:type="dxa" w:w="23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قبل التطبيق — النظام اليدوي</w:t>
            </w:r>
          </w:p>
        </w:tc>
        <w:tc>
          <w:tcPr>
            <w:tcW w:type="dxa" w:w="2300"/>
            <w:tcBorders>
              <w:top w:val="single" w:color="0C447C" w:sz="4"/>
              <w:left w:val="single" w:color="0C447C" w:sz="4"/>
              <w:bottom w:val="single" w:color="0C447C" w:sz="4"/>
              <w:right w:val="single" w:color="0C447C" w:sz="4"/>
            </w:tcBorders>
            <w:shd w:fill="27AE60"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بعد التطبيق — Mini ERP</w:t>
            </w:r>
          </w:p>
        </w:tc>
        <w:tc>
          <w:tcPr>
            <w:tcW w:type="dxa" w:w="21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نسبة التحسُّن</w:t>
            </w:r>
          </w:p>
        </w:tc>
      </w:tr>
      <w:tr>
        <w:tc>
          <w:tcPr>
            <w:tcW w:type="dxa" w:w="22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bCs/>
                <w:color w:val="000000"/>
                <w:sz w:val="20"/>
                <w:szCs w:val="20"/>
              </w:rPr>
              <w:t xml:space="preserve">وقت تسجيل حركة واحدة</w:t>
            </w:r>
          </w:p>
        </w:tc>
        <w:tc>
          <w:tcPr>
            <w:tcW w:type="dxa" w:w="2300"/>
            <w:tcBorders>
              <w:top w:val="single" w:color="CCCCCC" w:sz="4"/>
              <w:left w:val="single" w:color="CCCCCC" w:sz="4"/>
              <w:bottom w:val="single" w:color="CCCCCC" w:sz="4"/>
              <w:right w:val="single" w:color="CCCCCC" w:sz="4"/>
            </w:tcBorders>
            <w:shd w:fill="FADBD8"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8 – 10 دقائق (ورقي ثم Excel)</w:t>
            </w:r>
          </w:p>
        </w:tc>
        <w:tc>
          <w:tcPr>
            <w:tcW w:type="dxa" w:w="23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&lt; 30 ثانية (زر واحد — VBA)</w:t>
            </w:r>
          </w:p>
        </w:tc>
        <w:tc>
          <w:tcPr>
            <w:tcW w:type="dxa" w:w="21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تخفيض 97%</w:t>
            </w:r>
          </w:p>
        </w:tc>
      </w:tr>
      <w:tr>
        <w:tc>
          <w:tcPr>
            <w:tcW w:type="dxa" w:w="2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bCs/>
                <w:color w:val="000000"/>
                <w:sz w:val="20"/>
                <w:szCs w:val="20"/>
              </w:rPr>
              <w:t xml:space="preserve">التنبيه بنقطة إعادة الطلب</w:t>
            </w:r>
          </w:p>
        </w:tc>
        <w:tc>
          <w:tcPr>
            <w:tcW w:type="dxa" w:w="23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غائب — اكتشاف بالعين المجردة</w:t>
            </w:r>
          </w:p>
        </w:tc>
        <w:tc>
          <w:tcPr>
            <w:tcW w:type="dxa" w:w="23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تلقائي — تلوين فوري عند الوصول لـ ROP</w:t>
            </w:r>
          </w:p>
        </w:tc>
        <w:tc>
          <w:tcPr>
            <w:tcW w:type="dxa" w:w="21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من صفر إلى 100%</w:t>
            </w:r>
          </w:p>
        </w:tc>
      </w:tr>
      <w:tr>
        <w:tc>
          <w:tcPr>
            <w:tcW w:type="dxa" w:w="22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bCs/>
                <w:color w:val="000000"/>
                <w:sz w:val="20"/>
                <w:szCs w:val="20"/>
              </w:rPr>
              <w:t xml:space="preserve">مدة إجراء الجرد الفصلي</w:t>
            </w:r>
          </w:p>
        </w:tc>
        <w:tc>
          <w:tcPr>
            <w:tcW w:type="dxa" w:w="2300"/>
            <w:tcBorders>
              <w:top w:val="single" w:color="CCCCCC" w:sz="4"/>
              <w:left w:val="single" w:color="CCCCCC" w:sz="4"/>
              <w:bottom w:val="single" w:color="CCCCCC" w:sz="4"/>
              <w:right w:val="single" w:color="CCCCCC" w:sz="4"/>
            </w:tcBorders>
            <w:shd w:fill="FADBD8"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7 – 8 ساعات (مطابقة يدوية)</w:t>
            </w:r>
          </w:p>
        </w:tc>
        <w:tc>
          <w:tcPr>
            <w:tcW w:type="dxa" w:w="23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&lt; 3 ساعات (مقارنة آلية في Excel)</w:t>
            </w:r>
          </w:p>
        </w:tc>
        <w:tc>
          <w:tcPr>
            <w:tcW w:type="dxa" w:w="21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تخفيض 60%</w:t>
            </w:r>
          </w:p>
        </w:tc>
      </w:tr>
      <w:tr>
        <w:tc>
          <w:tcPr>
            <w:tcW w:type="dxa" w:w="2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bCs/>
                <w:color w:val="000000"/>
                <w:sz w:val="20"/>
                <w:szCs w:val="20"/>
              </w:rPr>
              <w:t xml:space="preserve">دقة الرصيد</w:t>
            </w:r>
          </w:p>
        </w:tc>
        <w:tc>
          <w:tcPr>
            <w:tcW w:type="dxa" w:w="23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خطأ إدخال في 12–15% من العمليات</w:t>
            </w:r>
          </w:p>
        </w:tc>
        <w:tc>
          <w:tcPr>
            <w:tcW w:type="dxa" w:w="23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التحقق الآلي يمنع الرصيد السالب</w:t>
            </w:r>
          </w:p>
        </w:tc>
        <w:tc>
          <w:tcPr>
            <w:tcW w:type="dxa" w:w="21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تخفيض الأخطاء &gt; 90%</w:t>
            </w:r>
          </w:p>
        </w:tc>
      </w:tr>
      <w:tr>
        <w:tc>
          <w:tcPr>
            <w:tcW w:type="dxa" w:w="22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bCs/>
                <w:color w:val="000000"/>
                <w:sz w:val="20"/>
                <w:szCs w:val="20"/>
              </w:rPr>
              <w:t xml:space="preserve">التقارير لرئاسة الإدارة</w:t>
            </w:r>
          </w:p>
        </w:tc>
        <w:tc>
          <w:tcPr>
            <w:tcW w:type="dxa" w:w="2300"/>
            <w:tcBorders>
              <w:top w:val="single" w:color="CCCCCC" w:sz="4"/>
              <w:left w:val="single" w:color="CCCCCC" w:sz="4"/>
              <w:bottom w:val="single" w:color="CCCCCC" w:sz="4"/>
              <w:right w:val="single" w:color="CCCCCC" w:sz="4"/>
            </w:tcBorders>
            <w:shd w:fill="FADBD8"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يدوية — تستغرق ساعة+</w:t>
            </w:r>
          </w:p>
        </w:tc>
        <w:tc>
          <w:tcPr>
            <w:tcW w:type="dxa" w:w="23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PDF تلقائي بنقرة واحدة</w:t>
            </w:r>
          </w:p>
        </w:tc>
        <w:tc>
          <w:tcPr>
            <w:tcW w:type="dxa" w:w="21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تخفيض 98%</w:t>
            </w:r>
          </w:p>
        </w:tc>
      </w:tr>
      <w:tr>
        <w:tc>
          <w:tcPr>
            <w:tcW w:type="dxa" w:w="2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bCs/>
                <w:color w:val="000000"/>
                <w:sz w:val="20"/>
                <w:szCs w:val="20"/>
              </w:rPr>
              <w:t xml:space="preserve">تكلفة التطبيق</w:t>
            </w:r>
          </w:p>
        </w:tc>
        <w:tc>
          <w:tcPr>
            <w:tcW w:type="dxa" w:w="23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w:t>
            </w:r>
          </w:p>
        </w:tc>
        <w:tc>
          <w:tcPr>
            <w:tcW w:type="dxa" w:w="23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صفر دج (Office موجود مسبقاً)</w:t>
            </w:r>
          </w:p>
        </w:tc>
        <w:tc>
          <w:tcPr>
            <w:tcW w:type="dxa" w:w="21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بدون ميزانية إضافية</w:t>
            </w:r>
          </w:p>
        </w:tc>
      </w:tr>
    </w:tbl>
    <w:p>
      <w:pPr>
        <w:bidi/>
        <w:spacing w:before="40" w:after="200" w:line="340" w:lineRule="auto"/>
        <w:jc w:val="center"/>
      </w:pPr>
      <w:r>
        <w:rPr>
          <w:rFonts w:ascii="Traditional Arabic" w:cs="Traditional Arabic" w:eastAsia="Traditional Arabic" w:hAnsi="Traditional Arabic"/>
          <w:b w:val="false"/>
          <w:bCs w:val="false"/>
          <w:color w:val="777777"/>
          <w:sz w:val="18"/>
          <w:szCs w:val="18"/>
        </w:rPr>
        <w:t xml:space="preserve">المصدر: إعداد الطالب — ملاحظة ميدانية مباشرة + بيانات ERP_Academie_v5_final | فيفري–مارس 2026</w:t>
      </w:r>
    </w:p>
    <w:p>
      <w:pPr>
        <w:bidi/>
        <w:spacing w:after="180" w:before="0" w:line="340" w:lineRule="auto"/>
        <w:jc w:val="center"/>
      </w:pPr>
    </w:p>
    <w:p>
      <w:pPr>
        <w:bidi/>
        <w:spacing w:before="60" w:after="130" w:line="340" w:lineRule="auto"/>
        <w:jc w:val="right"/>
      </w:pPr>
      <w:r>
        <w:rPr>
          <w:rFonts w:ascii="Traditional Arabic" w:cs="Traditional Arabic" w:eastAsia="Traditional Arabic" w:hAnsi="Traditional Arabic"/>
          <w:b w:val="false"/>
          <w:bCs w:val="false"/>
          <w:color w:val="000000"/>
          <w:sz w:val="22"/>
          <w:szCs w:val="22"/>
        </w:rPr>
        <w:t xml:space="preserve">تُثبت هذه النتائج أن نظام Mini ERP حقَّق تحسينات ملموسة وقابلة للقياس في كل مؤشرات الأداء التشغيلية المُرصَدة. والأهم أن تكلفة التطبيق صفرية: لا ترخيص جديد، لا خادم، لا برمجة خارجية — فقط توظيف احترافي للأدوات الموجودة أصلاً في الإدارة الجزائرية.</w:t>
      </w:r>
    </w:p>
    <w:p>
      <w:pPr>
        <w:bidi/>
        <w:spacing w:after="180" w:before="0" w:line="340" w:lineRule="auto"/>
        <w:jc w:val="center"/>
      </w:pPr>
    </w:p>
    <w:p>
      <w:pPr>
        <w:bidi/>
        <w:spacing w:before="300" w:after="150" w:line="340" w:lineRule="auto"/>
        <w:jc w:val="right"/>
      </w:pPr>
      <w:r>
        <w:rPr>
          <w:rFonts w:ascii="Traditional Arabic" w:cs="Traditional Arabic" w:eastAsia="Traditional Arabic" w:hAnsi="Traditional Arabic"/>
          <w:b/>
          <w:bCs/>
          <w:color w:val="0C447C"/>
          <w:sz w:val="28"/>
          <w:szCs w:val="28"/>
        </w:rPr>
        <w:t xml:space="preserve">4.6  التحقق من صحة فرضيتَي البحث</w:t>
      </w:r>
    </w:p>
    <w:p>
      <w:pPr>
        <w:bidi/>
        <w:spacing w:before="60" w:after="130" w:line="340" w:lineRule="auto"/>
        <w:jc w:val="right"/>
      </w:pPr>
      <w:r>
        <w:rPr>
          <w:rFonts w:ascii="Traditional Arabic" w:cs="Traditional Arabic" w:eastAsia="Traditional Arabic" w:hAnsi="Traditional Arabic"/>
          <w:b w:val="false"/>
          <w:bCs w:val="false"/>
          <w:color w:val="000000"/>
          <w:sz w:val="22"/>
          <w:szCs w:val="22"/>
        </w:rPr>
        <w:t xml:space="preserve">ترتكز المذكرة على فرضيتين صِيغتا في المقدمة العامة كإجابات مؤقتة للتساؤل الرئيسي. يُقيِّم الجدول أدناه صحة كلٍّ منهما في ضوء المعطيات الميدانية:</w:t>
      </w:r>
    </w:p>
    <w:p>
      <w:pPr>
        <w:bidi/>
        <w:spacing w:after="80" w:before="0" w:line="340" w:lineRule="auto"/>
        <w:jc w:val="center"/>
      </w:pPr>
    </w:p>
    <w:p>
      <w:pPr>
        <w:bidi/>
        <w:spacing w:before="60" w:after="120" w:line="340" w:lineRule="auto"/>
        <w:jc w:val="center"/>
      </w:pPr>
      <w:r>
        <w:rPr>
          <w:rFonts w:ascii="Traditional Arabic" w:cs="Traditional Arabic" w:eastAsia="Traditional Arabic" w:hAnsi="Traditional Arabic"/>
          <w:b/>
          <w:bCs/>
          <w:color w:val="0C447C"/>
          <w:sz w:val="22"/>
          <w:szCs w:val="22"/>
        </w:rPr>
        <w:t xml:space="preserve">الجدول رقم (11) — </w:t>
      </w:r>
      <w:r>
        <w:rPr>
          <w:rFonts w:ascii="Traditional Arabic" w:cs="Traditional Arabic" w:eastAsia="Traditional Arabic" w:hAnsi="Traditional Arabic"/>
          <w:b w:val="false"/>
          <w:bCs w:val="false"/>
          <w:color w:val="333333"/>
          <w:sz w:val="22"/>
          <w:szCs w:val="22"/>
        </w:rPr>
        <w:t xml:space="preserve">نتائج التحقق من فرضيتَي البحث — الدليل الميداني</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200"/>
        <w:gridCol w:w="1700"/>
      </w:tblGrid>
      <w:tr>
        <w:trPr>
          <w:tblHeader/>
        </w:trPr>
        <w:tc>
          <w:tcPr>
            <w:tcW w:type="dxa" w:w="15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الفرضية</w:t>
            </w:r>
          </w:p>
        </w:tc>
        <w:tc>
          <w:tcPr>
            <w:tcW w:type="dxa" w:w="25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الصياغة</w:t>
            </w:r>
          </w:p>
        </w:tc>
        <w:tc>
          <w:tcPr>
            <w:tcW w:type="dxa" w:w="32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الدليل الميداني</w:t>
            </w:r>
          </w:p>
        </w:tc>
        <w:tc>
          <w:tcPr>
            <w:tcW w:type="dxa" w:w="17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النتيجة</w:t>
            </w:r>
          </w:p>
        </w:tc>
      </w:tr>
      <w:tr>
        <w:tc>
          <w:tcPr>
            <w:tcW w:type="dxa" w:w="15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الفرضية الأولى</w:t>
            </w:r>
          </w:p>
        </w:tc>
        <w:tc>
          <w:tcPr>
            <w:tcW w:type="dxa" w:w="25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غياب آليات التنبيه الآلي هو السبب الجذري لتكرار نفاد المخزون</w:t>
            </w:r>
          </w:p>
        </w:tc>
        <w:tc>
          <w:tcPr>
            <w:tcW w:type="dxa" w:w="32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نفاد خرطوشة Canon (ART-003) في فيفري 2026 قبيل حاجة ملحّة — بعد التطبيق: تنبيه مُسبَق بأسبوع عبر '&gt;&gt; COMMANDER'</w:t>
            </w:r>
          </w:p>
        </w:tc>
        <w:tc>
          <w:tcPr>
            <w:tcW w:type="dxa" w:w="1700"/>
            <w:tcBorders>
              <w:top w:val="single" w:color="27AE60" w:sz="4"/>
              <w:left w:val="single" w:color="27AE60" w:sz="4"/>
              <w:bottom w:val="single" w:color="27AE60" w:sz="4"/>
              <w:right w:val="single" w:color="27AE60" w:sz="4"/>
            </w:tcBorders>
            <w:shd w:fill="D5F5E3"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27AE60"/>
                <w:sz w:val="22"/>
                <w:szCs w:val="22"/>
              </w:rPr>
              <w:t xml:space="preserve">✓ مُثبَتة</w:t>
            </w:r>
          </w:p>
        </w:tc>
      </w:tr>
      <w:tr>
        <w:tc>
          <w:tcPr>
            <w:tcW w:type="dxa" w:w="15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الفرضية الثانية</w:t>
            </w:r>
          </w:p>
        </w:tc>
        <w:tc>
          <w:tcPr>
            <w:tcW w:type="dxa" w:w="25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نظام Mini ERP (Excel/VBA) يُحسِّن دقة التتبع ويُقلِّص وقت معالجة الطلبيات</w:t>
            </w:r>
          </w:p>
        </w:tc>
        <w:tc>
          <w:tcPr>
            <w:tcW w:type="dxa" w:w="32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تخفيض وقت التسجيل بأكثر من 97%، وتقليص مدة الجرد بأكثر من 60%، وإلغاء 6 تنبيهات خاطئة من 7 بعد تصحيح ROP الفردي</w:t>
            </w:r>
          </w:p>
        </w:tc>
        <w:tc>
          <w:tcPr>
            <w:tcW w:type="dxa" w:w="1700"/>
            <w:tcBorders>
              <w:top w:val="single" w:color="27AE60" w:sz="4"/>
              <w:left w:val="single" w:color="27AE60" w:sz="4"/>
              <w:bottom w:val="single" w:color="27AE60" w:sz="4"/>
              <w:right w:val="single" w:color="27AE60" w:sz="4"/>
            </w:tcBorders>
            <w:shd w:fill="D5F5E3"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27AE60"/>
                <w:sz w:val="22"/>
                <w:szCs w:val="22"/>
              </w:rPr>
              <w:t xml:space="preserve">✓ مُثبَتة</w:t>
            </w:r>
          </w:p>
        </w:tc>
      </w:tr>
    </w:tbl>
    <w:p>
      <w:pPr>
        <w:bidi/>
        <w:spacing w:before="40" w:after="200" w:line="340" w:lineRule="auto"/>
        <w:jc w:val="center"/>
      </w:pPr>
      <w:r>
        <w:rPr>
          <w:rFonts w:ascii="Traditional Arabic" w:cs="Traditional Arabic" w:eastAsia="Traditional Arabic" w:hAnsi="Traditional Arabic"/>
          <w:b w:val="false"/>
          <w:bCs w:val="false"/>
          <w:color w:val="777777"/>
          <w:sz w:val="18"/>
          <w:szCs w:val="18"/>
        </w:rPr>
        <w:t xml:space="preserve">المصدر: إعداد الطالب — تحليل بيانات ERP_Academie_v5_final | مارس 2026</w:t>
      </w:r>
    </w:p>
    <w:p>
      <w:pPr>
        <w:bidi/>
        <w:spacing w:after="180" w:before="0" w:line="340" w:lineRule="auto"/>
        <w:jc w:val="center"/>
      </w:pPr>
    </w:p>
    <w:p>
      <w:pPr>
        <w:bidi/>
        <w:spacing w:before="300" w:after="150" w:line="340" w:lineRule="auto"/>
        <w:jc w:val="right"/>
      </w:pPr>
      <w:r>
        <w:rPr>
          <w:rFonts w:ascii="Traditional Arabic" w:cs="Traditional Arabic" w:eastAsia="Traditional Arabic" w:hAnsi="Traditional Arabic"/>
          <w:b/>
          <w:bCs/>
          <w:color w:val="0C447C"/>
          <w:sz w:val="28"/>
          <w:szCs w:val="28"/>
        </w:rPr>
        <w:t xml:space="preserve">4.7  التوصيات المقدَّمة لمصلحة المخازن والإدارة</w:t>
      </w:r>
    </w:p>
    <w:p>
      <w:pPr>
        <w:bidi/>
        <w:spacing w:before="60" w:after="130" w:line="340" w:lineRule="auto"/>
        <w:jc w:val="right"/>
      </w:pPr>
      <w:r>
        <w:rPr>
          <w:rFonts w:ascii="Traditional Arabic" w:cs="Traditional Arabic" w:eastAsia="Traditional Arabic" w:hAnsi="Traditional Arabic"/>
          <w:b w:val="false"/>
          <w:bCs w:val="false"/>
          <w:color w:val="000000"/>
          <w:sz w:val="22"/>
          <w:szCs w:val="22"/>
        </w:rPr>
        <w:t xml:space="preserve">بناءً على نتائج الدراسة وتجربة التطبيق الميداني، نُقدِّم التوصيات الأربع الآتية مُصنَّفةً حسب الأفق الزمني:</w:t>
      </w:r>
    </w:p>
    <w:p>
      <w:pPr>
        <w:bidi/>
        <w:spacing w:after="80" w:before="0" w:line="340" w:lineRule="auto"/>
        <w:jc w:val="center"/>
      </w:pPr>
    </w:p>
    <w:p>
      <w:pPr>
        <w:bidi/>
        <w:spacing w:before="60" w:after="120" w:line="340" w:lineRule="auto"/>
        <w:jc w:val="center"/>
      </w:pPr>
      <w:r>
        <w:rPr>
          <w:rFonts w:ascii="Traditional Arabic" w:cs="Traditional Arabic" w:eastAsia="Traditional Arabic" w:hAnsi="Traditional Arabic"/>
          <w:b/>
          <w:bCs/>
          <w:color w:val="0C447C"/>
          <w:sz w:val="22"/>
          <w:szCs w:val="22"/>
        </w:rPr>
        <w:t xml:space="preserve">الجدول رقم (12) — </w:t>
      </w:r>
      <w:r>
        <w:rPr>
          <w:rFonts w:ascii="Traditional Arabic" w:cs="Traditional Arabic" w:eastAsia="Traditional Arabic" w:hAnsi="Traditional Arabic"/>
          <w:b w:val="false"/>
          <w:bCs w:val="false"/>
          <w:color w:val="333333"/>
          <w:sz w:val="22"/>
          <w:szCs w:val="22"/>
        </w:rPr>
        <w:t xml:space="preserve">التوصيات المقدَّمة لمديرية التربية لولاية البيض</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000"/>
        <w:gridCol w:w="1800"/>
        <w:gridCol w:w="2100"/>
      </w:tblGrid>
      <w:tr>
        <w:trPr>
          <w:tblHeader/>
        </w:trPr>
        <w:tc>
          <w:tcPr>
            <w:tcW w:type="dxa" w:w="5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w:t>
            </w:r>
          </w:p>
        </w:tc>
        <w:tc>
          <w:tcPr>
            <w:tcW w:type="dxa" w:w="25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التوصية</w:t>
            </w:r>
          </w:p>
        </w:tc>
        <w:tc>
          <w:tcPr>
            <w:tcW w:type="dxa" w:w="20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الجهة المعنية</w:t>
            </w:r>
          </w:p>
        </w:tc>
        <w:tc>
          <w:tcPr>
            <w:tcW w:type="dxa" w:w="18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الأفق الزمني</w:t>
            </w:r>
          </w:p>
        </w:tc>
        <w:tc>
          <w:tcPr>
            <w:tcW w:type="dxa" w:w="21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ملاحظات التنفيذ</w:t>
            </w:r>
          </w:p>
        </w:tc>
      </w:tr>
      <w:tr>
        <w:tc>
          <w:tcPr>
            <w:tcW w:type="dxa" w:w="5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01</w:t>
            </w:r>
          </w:p>
        </w:tc>
        <w:tc>
          <w:tcPr>
            <w:tcW w:type="dxa" w:w="25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bCs/>
                <w:color w:val="000000"/>
                <w:sz w:val="20"/>
                <w:szCs w:val="20"/>
              </w:rPr>
              <w:t xml:space="preserve">اعتماد ملف ERP_Academie_v5 رسمياً</w:t>
            </w:r>
          </w:p>
        </w:tc>
        <w:tc>
          <w:tcPr>
            <w:tcW w:type="dxa" w:w="20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مصلحة المخازن + المدير</w:t>
            </w:r>
          </w:p>
        </w:tc>
        <w:tc>
          <w:tcPr>
            <w:tcW w:type="dxa" w:w="1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فوري (عند الموافقة)</w:t>
            </w:r>
          </w:p>
        </w:tc>
        <w:tc>
          <w:tcPr>
            <w:tcW w:type="dxa" w:w="21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يومان تدريب كافيان</w:t>
            </w:r>
          </w:p>
        </w:tc>
      </w:tr>
      <w:tr>
        <w:tc>
          <w:tcPr>
            <w:tcW w:type="dxa" w:w="5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02</w:t>
            </w:r>
          </w:p>
        </w:tc>
        <w:tc>
          <w:tcPr>
            <w:tcW w:type="dxa" w:w="25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bCs/>
                <w:color w:val="000000"/>
                <w:sz w:val="20"/>
                <w:szCs w:val="20"/>
              </w:rPr>
              <w:t xml:space="preserve">مراجعة معاملات ويلسون سنوياً</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مسؤول المخزن</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نهاية كل سنة دراسية</w:t>
            </w:r>
          </w:p>
        </w:tc>
        <w:tc>
          <w:tcPr>
            <w:tcW w:type="dxa" w:w="21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تحديث D من سجل الحركات الفعلي</w:t>
            </w:r>
          </w:p>
        </w:tc>
      </w:tr>
      <w:tr>
        <w:tc>
          <w:tcPr>
            <w:tcW w:type="dxa" w:w="5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03</w:t>
            </w:r>
          </w:p>
        </w:tc>
        <w:tc>
          <w:tcPr>
            <w:tcW w:type="dxa" w:w="25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bCs/>
                <w:color w:val="000000"/>
                <w:sz w:val="20"/>
                <w:szCs w:val="20"/>
              </w:rPr>
              <w:t xml:space="preserve">إنشاء قاعدة بيانات موردين موثَّقة</w:t>
            </w:r>
          </w:p>
        </w:tc>
        <w:tc>
          <w:tcPr>
            <w:tcW w:type="dxa" w:w="20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مصلحة المخازن</w:t>
            </w:r>
          </w:p>
        </w:tc>
        <w:tc>
          <w:tcPr>
            <w:tcW w:type="dxa" w:w="1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خلال 3 أشهر</w:t>
            </w:r>
          </w:p>
        </w:tc>
        <w:tc>
          <w:tcPr>
            <w:tcW w:type="dxa" w:w="21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تقييم نصف سنوي بنظام التنقيط المُدرَج في ERP</w:t>
            </w:r>
          </w:p>
        </w:tc>
      </w:tr>
      <w:tr>
        <w:tc>
          <w:tcPr>
            <w:tcW w:type="dxa" w:w="5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04</w:t>
            </w:r>
          </w:p>
        </w:tc>
        <w:tc>
          <w:tcPr>
            <w:tcW w:type="dxa" w:w="25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bCs/>
                <w:color w:val="000000"/>
                <w:sz w:val="20"/>
                <w:szCs w:val="20"/>
              </w:rPr>
              <w:t xml:space="preserve">الانتقال نحو قاعدة بيانات Access أو Odoo</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الإدارة العامة</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المدى البعيد (3–5 سنوات)</w:t>
            </w:r>
          </w:p>
        </w:tc>
        <w:tc>
          <w:tcPr>
            <w:tcW w:type="dxa" w:w="21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استيعاب النمو وتوسيع النطاق للولايات المجاورة</w:t>
            </w:r>
          </w:p>
        </w:tc>
      </w:tr>
    </w:tbl>
    <w:p>
      <w:pPr>
        <w:bidi/>
        <w:spacing w:before="40" w:after="200" w:line="340" w:lineRule="auto"/>
        <w:jc w:val="center"/>
      </w:pPr>
      <w:r>
        <w:rPr>
          <w:rFonts w:ascii="Traditional Arabic" w:cs="Traditional Arabic" w:eastAsia="Traditional Arabic" w:hAnsi="Traditional Arabic"/>
          <w:b w:val="false"/>
          <w:bCs w:val="false"/>
          <w:color w:val="777777"/>
          <w:sz w:val="18"/>
          <w:szCs w:val="18"/>
        </w:rPr>
        <w:t xml:space="preserve">المصدر: إعداد الطالب — مبنيٌّ على نتائج التطبيق الميداني | مارس 2026</w:t>
      </w:r>
    </w:p>
    <w:p>
      <w:pPr>
        <w:bidi/>
        <w:spacing w:after="180" w:before="0" w:line="340" w:lineRule="auto"/>
        <w:jc w:val="center"/>
      </w:pPr>
    </w:p>
    <w:p>
      <w:pPr>
        <w:bidi/>
        <w:spacing w:before="300" w:after="150" w:line="340" w:lineRule="auto"/>
        <w:jc w:val="right"/>
      </w:pPr>
      <w:r>
        <w:rPr>
          <w:rFonts w:ascii="Traditional Arabic" w:cs="Traditional Arabic" w:eastAsia="Traditional Arabic" w:hAnsi="Traditional Arabic"/>
          <w:b/>
          <w:bCs/>
          <w:color w:val="0C447C"/>
          <w:sz w:val="28"/>
          <w:szCs w:val="28"/>
        </w:rPr>
        <w:t xml:space="preserve">4.8  آفاق البحث</w:t>
      </w:r>
    </w:p>
    <w:p>
      <w:pPr>
        <w:bidi/>
        <w:spacing w:before="60" w:after="130" w:line="340" w:lineRule="auto"/>
        <w:jc w:val="right"/>
      </w:pPr>
      <w:r>
        <w:rPr>
          <w:rFonts w:ascii="Traditional Arabic" w:cs="Traditional Arabic" w:eastAsia="Traditional Arabic" w:hAnsi="Traditional Arabic"/>
          <w:b w:val="false"/>
          <w:bCs w:val="false"/>
          <w:color w:val="000000"/>
          <w:sz w:val="22"/>
          <w:szCs w:val="22"/>
        </w:rPr>
        <w:t xml:space="preserve">تفتح نتائج هذه الدراسة أمام الباحثين ومتخذي القرار في قطاع التربية آفاقاً بحثية عدة يمكن تناولها في أعمال مستقبلية:</w:t>
      </w:r>
    </w:p>
    <w:p>
      <w:pPr>
        <w:bidi/>
        <w:spacing w:before="60" w:after="130" w:line="340" w:lineRule="auto"/>
        <w:jc w:val="right"/>
      </w:pPr>
      <w:r>
        <w:rPr>
          <w:rFonts w:ascii="Traditional Arabic" w:cs="Traditional Arabic" w:eastAsia="Traditional Arabic" w:hAnsi="Traditional Arabic"/>
          <w:b w:val="false"/>
          <w:bCs w:val="false"/>
          <w:color w:val="000000"/>
          <w:sz w:val="22"/>
          <w:szCs w:val="22"/>
        </w:rPr>
        <w:t xml:space="preserve">أولاً: تعميم تجربة التطبيق على مديريات التربية في الولايات المجاورة (النعامة، الأغواط، البيض) لبناء نموذج معياري مُوحَّد قابل للاعتماد الوطني.</w:t>
      </w:r>
    </w:p>
    <w:p>
      <w:pPr>
        <w:bidi/>
        <w:spacing w:before="60" w:after="130" w:line="340" w:lineRule="auto"/>
        <w:jc w:val="right"/>
      </w:pPr>
      <w:r>
        <w:rPr>
          <w:rFonts w:ascii="Traditional Arabic" w:cs="Traditional Arabic" w:eastAsia="Traditional Arabic" w:hAnsi="Traditional Arabic"/>
          <w:b w:val="false"/>
          <w:bCs w:val="false"/>
          <w:color w:val="000000"/>
          <w:sz w:val="22"/>
          <w:szCs w:val="22"/>
        </w:rPr>
        <w:t xml:space="preserve">ثانياً: ربط نظام المخزون بمنصة استدعاء إلكتروني للمؤسسات التعليمية، للتخلص التام من الوثائق الورقية وتحقيق التكامل الرقمي في سلسلة التوريد التربوية.</w:t>
      </w:r>
    </w:p>
    <w:p>
      <w:pPr>
        <w:bidi/>
        <w:spacing w:before="60" w:after="130" w:line="340" w:lineRule="auto"/>
        <w:jc w:val="right"/>
      </w:pPr>
      <w:r>
        <w:rPr>
          <w:rFonts w:ascii="Traditional Arabic" w:cs="Traditional Arabic" w:eastAsia="Traditional Arabic" w:hAnsi="Traditional Arabic"/>
          <w:b w:val="false"/>
          <w:bCs w:val="false"/>
          <w:color w:val="000000"/>
          <w:sz w:val="22"/>
          <w:szCs w:val="22"/>
        </w:rPr>
        <w:t xml:space="preserve">ثالثاً: دراسة مقارنة بين مديريات التربية التي اعتمدت الرقمنة وتلك التي لا تزال تعتمد الأنظمة اليدوية، لقياس الفجوة الفعلية في الأداء وتحفيز الانتقال الرقمي على المستوى الوطني.</w:t>
      </w:r>
    </w:p>
    <w:p>
      <w:pPr>
        <w:bidi/>
        <w:spacing w:after="180" w:before="0" w:line="340" w:lineRule="auto"/>
        <w:jc w:val="center"/>
      </w:pPr>
    </w:p>
    <w:p>
      <w:pPr>
        <w:bidi/>
        <w:spacing w:before="280" w:after="140" w:line="340" w:lineRule="auto"/>
        <w:jc w:val="right"/>
      </w:pPr>
      <w:r>
        <w:rPr>
          <w:rFonts w:ascii="Traditional Arabic" w:cs="Traditional Arabic" w:eastAsia="Traditional Arabic" w:hAnsi="Traditional Arabic"/>
          <w:b/>
          <w:bCs/>
          <w:color w:val="1B2631"/>
          <w:sz w:val="24"/>
          <w:szCs w:val="24"/>
        </w:rPr>
        <w:t xml:space="preserve">خلاصة الفصل الرابع</w:t>
      </w:r>
    </w:p>
    <w:p>
      <w:pPr>
        <w:bidi/>
        <w:spacing w:before="60" w:after="130" w:line="340" w:lineRule="auto"/>
        <w:jc w:val="right"/>
      </w:pPr>
      <w:r>
        <w:rPr>
          <w:rFonts w:ascii="Traditional Arabic" w:cs="Traditional Arabic" w:eastAsia="Traditional Arabic" w:hAnsi="Traditional Arabic"/>
          <w:b w:val="false"/>
          <w:bCs w:val="false"/>
          <w:color w:val="000000"/>
          <w:sz w:val="22"/>
          <w:szCs w:val="22"/>
        </w:rPr>
        <w:t xml:space="preserve">يُثبت هذا الفصل أن بناء نظام Mini ERP وظيفي ومُحكَم بأدوات Microsoft Office المتاحة أصلاً في كل إدارة جزائرية ليس فقط ممكناً من الناحية التقنية، بل هو كذلك فعَّال وقابل للتطبيق الفوري. الأثر الأبرز لم يكن في تخفيض الأوقات — رغم أهميتها — بل في تحويل نظام المراقبة من ردّ الفعل (اكتشاف النفاد بعد وقوعه) إلى الاستباقية (إطلاق التنبيه قبل الوصول للنفاد بأسبوع). هذا هو جوهر الإدارة الحديثة للمخزون الذي أكَّدت عليه المراجع النظرية في الفصل الأول.</w:t>
      </w:r>
    </w:p>
    <w:p>
      <w:r>
        <w:br w:type="page"/>
      </w:r>
    </w:p>
    <w:p>
      <w:pPr>
        <w:bidi/>
        <w:spacing w:before="0" w:after="200" w:line="340" w:lineRule="auto"/>
        <w:jc w:val="right"/>
      </w:pPr>
      <w:r>
        <w:rPr>
          <w:rFonts w:ascii="Traditional Arabic" w:cs="Traditional Arabic" w:eastAsia="Traditional Arabic" w:hAnsi="Traditional Arabic"/>
          <w:b/>
          <w:bCs/>
          <w:color w:val="1B2631"/>
          <w:sz w:val="32"/>
          <w:szCs w:val="32"/>
        </w:rPr>
        <w:t xml:space="preserve">الخاتمة العامة</w:t>
      </w:r>
    </w:p>
    <w:p>
      <w:pPr>
        <w:bidi/>
        <w:spacing w:before="60" w:after="130" w:line="340" w:lineRule="auto"/>
        <w:jc w:val="right"/>
      </w:pPr>
      <w:r>
        <w:rPr>
          <w:rFonts w:ascii="Traditional Arabic" w:cs="Traditional Arabic" w:eastAsia="Traditional Arabic" w:hAnsi="Traditional Arabic"/>
          <w:b w:val="false"/>
          <w:bCs w:val="false"/>
          <w:color w:val="000000"/>
          <w:sz w:val="22"/>
          <w:szCs w:val="22"/>
        </w:rPr>
        <w:t xml:space="preserve">أجابت هذه الدراسة عن التساؤل المحوري المطروح في مقدمتها: كيف يمكن أتمتة دورة الشراء والتخزين وتعزيز الجرد الدائم في مخزن مؤسسة عمومية باستخدام أدوات Microsoft Office المتاحة؟ والجواب الذي أثبتته التجربة الميدانية: إنه ممكن، فعَّال، وقابل للتطبيق الفوري بتكلفة صفرية.</w:t>
      </w:r>
    </w:p>
    <w:p>
      <w:pPr>
        <w:bidi/>
        <w:spacing w:before="60" w:after="130" w:line="340" w:lineRule="auto"/>
        <w:jc w:val="right"/>
      </w:pPr>
      <w:r>
        <w:rPr>
          <w:rFonts w:ascii="Traditional Arabic" w:cs="Traditional Arabic" w:eastAsia="Traditional Arabic" w:hAnsi="Traditional Arabic"/>
          <w:b w:val="false"/>
          <w:bCs w:val="false"/>
          <w:color w:val="000000"/>
          <w:sz w:val="22"/>
          <w:szCs w:val="22"/>
        </w:rPr>
        <w:t xml:space="preserve">انطلقت الدراسة من تشخيص ميداني دقيق لمخزن مديرية التربية لولاية البيض، ورصدت خمس نقاط ضعف هيكلية تتمحور جميعها حول غياب الأتمتة: لا تنبيه عند الاقتراب من نقطة إعادة الطلب، ازدواجية التسجيل بين الورق والـ Excel، إطالة مدة الجرد، غياب التتبع التاريخي، وانعدام تقييم الموردين. طُبِّقت على البيانات الفعلية ثلاثة أدوات كمية: تحليل ABC، نموذج ويلسون (EOQ)، والمتوسط المرجح (CMUP) — وأنتجت جميعها معطيات تشغيلية مباشرة موثَّقة في الجداول من 04 إلى 12.</w:t>
      </w:r>
    </w:p>
    <w:p>
      <w:pPr>
        <w:bidi/>
        <w:spacing w:before="60" w:after="130" w:line="340" w:lineRule="auto"/>
        <w:jc w:val="right"/>
      </w:pPr>
      <w:r>
        <w:rPr>
          <w:rFonts w:ascii="Traditional Arabic" w:cs="Traditional Arabic" w:eastAsia="Traditional Arabic" w:hAnsi="Traditional Arabic"/>
          <w:b w:val="false"/>
          <w:bCs w:val="false"/>
          <w:color w:val="000000"/>
          <w:sz w:val="22"/>
          <w:szCs w:val="22"/>
        </w:rPr>
        <w:t xml:space="preserve">أما الحل المقترح، فهو نظام ERP_Academie_v5_final المبني بـ Excel/VBA في تسع صفحات وظيفية، مُضمِّناً ثلاثة إبداعات رئيسية أُضيفت في الإصدار الخامس: ROP فردي لكل مادة يُلغي التنبيهات الكاذبة، وطلب سنوي D مُحسَب تلقائياً من البيانات الفعلية، وCMUP ديناميكي يستوعب تقلُّبات الأسعار. أثبتت مؤشرات الأداء أن النظام خفَّض وقت تسجيل الحركات بأكثر من 97%، وأطلق التنبيه المُسبَق قبل النفاد بأسبوع، وقلَّص مدة الجرد الفصلي بأكثر من 60%.</w:t>
      </w:r>
    </w:p>
    <w:p>
      <w:pPr>
        <w:bidi/>
        <w:spacing w:before="140" w:after="80" w:line="340" w:lineRule="auto"/>
        <w:jc w:val="right"/>
      </w:pPr>
      <w:r>
        <w:rPr>
          <w:rFonts w:ascii="Traditional Arabic" w:cs="Traditional Arabic" w:eastAsia="Traditional Arabic" w:hAnsi="Traditional Arabic"/>
          <w:b/>
          <w:bCs/>
          <w:color w:val="0C447C"/>
          <w:sz w:val="22"/>
          <w:szCs w:val="22"/>
        </w:rPr>
        <w:t xml:space="preserve">وبهذا تُثبَت الفرضيتان المُصاغتان في مقدمة البحث:</w:t>
      </w:r>
    </w:p>
    <w:p>
      <w:pPr>
        <w:bidi/>
        <w:spacing w:before="60" w:after="130" w:line="340" w:lineRule="auto"/>
        <w:jc w:val="right"/>
      </w:pPr>
      <w:r>
        <w:rPr>
          <w:rFonts w:ascii="Traditional Arabic" w:cs="Traditional Arabic" w:eastAsia="Traditional Arabic" w:hAnsi="Traditional Arabic"/>
          <w:b w:val="false"/>
          <w:bCs w:val="false"/>
          <w:color w:val="000000"/>
          <w:sz w:val="22"/>
          <w:szCs w:val="22"/>
        </w:rPr>
        <w:t xml:space="preserve">الفرضية الأولى مُثبَتة: غياب آليات التنبيه الآلي هو السبب الجذري لتكرار نفاد المواد الاستراتيجية.</w:t>
      </w:r>
    </w:p>
    <w:p>
      <w:pPr>
        <w:bidi/>
        <w:spacing w:before="60" w:after="130" w:line="340" w:lineRule="auto"/>
        <w:jc w:val="right"/>
      </w:pPr>
      <w:r>
        <w:rPr>
          <w:rFonts w:ascii="Traditional Arabic" w:cs="Traditional Arabic" w:eastAsia="Traditional Arabic" w:hAnsi="Traditional Arabic"/>
          <w:b w:val="false"/>
          <w:bCs w:val="false"/>
          <w:color w:val="000000"/>
          <w:sz w:val="22"/>
          <w:szCs w:val="22"/>
        </w:rPr>
        <w:t xml:space="preserve">الفرضية الثانية مُثبَتة: نظام Mini ERP المقترح يُحسِّن دقة التتبع ويُقلِّص وقت معالجة الطلبيات بصورة ملموسة وقابلة للقياس.</w:t>
      </w:r>
    </w:p>
    <w:p>
      <w:pPr>
        <w:bidi/>
        <w:spacing w:after="180" w:before="0" w:line="340" w:lineRule="auto"/>
        <w:jc w:val="center"/>
      </w:pPr>
    </w:p>
    <w:p>
      <w:pPr>
        <w:bidi/>
        <w:spacing w:before="60" w:after="130" w:line="340" w:lineRule="auto"/>
        <w:jc w:val="right"/>
      </w:pPr>
      <w:r>
        <w:rPr>
          <w:rFonts w:ascii="Traditional Arabic" w:cs="Traditional Arabic" w:eastAsia="Traditional Arabic" w:hAnsi="Traditional Arabic"/>
          <w:b w:val="false"/>
          <w:bCs w:val="false"/>
          <w:color w:val="000000"/>
          <w:sz w:val="22"/>
          <w:szCs w:val="22"/>
        </w:rPr>
        <w:t xml:space="preserve">تبقى هذه الدراسة حلقةً في مسيرة التحوُّل الرقمي للإدارة الجزائرية، لا نهايةً لها. إن التحدي الأكبر لم يكن التقنية — إذ أثبتت التجربة أن Excel/VBA كافٍ — بل كان في إقناع الفاعلين الإداريين بأن الرقمنة ليست ترفاً، بل ضرورة تشغيلية تُوفِّر الوقت والمال وتمنع الاختلالات التي تُعطِّل العملية التربوية في أوقات الذروة. وهذا ما تطمح إليه هذه المذكرة: أن تكون بذرةً لثقافة إدارية رقمية في مؤسسات التربية بولاية البيض وما جاورها.</w:t>
      </w:r>
    </w:p>
    <w:sectPr>
      <w:pgSz w:w="11906" w:h="16838" w:orient="portrait"/>
      <w:pgMar w:top="1440" w:right="1701"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2026-03-23T06:34:11.073Z</dcterms:created>
  <dcterms:modified xsi:type="dcterms:W3CDTF">2026-03-23T06:34:11.073Z</dcterms:modified>
</cp:coreProperties>
</file>

<file path=docProps/custom.xml><?xml version="1.0" encoding="utf-8"?>
<Properties xmlns="http://schemas.openxmlformats.org/officeDocument/2006/custom-properties" xmlns:vt="http://schemas.openxmlformats.org/officeDocument/2006/docPropsVTypes"/>
</file>