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Style w:val="Title"/>
        <w:jc w:val="right"/>
      </w:pPr>
      <w:r>
        <w:rPr>
          <w:rtl/>
        </w:rPr>
        <w:t xml:space="preserve">"نظام دعم القرار لتسيير المخزونات"</w:t>
      </w:r>
    </w:p>
    <w:p>
      <w:pPr>
        <w:bidi/>
        <w:pStyle w:val="Author"/>
        <w:jc w:val="right"/>
      </w:pPr>
      <w:r>
        <w:rPr>
          <w:rtl/>
        </w:rPr>
        <w:t xml:space="preserve">"ماحي كمال عبد الغني"</w:t>
      </w:r>
    </w:p>
    <w:p>
      <w:pPr>
        <w:bidi/>
        <w:pStyle w:val="Date"/>
        <w:jc w:val="right"/>
      </w:pPr>
      <w:r>
        <w:rPr>
          <w:rtl/>
        </w:rPr>
        <w:t xml:space="preserve">2026-05-18</w:t>
      </w:r>
    </w:p>
    <w:tbl>
      <w:tblPr>
        <w:tblStyle w:val="Table"/>
        <w:tblW w:type="auto" w:w="0"/>
        <w:tblLook w:firstRow="0" w:lastRow="0" w:firstColumn="0" w:lastColumn="0" w:noHBand="0" w:noVBand="0" w:val="0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7920"/>
      </w:tblGrid>
      <w:tr>
        <w:tc>
          <w:tcPr>
            <w:tcW w:w="5610000" w:type="dxa"/>
          </w:tcPr>
          <w:p>
            <w:pPr>
              <w:pStyle w:val="Compact"/>
              <w:bidi/>
            </w:pPr>
            <w:r>
              <w:rPr>
                <w:rtl/>
              </w:rPr>
              <w:t xml:space="preserve">title:</w:t>
            </w:r>
            <w:r>
              <w:rPr>
                <w:rtl/>
              </w:rPr>
              <w:t xml:space="preserve"> </w:t>
            </w:r>
            <w:r>
              <w:rPr>
                <w:rtl/>
              </w:rPr>
              <w:t xml:space="preserve">“نظام دعم القرار لتسيير المخزونات”</w:t>
            </w:r>
          </w:p>
        </w:tc>
      </w:tr>
      <w:tr>
        <w:tc>
          <w:tcPr>
            <w:tcW w:w="5610000" w:type="dxa"/>
          </w:tcPr>
          <w:p>
            <w:pPr>
              <w:pStyle w:val="Compact"/>
              <w:bidi/>
            </w:pPr>
            <w:r>
              <w:rPr>
                <w:rtl/>
              </w:rPr>
              <w:t xml:space="preserve">subtitle:</w:t>
            </w:r>
            <w:r>
              <w:rPr>
                <w:rtl/>
              </w:rPr>
              <w:t xml:space="preserve"> </w:t>
            </w:r>
            <w:r>
              <w:rPr>
                <w:rtl/>
              </w:rPr>
              <w:t xml:space="preserve">“مذكرة تخرج لنيل شهادة التقني السامي”</w:t>
            </w:r>
          </w:p>
        </w:tc>
      </w:tr>
      <w:tr>
        <w:tc>
          <w:tcPr>
            <w:tcW w:w="5610000" w:type="dxa"/>
          </w:tcPr>
          <w:p>
            <w:pPr>
              <w:pStyle w:val="Compact"/>
              <w:bidi/>
            </w:pPr>
            <w:r>
              <w:rPr>
                <w:rtl/>
              </w:rPr>
              <w:t xml:space="preserve">author:</w:t>
            </w:r>
            <w:r>
              <w:rPr>
                <w:rtl/>
              </w:rPr>
              <w:t xml:space="preserve"> </w:t>
            </w:r>
            <w:r>
              <w:rPr>
                <w:rtl/>
              </w:rPr>
              <w:t xml:space="preserve">“ماحي كمال عبد الغني”</w:t>
            </w:r>
          </w:p>
        </w:tc>
      </w:tr>
      <w:tr>
        <w:tc>
          <w:tcPr>
            <w:tcW w:w="5610000" w:type="dxa"/>
          </w:tcPr>
          <w:p>
            <w:pPr>
              <w:pStyle w:val="Compact"/>
              <w:bidi/>
            </w:pPr>
            <w:r>
              <w:rPr>
                <w:rtl/>
              </w:rPr>
              <w:t xml:space="preserve">institution:</w:t>
            </w:r>
            <w:r>
              <w:rPr>
                <w:rtl/>
              </w:rPr>
              <w:t xml:space="preserve"> </w:t>
            </w:r>
            <w:r>
              <w:rPr>
                <w:rtl/>
              </w:rPr>
              <w:t xml:space="preserve">“المعهد الوطني المتخصص في التكوين المهني بن سعيدي عبد العاطي بالبيض”</w:t>
            </w:r>
          </w:p>
        </w:tc>
      </w:tr>
      <w:tr>
        <w:tc>
          <w:tcPr>
            <w:tcW w:w="5610000" w:type="dxa"/>
          </w:tcPr>
          <w:p>
            <w:pPr>
              <w:pStyle w:val="Compact"/>
              <w:bidi/>
            </w:pPr>
            <w:r>
              <w:rPr>
                <w:rtl/>
              </w:rPr>
              <w:t xml:space="preserve">department:</w:t>
            </w:r>
            <w:r>
              <w:rPr>
                <w:rtl/>
              </w:rPr>
              <w:t xml:space="preserve"> </w:t>
            </w:r>
            <w:r>
              <w:rPr>
                <w:rtl/>
              </w:rPr>
              <w:t xml:space="preserve">“تسيير المخزونات واللوجستيك”</w:t>
            </w:r>
          </w:p>
        </w:tc>
      </w:tr>
      <w:tr>
        <w:tc>
          <w:tcPr>
            <w:tcW w:w="5610000" w:type="dxa"/>
          </w:tcPr>
          <w:p>
            <w:pPr>
              <w:pStyle w:val="Compact"/>
              <w:bidi/>
            </w:pPr>
            <w:r>
              <w:rPr>
                <w:rtl/>
              </w:rPr>
              <w:t xml:space="preserve">supervisor:</w:t>
            </w:r>
            <w:r>
              <w:rPr>
                <w:rtl/>
              </w:rPr>
              <w:t xml:space="preserve"> </w:t>
            </w:r>
            <w:r>
              <w:rPr>
                <w:rtl/>
              </w:rPr>
              <w:t xml:space="preserve">“الأستاذة المشرفة: دهيني ميمونة”</w:t>
            </w:r>
          </w:p>
        </w:tc>
      </w:tr>
      <w:tr>
        <w:tc>
          <w:tcPr>
            <w:tcW w:w="5610000" w:type="dxa"/>
          </w:tcPr>
          <w:p>
            <w:pPr>
              <w:pStyle w:val="Compact"/>
              <w:bidi/>
            </w:pPr>
            <w:r>
              <w:rPr>
                <w:rtl/>
              </w:rPr>
              <w:t xml:space="preserve">academic_year:</w:t>
            </w:r>
            <w:r>
              <w:rPr>
                <w:rtl/>
              </w:rPr>
              <w:t xml:space="preserve"> </w:t>
            </w:r>
            <w:r>
              <w:rPr>
                <w:rtl/>
              </w:rPr>
              <w:t xml:space="preserve">“السنة الجامعية: 2025/2026”</w:t>
            </w:r>
          </w:p>
        </w:tc>
      </w:tr>
      <w:tr>
        <w:tc>
          <w:tcPr>
            <w:tcW w:w="5610000" w:type="dxa"/>
          </w:tcPr>
          <w:p>
            <w:pPr>
              <w:pStyle w:val="Compact"/>
              <w:bidi/>
            </w:pPr>
            <w:r>
              <w:rPr>
                <w:rtl/>
              </w:rPr>
              <w:t xml:space="preserve">date:</w:t>
            </w:r>
            <w:r>
              <w:rPr>
                <w:rtl/>
              </w:rPr>
              <w:t xml:space="preserve"> </w:t>
            </w:r>
            <w:r>
              <w:rPr>
                <w:rtl/>
              </w:rPr>
              <w:t xml:space="preserve">“2026-05-18”</w:t>
            </w:r>
          </w:p>
        </w:tc>
      </w:tr>
      <w:tr>
        <w:tc>
          <w:tcPr>
            <w:tcW w:w="5610000" w:type="dxa"/>
          </w:tcPr>
          <w:p>
            <w:pPr>
              <w:pStyle w:val="Compact"/>
              <w:bidi/>
            </w:pPr>
            <w:r>
              <w:rPr>
                <w:rtl/>
              </w:rPr>
              <w:t xml:space="preserve">lang: ar</w:t>
            </w:r>
          </w:p>
        </w:tc>
      </w:tr>
      <w:tr>
        <w:tc>
          <w:tcPr>
            <w:tcW w:w="5610000" w:type="dxa"/>
          </w:tcPr>
          <w:p>
            <w:pPr>
              <w:pStyle w:val="Compact"/>
              <w:bidi/>
            </w:pPr>
            <w:r>
              <w:rPr>
                <w:rtl/>
              </w:rPr>
              <w:t xml:space="preserve">dir: rtl</w:t>
            </w:r>
          </w:p>
        </w:tc>
      </w:tr>
    </w:tbl>
    <w:bookmarkStart w:id="9" w:name="إهداء"/>
    <w:p>
      <w:pPr>
        <w:pStyle w:val="Heading2"/>
        <w:bidi/>
      </w:pPr>
      <w:r>
        <w:rPr>
          <w:rtl/>
        </w:rPr>
        <w:t xml:space="preserve">إهداء</w:t>
      </w:r>
    </w:p>
    <w:p>
      <w:pPr>
        <w:bidi/>
      </w:pPr>
      <w:r>
        <w:rPr>
          <w:b/>
          <w:bCs/>
          <w:rtl/>
        </w:rPr>
        <w:t xml:space="preserve">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Pr>
          <w:rtl/>
        </w:rPr>
        <w:t xml:space="preserve"> </w:t>
      </w:r>
      <w:r>
        <w:rPr>
          <w:b/>
          <w:bCs/>
          <w:rtl/>
        </w:rPr>
        <w:t xml:space="preserve">وإلى كل من آمن بأن التكنولوجيا أداة لخدمة الإدارة الجزائرية وتطويرها، وإلى كل من يؤمن بأن الرقمنة ليست ترفاً بل ضرورة تشغيلية.</w:t>
      </w:r>
    </w:p>
    <w:bookmarkEnd w:id="9"/>
    <w:bookmarkStart w:id="10" w:name="شكر-وتقدير"/>
    <w:p>
      <w:pPr>
        <w:pStyle w:val="Heading2"/>
        <w:bidi/>
      </w:pPr>
      <w:r>
        <w:rPr>
          <w:rtl/>
        </w:rPr>
        <w:t xml:space="preserve">شكر وتقدير</w:t>
      </w:r>
    </w:p>
    <w:p>
      <w:pPr>
        <w:bidi/>
      </w:pPr>
      <w:r>
        <w:rPr>
          <w:b/>
          <w:bCs/>
          <w:rtl/>
        </w:rPr>
        <w:t xml:space="preserve">أتقدم بجزيل الشكر والعرفان إلى الأستاذة المشرفة دهيني ميمونة التي لم تبخل بتوجيهاتها ونصائحها القيمة في جميع مراحل إعداد هذا العمل.</w:t>
      </w:r>
      <w:r>
        <w:rPr>
          <w:rtl/>
        </w:rPr>
        <w:t xml:space="preserve"> </w:t>
      </w:r>
      <w:r>
        <w:rPr>
          <w:b/>
          <w:bCs/>
          <w:rtl/>
        </w:rPr>
        <w:t xml:space="preserve">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Pr>
          <w:rtl/>
        </w:rPr>
        <w:t xml:space="preserve"> </w:t>
      </w:r>
      <w:r>
        <w:rPr>
          <w:b/>
          <w:bCs/>
          <w:rtl/>
        </w:rPr>
        <w:t xml:space="preserve">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Pr>
          <w:rtl/>
        </w:rPr>
        <w:t xml:space="preserve"> </w:t>
      </w:r>
      <w:r>
        <w:rPr>
          <w:b/>
          <w:bCs/>
          <w:rtl/>
        </w:rPr>
        <w:t xml:space="preserve">وإلى لجنة المناقشة الموقرة على تفضلها بقراءة هذا العمل وتقييمه.</w:t>
      </w:r>
    </w:p>
    <w:bookmarkEnd w:id="10"/>
    <w:bookmarkStart w:id="11" w:name="الملخص"/>
    <w:p>
      <w:pPr>
        <w:pStyle w:val="Heading2"/>
        <w:bidi/>
      </w:pPr>
      <w:r>
        <w:rPr>
          <w:rtl/>
        </w:rPr>
        <w:t xml:space="preserve">الملخص</w:t>
      </w:r>
    </w:p>
    <w:p>
      <w:pPr>
        <w:bidi/>
      </w:pPr>
      <w:r>
        <w:rPr>
          <w:b/>
          <w:bCs/>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38 يوم عمل ميداني (شملت 62 معاملة مخزنية). طُبِّقت ثلاثة نماذج كمية على الصنف المرجعي ART-001 (حبر الطابعة Toner G030): نموذج ويلسون الذي أنتج كمية طلب اقتصادية Q* = 37 وحدة، ونقطة إعادة طلب ROP = 206 وحدة، ومخزون أمان SS = 200 وحدة. كشفت نتائج التطبيق أن النظام خفَّض وقت معالجة الطلبية الواحدة من 20–30 دقيقة إلى أقل من 5 ثوانٍ، أي بنسبة تخفيض 99.7%،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r>
        <w:rPr>
          <w:rtl/>
        </w:rPr>
        <w:t xml:space="preserve"> </w:t>
      </w:r>
      <w:r>
        <w:rPr>
          <w:b/>
          <w:bCs/>
          <w:rtl/>
        </w:rPr>
        <w:t xml:space="preserve">الكلمات المفتاحية: نظام دعم القرار، تسيير المخزونات، نموذج ويلسون، تحليل ABC، Excel/VBA، القطاع التربوي.</w:t>
      </w:r>
    </w:p>
    <w:bookmarkEnd w:id="11"/>
    <w:bookmarkStart w:id="12" w:name="résumé"/>
    <w:p>
      <w:pPr>
        <w:pStyle w:val="Heading2"/>
        <w:bidi/>
      </w:pPr>
      <w:r>
        <w:rPr>
          <w:rtl/>
        </w:rPr>
        <w:t xml:space="preserve">Résumé</w:t>
      </w:r>
    </w:p>
    <w:p>
      <w:pPr>
        <w:bidi/>
        <w:sectPr>
          <w:pgNumType w:fmt="none"/>
          <w:footnotePr>
            <w:numRestart w:val="eachSect"/>
          </w:footnotePr>
          <w:pgSz w:h="16838" w:w="11906"/>
          <w:pgMar w:bottom="1417" w:left="1417" w:right="1417" w:top="1417"/>
        </w:sectPr>
      </w:pPr>
      <w:r>
        <w:rPr>
          <w:b/>
          <w:bCs/>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38 jours ouvrables. Trois modèles quantitatifs ont été appliqués sur l’article de référence ART-001 (Toner d’imprimante G030) : le modèle de Wilson, qui a généré une quantité économique Q* = 37 unités, un point de réapprovisionnement ROP = 206 unités, et un stock de sécurité SS = 200 unités. Les résultats montrent une réduction du temps de traitement par transaction de 20–30 minutes à moins de 5 secondes, soit une amélioration de 99,7%, avec élimination totale des ruptures de stock des articles stratégiques. Ces résultats valident les deux hypothèses formulées et confirment la faisabilité de la transition numérique dans les institutions éducatives publiques algériennes.</w:t>
      </w:r>
      <w:r>
        <w:rPr>
          <w:rtl/>
        </w:rPr>
        <w:t xml:space="preserve"> </w:t>
      </w:r>
      <w:r>
        <w:rPr>
          <w:b/>
          <w:bCs/>
          <w:rtl/>
        </w:rPr>
        <w:t xml:space="preserve">Mots-clés : Système d’aide à la décision, gestion des stocks, modèle de Wilson, .analyse ABC, Excel/VBA, secteur éducatif</w:t>
      </w:r>
    </w:p>
    <w:bookmarkEnd w:id="12"/>
    <w:bookmarkStart w:id="20" w:name="المقدمة-العامة"/>
    <w:p>
      <w:pPr>
        <w:pStyle w:val="Heading1"/>
        <w:bidi/>
      </w:pPr>
      <w:r>
        <w:rPr>
          <w:rtl/>
        </w:rPr>
        <w:t xml:space="preserve">المقدمة العامة</w:t>
      </w:r>
    </w:p>
    <w:bookmarkStart w:id="13" w:name="تمهيد"/>
    <w:p>
      <w:pPr>
        <w:pStyle w:val="Heading2"/>
        <w:bidi/>
      </w:pPr>
      <w:r>
        <w:rPr>
          <w:rtl/>
        </w:rPr>
        <w:t xml:space="preserve">تمهيد</w:t>
      </w:r>
    </w:p>
    <w:p>
      <w:pPr>
        <w:bidi/>
      </w:pPr>
      <w:r>
        <w:rPr>
          <w:rtl/>
        </w:rPr>
        <w:t xml:space="preserve">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bookmarkEnd w:id="13"/>
    <w:bookmarkStart w:id="14" w:name="الإشكالية"/>
    <w:p>
      <w:pPr>
        <w:pStyle w:val="Heading2"/>
        <w:bidi/>
      </w:pPr>
      <w:r>
        <w:rPr>
          <w:rtl/>
        </w:rPr>
        <w:t xml:space="preserve">الإشكالية</w:t>
      </w:r>
    </w:p>
    <w:p>
      <w:pPr>
        <w:bidi/>
      </w:pPr>
      <w:r>
        <w:rPr>
          <w:rtl/>
        </w:rPr>
        <w:t xml:space="preserve">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r>
        <w:rPr>
          <w:rtl/>
        </w:rPr>
        <w:t xml:space="preserve"> </w:t>
      </w:r>
      <w:r>
        <w:rPr>
          <w:b/>
          <w:bCs/>
          <w:rtl/>
        </w:rPr>
        <w:t xml:space="preserve">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bookmarkEnd w:id="14"/>
    <w:bookmarkStart w:id="15" w:name="الفرضيات"/>
    <w:p>
      <w:pPr>
        <w:pStyle w:val="Heading2"/>
        <w:bidi/>
      </w:pPr>
      <w:r>
        <w:rPr>
          <w:rtl/>
        </w:rPr>
        <w:t xml:space="preserve">الفرضيات</w:t>
      </w:r>
    </w:p>
    <w:p>
      <w:pPr>
        <w:bidi/>
      </w:pPr>
      <w:r>
        <w:rPr>
          <w:rtl/>
        </w:rPr>
        <w:t xml:space="preserve">تنطلق الدراسة من فرضيتين رئيسيتين:</w:t>
      </w:r>
      <w:r>
        <w:rPr>
          <w:rtl/>
        </w:rPr>
        <w:t xml:space="preserve"> </w:t>
      </w:r>
      <w:r>
        <w:rPr>
          <w:rtl/>
        </w:rPr>
        <w:t xml:space="preserve">-</w:t>
      </w:r>
      <w:r>
        <w:rPr>
          <w:rtl/>
        </w:rPr>
        <w:t xml:space="preserve"> </w:t>
      </w:r>
      <w:r>
        <w:rPr>
          <w:b/>
          <w:bCs/>
          <w:rtl/>
        </w:rPr>
        <w:t xml:space="preserve">الفرضية الأولى: إن غياب آليات التنبيه الآلي عند نقطة إعادة الطلب هو السبب الجذري لتكرار حالات نفاد المواد الاستراتيجية في المخازن العمومية.</w:t>
      </w:r>
      <w:r>
        <w:rPr>
          <w:rtl/>
        </w:rPr>
        <w:t xml:space="preserve"> </w:t>
      </w:r>
      <w:r>
        <w:rPr>
          <w:rtl/>
        </w:rPr>
        <w:t xml:space="preserve">-</w:t>
      </w:r>
      <w:r>
        <w:rPr>
          <w:rtl/>
        </w:rPr>
        <w:t xml:space="preserve"> </w:t>
      </w:r>
      <w:r>
        <w:rPr>
          <w:b/>
          <w:bCs/>
          <w:rtl/>
        </w:rPr>
        <w:t xml:space="preserve">الفرضية الثانية: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bookmarkEnd w:id="15"/>
    <w:bookmarkStart w:id="16" w:name="أهداف-الدراسة"/>
    <w:p>
      <w:pPr>
        <w:pStyle w:val="Heading2"/>
        <w:bidi/>
      </w:pPr>
      <w:r>
        <w:rPr>
          <w:rtl/>
        </w:rPr>
        <w:t xml:space="preserve">أهداف الدراسة</w:t>
      </w:r>
    </w:p>
    <w:p>
      <w:pPr>
        <w:bidi/>
      </w:pPr>
      <w:r>
        <w:rPr>
          <w:rtl/>
        </w:rPr>
        <w:t xml:space="preserve">تصبو هذه الدراسة إلى تحقيق مجموعة من الأهداف المنهجية والتطبيقية:</w:t>
      </w:r>
      <w:r>
        <w:rPr>
          <w:rtl/>
        </w:rPr>
        <w:t xml:space="preserve"> </w:t>
      </w:r>
      <w:r>
        <w:rPr>
          <w:rtl/>
        </w:rPr>
        <w:t xml:space="preserve">- تشخيص الواقع الفعلي لنظام التسيير المخزني في مديرية التربية لولاية البيض وتحديد نقاط الضعف البنيوية.</w:t>
      </w:r>
      <w:r>
        <w:rPr>
          <w:rtl/>
        </w:rPr>
        <w:t xml:space="preserve"> </w:t>
      </w:r>
      <w:r>
        <w:rPr>
          <w:rtl/>
        </w:rPr>
        <w:t xml:space="preserve">- تطبيق النماذج الكمية (EOQ، ABC، XYZ) على بيانات ميدانية حقيقية لاستخراج مؤشرات داعمة للقرار.</w:t>
      </w:r>
      <w:r>
        <w:rPr>
          <w:rtl/>
        </w:rPr>
        <w:t xml:space="preserve"> </w:t>
      </w:r>
      <w:r>
        <w:rPr>
          <w:rtl/>
        </w:rPr>
        <w:t xml:space="preserve">- تصميم وإنجاز نظام معلوماتي متكامل (نظام دعم القرار) يعمل ببيئة Excel/VBA يُؤتمت دورة الشراء والتخزين ويُوفِّر رقابة آنية.</w:t>
      </w:r>
      <w:r>
        <w:rPr>
          <w:rtl/>
        </w:rPr>
        <w:t xml:space="preserve"> </w:t>
      </w:r>
      <w:r>
        <w:rPr>
          <w:rtl/>
        </w:rPr>
        <w:t xml:space="preserve">- تقييم أثر النظام المقترح على مؤشرات الأداء التشغيلية قبل وبعد التطبيق من خلال مقارنة كمية.</w:t>
      </w:r>
      <w:r>
        <w:rPr>
          <w:rtl/>
        </w:rPr>
        <w:t xml:space="preserve"> </w:t>
      </w:r>
      <w:r>
        <w:rPr>
          <w:rtl/>
        </w:rPr>
        <w:t xml:space="preserve">- تقديم توصيات عملية قابلة للتنفيذ لتعميم التجربة على نطاق أوسع.</w:t>
      </w:r>
    </w:p>
    <w:bookmarkEnd w:id="16"/>
    <w:bookmarkStart w:id="17" w:name="منهجية-البحث"/>
    <w:p>
      <w:pPr>
        <w:pStyle w:val="Heading2"/>
        <w:bidi/>
      </w:pPr>
      <w:r>
        <w:rPr>
          <w:rtl/>
        </w:rPr>
        <w:t xml:space="preserve">منهجية البحث</w:t>
      </w:r>
    </w:p>
    <w:p>
      <w:pPr>
        <w:bidi/>
      </w:pPr>
      <w:r>
        <w:rPr>
          <w:rtl/>
        </w:rPr>
        <w:t xml:space="preserve">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bookmarkEnd w:id="17"/>
    <w:bookmarkStart w:id="18" w:name="هيكل-الدراسة"/>
    <w:p>
      <w:pPr>
        <w:pStyle w:val="Heading2"/>
        <w:bidi/>
      </w:pPr>
      <w:r>
        <w:rPr>
          <w:rtl/>
        </w:rPr>
        <w:t xml:space="preserve">هيكل الدراسة</w:t>
      </w:r>
    </w:p>
    <w:p>
      <w:pPr>
        <w:bidi/>
      </w:pPr>
      <w:r>
        <w:rPr>
          <w:rtl/>
        </w:rPr>
        <w:t xml:space="preserve">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bookmarkEnd w:id="18"/>
    <w:bookmarkStart w:id="19" w:name="Xf59180c5cc222249dc6a39c05bc19cdf400d056"/>
    <w:p>
      <w:pPr>
        <w:pStyle w:val="Heading2"/>
        <w:bidi/>
      </w:pPr>
      <w:r>
        <w:rPr>
          <w:rtl/>
        </w:rPr>
        <w:t xml:space="preserve">الانسجام مع منهاج BTS في تسيير المخزونات واللوجستيك (TAG1801)</w:t>
      </w:r>
    </w:p>
    <w:p>
      <w:pPr>
        <w:bidi/>
      </w:pPr>
      <w:r>
        <w:rPr>
          <w:rtl/>
        </w:rPr>
        <w:t xml:space="preserve">صُمِّمت هذه المذكرة لتغطي مجمل الكفاءات المستهدفة في منهاج شهادة التقني السامي في تسيير المخزونات واللوجستيك، وفق التصنيف التالي:</w:t>
      </w:r>
      <w:r>
        <w:rPr>
          <w:rtl/>
        </w:rPr>
        <w:t xml:space="preserve"> </w:t>
      </w:r>
      <w:r>
        <w:rPr>
          <w:b/>
          <w:bCs/>
          <w:rtl/>
        </w:rPr>
        <w:t xml:space="preserve">الانسجام مع منهاج BTS في تسيير المخزونات واللوجستيك (TAG1801)</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487873" w:type="dxa"/>
          </w:tcPr>
          <w:p>
            <w:pPr>
              <w:pStyle w:val="Compact"/>
              <w:bidi/>
            </w:pPr>
            <w:r>
              <w:rPr>
                <w:rtl/>
              </w:rPr>
              <w:t xml:space="preserve">السداسي</w:t>
            </w:r>
          </w:p>
        </w:tc>
        <w:tc>
          <w:tcPr>
            <w:tcW w:w="2077618" w:type="dxa"/>
          </w:tcPr>
          <w:p>
            <w:pPr>
              <w:pStyle w:val="Compact"/>
              <w:bidi/>
            </w:pPr>
            <w:r>
              <w:rPr>
                <w:rtl/>
              </w:rPr>
              <w:t xml:space="preserve">المقاييس المُغطَّاة</w:t>
            </w:r>
          </w:p>
        </w:tc>
        <w:tc>
          <w:tcPr>
            <w:tcW w:w="2744507" w:type="dxa"/>
          </w:tcPr>
          <w:p>
            <w:pPr>
              <w:pStyle w:val="Compact"/>
              <w:bidi/>
            </w:pPr>
            <w:r>
              <w:rPr>
                <w:rtl/>
              </w:rPr>
              <w:t xml:space="preserve">مظاهر التغطية في المذكرة</w:t>
            </w:r>
          </w:p>
        </w:tc>
      </w:tr>
      <w:tr>
        <w:tc>
          <w:tcPr>
            <w:tcW w:w="487873" w:type="dxa"/>
          </w:tcPr>
          <w:p>
            <w:pPr>
              <w:pStyle w:val="Compact"/>
              <w:bidi/>
            </w:pPr>
            <w:r>
              <w:rPr>
                <w:rtl/>
              </w:rPr>
              <w:t xml:space="preserve">الأول</w:t>
            </w:r>
          </w:p>
        </w:tc>
        <w:tc>
          <w:tcPr>
            <w:tcW w:w="2077618" w:type="dxa"/>
          </w:tcPr>
          <w:p>
            <w:pPr>
              <w:pStyle w:val="Compact"/>
              <w:bidi/>
            </w:pPr>
            <w:r>
              <w:rPr>
                <w:rtl/>
              </w:rPr>
              <w:t xml:space="preserve">تحديد وجمع المعلومات الداخلية والخارجية (18)</w:t>
            </w:r>
          </w:p>
        </w:tc>
        <w:tc>
          <w:tcPr>
            <w:tcW w:w="2744507" w:type="dxa"/>
          </w:tcPr>
          <w:p>
            <w:pPr>
              <w:pStyle w:val="Compact"/>
              <w:bidi/>
            </w:pPr>
            <w:r>
              <w:rPr>
                <w:rtl/>
              </w:rPr>
              <w:t xml:space="preserve">التشخيص الميداني، جمع بيانات المخزون (الفصل الثاني)</w:t>
            </w:r>
          </w:p>
        </w:tc>
      </w:tr>
      <w:tr>
        <w:tc>
          <w:tcPr>
            <w:tcW w:w="487873" w:type="dxa"/>
          </w:tcPr>
          <w:p>
            <w:pPr>
              <w:pStyle w:val="Compact"/>
            </w:pPr>
          </w:p>
        </w:tc>
        <w:tc>
          <w:tcPr>
            <w:tcW w:w="2077618" w:type="dxa"/>
          </w:tcPr>
          <w:p>
            <w:pPr>
              <w:pStyle w:val="Compact"/>
              <w:bidi/>
            </w:pPr>
            <w:r>
              <w:rPr>
                <w:rtl/>
              </w:rPr>
              <w:t xml:space="preserve">دراسة الأسعار وشروط التفاوض (19)</w:t>
            </w:r>
          </w:p>
        </w:tc>
        <w:tc>
          <w:tcPr>
            <w:tcW w:w="2744507" w:type="dxa"/>
          </w:tcPr>
          <w:p>
            <w:pPr>
              <w:pStyle w:val="Compact"/>
              <w:bidi/>
            </w:pPr>
            <w:r>
              <w:rPr>
                <w:rtl/>
              </w:rPr>
              <w:t xml:space="preserve">تحليل تكاليف الطلب والاحتفاظ، معادلة ويلسون (الفصل الأول)</w:t>
            </w:r>
          </w:p>
        </w:tc>
      </w:tr>
      <w:tr>
        <w:tc>
          <w:tcPr>
            <w:tcW w:w="487873" w:type="dxa"/>
          </w:tcPr>
          <w:p>
            <w:pPr>
              <w:pStyle w:val="Compact"/>
            </w:pPr>
          </w:p>
        </w:tc>
        <w:tc>
          <w:tcPr>
            <w:tcW w:w="2077618" w:type="dxa"/>
          </w:tcPr>
          <w:p>
            <w:pPr>
              <w:pStyle w:val="Compact"/>
              <w:bidi/>
            </w:pPr>
            <w:r>
              <w:rPr>
                <w:rtl/>
              </w:rPr>
              <w:t xml:space="preserve">القانون الاجتماعي (20)</w:t>
            </w:r>
          </w:p>
        </w:tc>
        <w:tc>
          <w:tcPr>
            <w:tcW w:w="2744507" w:type="dxa"/>
          </w:tcPr>
          <w:p>
            <w:pPr>
              <w:pStyle w:val="Compact"/>
              <w:bidi/>
            </w:pPr>
            <w:r>
              <w:rPr>
                <w:rtl/>
              </w:rPr>
              <w:t xml:space="preserve">الإطار التنظيمي للوظيفة العمومية (الفصل الثاني)</w:t>
            </w:r>
          </w:p>
        </w:tc>
      </w:tr>
      <w:tr>
        <w:tc>
          <w:tcPr>
            <w:tcW w:w="487873" w:type="dxa"/>
          </w:tcPr>
          <w:p>
            <w:pPr>
              <w:pStyle w:val="Compact"/>
            </w:pPr>
          </w:p>
        </w:tc>
        <w:tc>
          <w:tcPr>
            <w:tcW w:w="2077618" w:type="dxa"/>
          </w:tcPr>
          <w:p>
            <w:pPr>
              <w:pStyle w:val="Compact"/>
              <w:bidi/>
            </w:pPr>
            <w:r>
              <w:rPr>
                <w:rtl/>
              </w:rPr>
              <w:t xml:space="preserve">الإعلام الآلي (21)</w:t>
            </w:r>
          </w:p>
        </w:tc>
        <w:tc>
          <w:tcPr>
            <w:tcW w:w="2744507" w:type="dxa"/>
          </w:tcPr>
          <w:p>
            <w:pPr>
              <w:pStyle w:val="Compact"/>
              <w:bidi/>
            </w:pPr>
            <w:r>
              <w:rPr>
                <w:rtl/>
              </w:rPr>
              <w:t xml:space="preserve">تصميم نظام Excel/VBA (الفصل الثالث)</w:t>
            </w:r>
          </w:p>
        </w:tc>
      </w:tr>
      <w:tr>
        <w:tc>
          <w:tcPr>
            <w:tcW w:w="487873" w:type="dxa"/>
          </w:tcPr>
          <w:p>
            <w:pPr>
              <w:pStyle w:val="Compact"/>
            </w:pPr>
          </w:p>
        </w:tc>
        <w:tc>
          <w:tcPr>
            <w:tcW w:w="2077618" w:type="dxa"/>
          </w:tcPr>
          <w:p>
            <w:pPr>
              <w:pStyle w:val="Compact"/>
              <w:bidi/>
            </w:pPr>
            <w:r>
              <w:rPr>
                <w:rtl/>
              </w:rPr>
              <w:t xml:space="preserve">الرياضيات العامة (22)</w:t>
            </w:r>
          </w:p>
        </w:tc>
        <w:tc>
          <w:tcPr>
            <w:tcW w:w="2744507" w:type="dxa"/>
          </w:tcPr>
          <w:p>
            <w:pPr>
              <w:pStyle w:val="Compact"/>
              <w:bidi/>
            </w:pPr>
            <w:r>
              <w:rPr>
                <w:rtl/>
              </w:rPr>
              <w:t xml:space="preserve">الاشتقاق الرياضي لنموذج EOQ وCMUP (الفصل الأول)</w:t>
            </w:r>
          </w:p>
        </w:tc>
      </w:tr>
      <w:tr>
        <w:tc>
          <w:tcPr>
            <w:tcW w:w="487873" w:type="dxa"/>
          </w:tcPr>
          <w:p>
            <w:pPr>
              <w:pStyle w:val="Compact"/>
              <w:bidi/>
            </w:pPr>
            <w:r>
              <w:rPr>
                <w:rtl/>
              </w:rPr>
              <w:t xml:space="preserve">الثاني</w:t>
            </w:r>
          </w:p>
        </w:tc>
        <w:tc>
          <w:tcPr>
            <w:tcW w:w="2077618" w:type="dxa"/>
          </w:tcPr>
          <w:p>
            <w:pPr>
              <w:pStyle w:val="Compact"/>
              <w:bidi/>
            </w:pPr>
            <w:r>
              <w:rPr>
                <w:rtl/>
              </w:rPr>
              <w:t xml:space="preserve">البحث واختيار الموردين (23)</w:t>
            </w:r>
          </w:p>
        </w:tc>
        <w:tc>
          <w:tcPr>
            <w:tcW w:w="2744507" w:type="dxa"/>
          </w:tcPr>
          <w:p>
            <w:pPr>
              <w:pStyle w:val="Compact"/>
              <w:bidi/>
            </w:pPr>
            <w:r>
              <w:rPr>
                <w:rtl/>
              </w:rPr>
              <w:t xml:space="preserve">معايير تقييم الموردين (الفصل الأول، المبحث الخامس)</w:t>
            </w:r>
          </w:p>
        </w:tc>
      </w:tr>
      <w:tr>
        <w:tc>
          <w:tcPr>
            <w:tcW w:w="487873" w:type="dxa"/>
          </w:tcPr>
          <w:p>
            <w:pPr>
              <w:pStyle w:val="Compact"/>
            </w:pPr>
          </w:p>
        </w:tc>
        <w:tc>
          <w:tcPr>
            <w:tcW w:w="2077618" w:type="dxa"/>
          </w:tcPr>
          <w:p>
            <w:pPr>
              <w:pStyle w:val="Compact"/>
              <w:bidi/>
            </w:pPr>
            <w:r>
              <w:rPr>
                <w:rtl/>
              </w:rPr>
              <w:t xml:space="preserve">إعداد ومراقبة أمر الشراء (24)</w:t>
            </w:r>
          </w:p>
        </w:tc>
        <w:tc>
          <w:tcPr>
            <w:tcW w:w="2744507" w:type="dxa"/>
          </w:tcPr>
          <w:p>
            <w:pPr>
              <w:pStyle w:val="Compact"/>
              <w:bidi/>
            </w:pPr>
            <w:r>
              <w:rPr>
                <w:rtl/>
              </w:rPr>
              <w:t xml:space="preserve">الدورة المستندية الكاملة (الفصل الأول، المبحث الثالث)</w:t>
            </w:r>
          </w:p>
        </w:tc>
      </w:tr>
      <w:tr>
        <w:tc>
          <w:tcPr>
            <w:tcW w:w="487873" w:type="dxa"/>
          </w:tcPr>
          <w:p>
            <w:pPr>
              <w:pStyle w:val="Compact"/>
            </w:pPr>
          </w:p>
        </w:tc>
        <w:tc>
          <w:tcPr>
            <w:tcW w:w="2077618" w:type="dxa"/>
          </w:tcPr>
          <w:p>
            <w:pPr>
              <w:pStyle w:val="Compact"/>
              <w:bidi/>
            </w:pPr>
            <w:r>
              <w:rPr>
                <w:rtl/>
              </w:rPr>
              <w:t xml:space="preserve">الحساب التجاري (25)</w:t>
            </w:r>
          </w:p>
        </w:tc>
        <w:tc>
          <w:tcPr>
            <w:tcW w:w="2744507" w:type="dxa"/>
          </w:tcPr>
          <w:p>
            <w:pPr>
              <w:pStyle w:val="Compact"/>
              <w:bidi/>
            </w:pPr>
            <w:r>
              <w:rPr>
                <w:rtl/>
              </w:rPr>
              <w:t xml:space="preserve">حسابات التكلفة الإجمالية، CMUP المتحرك (الفصل الأول)</w:t>
            </w:r>
          </w:p>
        </w:tc>
      </w:tr>
      <w:tr>
        <w:tc>
          <w:tcPr>
            <w:tcW w:w="487873" w:type="dxa"/>
          </w:tcPr>
          <w:p>
            <w:pPr>
              <w:pStyle w:val="Compact"/>
            </w:pPr>
          </w:p>
        </w:tc>
        <w:tc>
          <w:tcPr>
            <w:tcW w:w="2077618" w:type="dxa"/>
          </w:tcPr>
          <w:p>
            <w:pPr>
              <w:pStyle w:val="Compact"/>
              <w:bidi/>
            </w:pPr>
            <w:r>
              <w:rPr>
                <w:rtl/>
              </w:rPr>
              <w:t xml:space="preserve">تطبيق قواعد الصحة والأمن والبيئة (26)</w:t>
            </w:r>
          </w:p>
        </w:tc>
        <w:tc>
          <w:tcPr>
            <w:tcW w:w="2744507" w:type="dxa"/>
          </w:tcPr>
          <w:p>
            <w:pPr>
              <w:pStyle w:val="Compact"/>
              <w:bidi/>
            </w:pPr>
            <w:r>
              <w:rPr>
                <w:rtl/>
              </w:rPr>
              <w:t xml:space="preserve">حماية البيانات، ACID، الصلاحيات (الفصل الثالث)</w:t>
            </w:r>
          </w:p>
        </w:tc>
      </w:tr>
      <w:tr>
        <w:tc>
          <w:tcPr>
            <w:tcW w:w="487873" w:type="dxa"/>
          </w:tcPr>
          <w:p>
            <w:pPr>
              <w:pStyle w:val="Compact"/>
            </w:pPr>
          </w:p>
        </w:tc>
        <w:tc>
          <w:tcPr>
            <w:tcW w:w="2077618" w:type="dxa"/>
          </w:tcPr>
          <w:p>
            <w:pPr>
              <w:pStyle w:val="Compact"/>
              <w:bidi/>
            </w:pPr>
            <w:r>
              <w:rPr>
                <w:rtl/>
              </w:rPr>
              <w:t xml:space="preserve">القانون التجاري (27)</w:t>
            </w:r>
          </w:p>
        </w:tc>
        <w:tc>
          <w:tcPr>
            <w:tcW w:w="2744507" w:type="dxa"/>
          </w:tcPr>
          <w:p>
            <w:pPr>
              <w:pStyle w:val="Compact"/>
              <w:bidi/>
            </w:pPr>
            <w:r>
              <w:rPr>
                <w:rtl/>
              </w:rPr>
              <w:t xml:space="preserve">الصفقات العمومية، المرسوم 15-247 (الفصل الثاني)</w:t>
            </w:r>
          </w:p>
        </w:tc>
      </w:tr>
      <w:tr>
        <w:tc>
          <w:tcPr>
            <w:tcW w:w="487873" w:type="dxa"/>
          </w:tcPr>
          <w:p>
            <w:pPr>
              <w:pStyle w:val="Compact"/>
            </w:pPr>
          </w:p>
        </w:tc>
        <w:tc>
          <w:tcPr>
            <w:tcW w:w="2077618" w:type="dxa"/>
          </w:tcPr>
          <w:p>
            <w:pPr>
              <w:pStyle w:val="Compact"/>
              <w:bidi/>
            </w:pPr>
            <w:r>
              <w:rPr>
                <w:rtl/>
              </w:rPr>
              <w:t xml:space="preserve">الوثائق التجارية (28)</w:t>
            </w:r>
          </w:p>
        </w:tc>
        <w:tc>
          <w:tcPr>
            <w:tcW w:w="2744507" w:type="dxa"/>
          </w:tcPr>
          <w:p>
            <w:pPr>
              <w:pStyle w:val="Compact"/>
              <w:bidi/>
            </w:pPr>
            <w:r>
              <w:rPr>
                <w:rtl/>
              </w:rPr>
              <w:t xml:space="preserve">أوامر الشراء، وصل الاستلام، الفواتير (الفصل الأول)</w:t>
            </w:r>
          </w:p>
        </w:tc>
      </w:tr>
      <w:tr>
        <w:tc>
          <w:tcPr>
            <w:tcW w:w="487873" w:type="dxa"/>
          </w:tcPr>
          <w:p>
            <w:pPr>
              <w:pStyle w:val="Compact"/>
              <w:bidi/>
            </w:pPr>
            <w:r>
              <w:rPr>
                <w:rtl/>
              </w:rPr>
              <w:t xml:space="preserve">الثالث</w:t>
            </w:r>
          </w:p>
        </w:tc>
        <w:tc>
          <w:tcPr>
            <w:tcW w:w="2077618" w:type="dxa"/>
          </w:tcPr>
          <w:p>
            <w:pPr>
              <w:pStyle w:val="Compact"/>
              <w:bidi/>
            </w:pPr>
            <w:r>
              <w:rPr>
                <w:rtl/>
              </w:rPr>
              <w:t xml:space="preserve">تسجيل ومراقبة التوريدات (29)</w:t>
            </w:r>
          </w:p>
        </w:tc>
        <w:tc>
          <w:tcPr>
            <w:tcW w:w="2744507" w:type="dxa"/>
          </w:tcPr>
          <w:p>
            <w:pPr>
              <w:pStyle w:val="Compact"/>
              <w:bidi/>
            </w:pPr>
            <w:r>
              <w:rPr>
                <w:rtl/>
              </w:rPr>
              <w:t xml:space="preserve">سجل الحركات الرقمي، CMUP الآلي (الفصل الثالث)</w:t>
            </w:r>
          </w:p>
        </w:tc>
      </w:tr>
      <w:tr>
        <w:tc>
          <w:tcPr>
            <w:tcW w:w="487873" w:type="dxa"/>
          </w:tcPr>
          <w:p>
            <w:pPr>
              <w:pStyle w:val="Compact"/>
            </w:pPr>
          </w:p>
        </w:tc>
        <w:tc>
          <w:tcPr>
            <w:tcW w:w="2077618" w:type="dxa"/>
          </w:tcPr>
          <w:p>
            <w:pPr>
              <w:pStyle w:val="Compact"/>
              <w:bidi/>
            </w:pPr>
            <w:r>
              <w:rPr>
                <w:rtl/>
              </w:rPr>
              <w:t xml:space="preserve">إجراء الجرد الفعلي (30)</w:t>
            </w:r>
          </w:p>
        </w:tc>
        <w:tc>
          <w:tcPr>
            <w:tcW w:w="2744507" w:type="dxa"/>
          </w:tcPr>
          <w:p>
            <w:pPr>
              <w:pStyle w:val="Compact"/>
              <w:bidi/>
            </w:pPr>
            <w:r>
              <w:rPr>
                <w:rtl/>
              </w:rPr>
              <w:t xml:space="preserve">الجرد الآلي، مقارنة الرصيد الفعلي بالدفتري (الفصل الرابع)</w:t>
            </w:r>
          </w:p>
        </w:tc>
      </w:tr>
      <w:tr>
        <w:tc>
          <w:tcPr>
            <w:tcW w:w="487873" w:type="dxa"/>
          </w:tcPr>
          <w:p>
            <w:pPr>
              <w:pStyle w:val="Compact"/>
            </w:pPr>
          </w:p>
        </w:tc>
        <w:tc>
          <w:tcPr>
            <w:tcW w:w="2077618" w:type="dxa"/>
          </w:tcPr>
          <w:p>
            <w:pPr>
              <w:pStyle w:val="Compact"/>
              <w:bidi/>
            </w:pPr>
            <w:r>
              <w:rPr>
                <w:rtl/>
              </w:rPr>
              <w:t xml:space="preserve">إجراء الجرد المحاسبي (31)</w:t>
            </w:r>
          </w:p>
        </w:tc>
        <w:tc>
          <w:tcPr>
            <w:tcW w:w="2744507" w:type="dxa"/>
          </w:tcPr>
          <w:p>
            <w:pPr>
              <w:pStyle w:val="Compact"/>
              <w:bidi/>
            </w:pPr>
            <w:r>
              <w:rPr>
                <w:rtl/>
              </w:rPr>
              <w:t xml:space="preserve">تقييم المخزون، CMUP، FIFO (الفصل الأول)</w:t>
            </w:r>
          </w:p>
        </w:tc>
      </w:tr>
      <w:tr>
        <w:tc>
          <w:tcPr>
            <w:tcW w:w="487873" w:type="dxa"/>
          </w:tcPr>
          <w:p>
            <w:pPr>
              <w:pStyle w:val="Compact"/>
            </w:pPr>
          </w:p>
        </w:tc>
        <w:tc>
          <w:tcPr>
            <w:tcW w:w="2077618" w:type="dxa"/>
          </w:tcPr>
          <w:p>
            <w:pPr>
              <w:pStyle w:val="Compact"/>
              <w:bidi/>
            </w:pPr>
            <w:r>
              <w:rPr>
                <w:rtl/>
              </w:rPr>
              <w:t xml:space="preserve">دراسة وسائل النقل (32)</w:t>
            </w:r>
          </w:p>
        </w:tc>
        <w:tc>
          <w:tcPr>
            <w:tcW w:w="2744507" w:type="dxa"/>
          </w:tcPr>
          <w:p>
            <w:pPr>
              <w:pStyle w:val="Compact"/>
              <w:bidi/>
            </w:pPr>
            <w:r>
              <w:rPr>
                <w:rtl/>
              </w:rPr>
              <w:t xml:space="preserve">أثر الموقع الجغرافي على سلاسل الإمداد (الفصل الثاني)</w:t>
            </w:r>
          </w:p>
        </w:tc>
      </w:tr>
      <w:tr>
        <w:tc>
          <w:tcPr>
            <w:tcW w:w="487873" w:type="dxa"/>
          </w:tcPr>
          <w:p>
            <w:pPr>
              <w:pStyle w:val="Compact"/>
            </w:pPr>
          </w:p>
        </w:tc>
        <w:tc>
          <w:tcPr>
            <w:tcW w:w="2077618" w:type="dxa"/>
          </w:tcPr>
          <w:p>
            <w:pPr>
              <w:pStyle w:val="Compact"/>
              <w:bidi/>
            </w:pPr>
            <w:r>
              <w:rPr>
                <w:rtl/>
              </w:rPr>
              <w:t xml:space="preserve">تحديد الاحتياجات وعناصر برنامج التوريد (33)</w:t>
            </w:r>
          </w:p>
        </w:tc>
        <w:tc>
          <w:tcPr>
            <w:tcW w:w="2744507" w:type="dxa"/>
          </w:tcPr>
          <w:p>
            <w:pPr>
              <w:pStyle w:val="Compact"/>
              <w:bidi/>
            </w:pPr>
            <w:r>
              <w:rPr>
                <w:rtl/>
              </w:rPr>
              <w:t xml:space="preserve">تقدير D من البيانات الفعلية، ROP الفردي (الفصل الثالث)</w:t>
            </w:r>
          </w:p>
        </w:tc>
      </w:tr>
      <w:tr>
        <w:tc>
          <w:tcPr>
            <w:tcW w:w="487873" w:type="dxa"/>
          </w:tcPr>
          <w:p>
            <w:pPr>
              <w:pStyle w:val="Compact"/>
            </w:pPr>
          </w:p>
        </w:tc>
        <w:tc>
          <w:tcPr>
            <w:tcW w:w="2077618" w:type="dxa"/>
          </w:tcPr>
          <w:p>
            <w:pPr>
              <w:pStyle w:val="Compact"/>
              <w:bidi/>
            </w:pPr>
            <w:r>
              <w:rPr>
                <w:rtl/>
              </w:rPr>
              <w:t xml:space="preserve">الإدارة الفعالة للتوريدات (34)</w:t>
            </w:r>
          </w:p>
        </w:tc>
        <w:tc>
          <w:tcPr>
            <w:tcW w:w="2744507" w:type="dxa"/>
          </w:tcPr>
          <w:p>
            <w:pPr>
              <w:pStyle w:val="Compact"/>
              <w:bidi/>
            </w:pPr>
            <w:r>
              <w:rPr>
                <w:rtl/>
              </w:rPr>
              <w:t xml:space="preserve">محرك الذكاء المحلي، ABC-XYZ (الفصل الثالث)</w:t>
            </w:r>
          </w:p>
        </w:tc>
      </w:tr>
      <w:tr>
        <w:tc>
          <w:tcPr>
            <w:tcW w:w="487873" w:type="dxa"/>
          </w:tcPr>
          <w:p>
            <w:pPr>
              <w:pStyle w:val="Compact"/>
            </w:pPr>
          </w:p>
        </w:tc>
        <w:tc>
          <w:tcPr>
            <w:tcW w:w="2077618" w:type="dxa"/>
          </w:tcPr>
          <w:p>
            <w:pPr>
              <w:pStyle w:val="Compact"/>
              <w:bidi/>
            </w:pPr>
            <w:r>
              <w:rPr>
                <w:rtl/>
              </w:rPr>
              <w:t xml:space="preserve">تقنيات التعبير والتواصل (35)</w:t>
            </w:r>
          </w:p>
        </w:tc>
        <w:tc>
          <w:tcPr>
            <w:tcW w:w="2744507" w:type="dxa"/>
          </w:tcPr>
          <w:p>
            <w:pPr>
              <w:pStyle w:val="Compact"/>
              <w:bidi/>
            </w:pPr>
            <w:r>
              <w:rPr>
                <w:rtl/>
              </w:rPr>
              <w:t xml:space="preserve">واجهة المستخدم، لوحة القيادة (الفصل الرابع)</w:t>
            </w:r>
          </w:p>
        </w:tc>
      </w:tr>
      <w:tr>
        <w:tc>
          <w:tcPr>
            <w:tcW w:w="487873" w:type="dxa"/>
          </w:tcPr>
          <w:p>
            <w:pPr>
              <w:pStyle w:val="Compact"/>
            </w:pPr>
          </w:p>
        </w:tc>
        <w:tc>
          <w:tcPr>
            <w:tcW w:w="2077618" w:type="dxa"/>
          </w:tcPr>
          <w:p>
            <w:pPr>
              <w:pStyle w:val="Compact"/>
              <w:bidi/>
            </w:pPr>
            <w:r>
              <w:rPr>
                <w:rtl/>
              </w:rPr>
              <w:t xml:space="preserve">اقتصاد المؤسسة (36)</w:t>
            </w:r>
          </w:p>
        </w:tc>
        <w:tc>
          <w:tcPr>
            <w:tcW w:w="2744507" w:type="dxa"/>
          </w:tcPr>
          <w:p>
            <w:pPr>
              <w:pStyle w:val="Compact"/>
              <w:bidi/>
            </w:pPr>
            <w:r>
              <w:rPr>
                <w:rtl/>
              </w:rPr>
              <w:t xml:space="preserve">تحليل التكاليف، العائد على الاستثمار (الفصل الرابع)</w:t>
            </w:r>
          </w:p>
        </w:tc>
      </w:tr>
      <w:tr>
        <w:tc>
          <w:tcPr>
            <w:tcW w:w="487873" w:type="dxa"/>
          </w:tcPr>
          <w:p>
            <w:pPr>
              <w:pStyle w:val="Compact"/>
            </w:pPr>
          </w:p>
        </w:tc>
        <w:tc>
          <w:tcPr>
            <w:tcW w:w="2077618" w:type="dxa"/>
          </w:tcPr>
          <w:p>
            <w:pPr>
              <w:pStyle w:val="Compact"/>
              <w:bidi/>
            </w:pPr>
            <w:r>
              <w:rPr>
                <w:rtl/>
              </w:rPr>
              <w:t xml:space="preserve">الإحصاء الوصفي (37)</w:t>
            </w:r>
          </w:p>
        </w:tc>
        <w:tc>
          <w:tcPr>
            <w:tcW w:w="2744507" w:type="dxa"/>
          </w:tcPr>
          <w:p>
            <w:pPr>
              <w:pStyle w:val="Compact"/>
              <w:bidi/>
            </w:pPr>
            <w:r>
              <w:rPr>
                <w:rtl/>
              </w:rPr>
              <w:t xml:space="preserve">معامل التباين CV، تحليل XYZ (الفصل الثاني)</w:t>
            </w:r>
          </w:p>
        </w:tc>
      </w:tr>
      <w:tr>
        <w:tc>
          <w:tcPr>
            <w:tcW w:w="487873" w:type="dxa"/>
          </w:tcPr>
          <w:p>
            <w:pPr>
              <w:pStyle w:val="Compact"/>
              <w:bidi/>
            </w:pPr>
            <w:r>
              <w:rPr>
                <w:rtl/>
              </w:rPr>
              <w:t xml:space="preserve">الرابع</w:t>
            </w:r>
          </w:p>
        </w:tc>
        <w:tc>
          <w:tcPr>
            <w:tcW w:w="2077618" w:type="dxa"/>
          </w:tcPr>
          <w:p>
            <w:pPr>
              <w:pStyle w:val="Compact"/>
              <w:bidi/>
            </w:pPr>
            <w:r>
              <w:rPr>
                <w:rtl/>
              </w:rPr>
              <w:t xml:space="preserve">التخطيط الاستراتيجي للوجستيك (38)</w:t>
            </w:r>
          </w:p>
        </w:tc>
        <w:tc>
          <w:tcPr>
            <w:tcW w:w="2744507" w:type="dxa"/>
          </w:tcPr>
          <w:p>
            <w:pPr>
              <w:pStyle w:val="Compact"/>
              <w:bidi/>
            </w:pPr>
            <w:r>
              <w:rPr>
                <w:rtl/>
              </w:rPr>
              <w:t xml:space="preserve">مصفوفة ABC-XYZ، الاستراتيجيات الموجهة (الفصل الثاني)</w:t>
            </w:r>
          </w:p>
        </w:tc>
      </w:tr>
      <w:tr>
        <w:tc>
          <w:tcPr>
            <w:tcW w:w="487873" w:type="dxa"/>
          </w:tcPr>
          <w:p>
            <w:pPr>
              <w:pStyle w:val="Compact"/>
            </w:pPr>
          </w:p>
        </w:tc>
        <w:tc>
          <w:tcPr>
            <w:tcW w:w="2077618" w:type="dxa"/>
          </w:tcPr>
          <w:p>
            <w:pPr>
              <w:pStyle w:val="Compact"/>
              <w:bidi/>
            </w:pPr>
            <w:r>
              <w:rPr>
                <w:rtl/>
              </w:rPr>
              <w:t xml:space="preserve">التخطيط الاستراتيجي (39)</w:t>
            </w:r>
          </w:p>
        </w:tc>
        <w:tc>
          <w:tcPr>
            <w:tcW w:w="2744507" w:type="dxa"/>
          </w:tcPr>
          <w:p>
            <w:pPr>
              <w:pStyle w:val="Compact"/>
              <w:bidi/>
            </w:pPr>
            <w:r>
              <w:rPr>
                <w:rtl/>
              </w:rPr>
              <w:t xml:space="preserve">توصيات الانتقال نحو قاعدة بيانات Access/Odoo (الفصل الرابع)</w:t>
            </w:r>
          </w:p>
        </w:tc>
      </w:tr>
      <w:tr>
        <w:tc>
          <w:tcPr>
            <w:tcW w:w="487873" w:type="dxa"/>
          </w:tcPr>
          <w:p>
            <w:pPr>
              <w:pStyle w:val="Compact"/>
            </w:pPr>
          </w:p>
        </w:tc>
        <w:tc>
          <w:tcPr>
            <w:tcW w:w="2077618" w:type="dxa"/>
          </w:tcPr>
          <w:p>
            <w:pPr>
              <w:pStyle w:val="Compact"/>
              <w:bidi/>
            </w:pPr>
            <w:r>
              <w:rPr>
                <w:rtl/>
              </w:rPr>
              <w:t xml:space="preserve">تجديد الأمر (40)</w:t>
            </w:r>
          </w:p>
        </w:tc>
        <w:tc>
          <w:tcPr>
            <w:tcW w:w="2744507" w:type="dxa"/>
          </w:tcPr>
          <w:p>
            <w:pPr>
              <w:pStyle w:val="Compact"/>
              <w:bidi/>
            </w:pPr>
            <w:r>
              <w:rPr>
                <w:rtl/>
              </w:rPr>
              <w:t xml:space="preserve">أتمتة ROP، التنبيه الآلي (الفصل الثالث)</w:t>
            </w:r>
          </w:p>
        </w:tc>
      </w:tr>
      <w:tr>
        <w:tc>
          <w:tcPr>
            <w:tcW w:w="487873" w:type="dxa"/>
          </w:tcPr>
          <w:p>
            <w:pPr>
              <w:pStyle w:val="Compact"/>
            </w:pPr>
          </w:p>
        </w:tc>
        <w:tc>
          <w:tcPr>
            <w:tcW w:w="2077618" w:type="dxa"/>
          </w:tcPr>
          <w:p>
            <w:pPr>
              <w:pStyle w:val="Compact"/>
              <w:bidi/>
            </w:pPr>
            <w:r>
              <w:rPr>
                <w:rtl/>
              </w:rPr>
              <w:t xml:space="preserve">المتابعة والتحكم في المواد المسلَّمة (41)</w:t>
            </w:r>
          </w:p>
        </w:tc>
        <w:tc>
          <w:tcPr>
            <w:tcW w:w="2744507" w:type="dxa"/>
          </w:tcPr>
          <w:p>
            <w:pPr>
              <w:pStyle w:val="Compact"/>
              <w:bidi/>
            </w:pPr>
            <w:r>
              <w:rPr>
                <w:rtl/>
              </w:rPr>
              <w:t xml:space="preserve">سلسلة الحراسة السداسية (الفصل الثالث)</w:t>
            </w:r>
          </w:p>
        </w:tc>
      </w:tr>
      <w:tr>
        <w:tc>
          <w:tcPr>
            <w:tcW w:w="487873" w:type="dxa"/>
          </w:tcPr>
          <w:p>
            <w:pPr>
              <w:pStyle w:val="Compact"/>
            </w:pPr>
          </w:p>
        </w:tc>
        <w:tc>
          <w:tcPr>
            <w:tcW w:w="2077618" w:type="dxa"/>
          </w:tcPr>
          <w:p>
            <w:pPr>
              <w:pStyle w:val="Compact"/>
              <w:bidi/>
            </w:pPr>
            <w:r>
              <w:rPr>
                <w:rtl/>
              </w:rPr>
              <w:t xml:space="preserve">تنظيم الوسائل اللوجستيكية (42)</w:t>
            </w:r>
          </w:p>
        </w:tc>
        <w:tc>
          <w:tcPr>
            <w:tcW w:w="2744507" w:type="dxa"/>
          </w:tcPr>
          <w:p>
            <w:pPr>
              <w:pStyle w:val="Compact"/>
              <w:bidi/>
            </w:pPr>
            <w:r>
              <w:rPr>
                <w:rtl/>
              </w:rPr>
              <w:t xml:space="preserve">هندسة أوراق العمل، بنية المستودع (الفصل الثالث)</w:t>
            </w:r>
          </w:p>
        </w:tc>
      </w:tr>
      <w:tr>
        <w:tc>
          <w:tcPr>
            <w:tcW w:w="487873" w:type="dxa"/>
          </w:tcPr>
          <w:p>
            <w:pPr>
              <w:pStyle w:val="Compact"/>
            </w:pPr>
          </w:p>
        </w:tc>
        <w:tc>
          <w:tcPr>
            <w:tcW w:w="2077618" w:type="dxa"/>
          </w:tcPr>
          <w:p>
            <w:pPr>
              <w:pStyle w:val="Compact"/>
              <w:bidi/>
            </w:pPr>
            <w:r>
              <w:rPr>
                <w:rtl/>
              </w:rPr>
              <w:t xml:space="preserve">التسيير الميزانياتي (43)</w:t>
            </w:r>
          </w:p>
        </w:tc>
        <w:tc>
          <w:tcPr>
            <w:tcW w:w="2744507" w:type="dxa"/>
          </w:tcPr>
          <w:p>
            <w:pPr>
              <w:pStyle w:val="Compact"/>
              <w:bidi/>
            </w:pPr>
            <w:r>
              <w:rPr>
                <w:rtl/>
              </w:rPr>
              <w:t xml:space="preserve">تكلفة الطلب S المُستخرجة ميدانياً (الفصل الأول)</w:t>
            </w:r>
          </w:p>
        </w:tc>
      </w:tr>
      <w:tr>
        <w:tc>
          <w:tcPr>
            <w:tcW w:w="487873" w:type="dxa"/>
          </w:tcPr>
          <w:p>
            <w:pPr>
              <w:pStyle w:val="Compact"/>
            </w:pPr>
          </w:p>
        </w:tc>
        <w:tc>
          <w:tcPr>
            <w:tcW w:w="2077618" w:type="dxa"/>
          </w:tcPr>
          <w:p>
            <w:pPr>
              <w:pStyle w:val="Compact"/>
              <w:bidi/>
            </w:pPr>
            <w:r>
              <w:rPr>
                <w:rtl/>
              </w:rPr>
              <w:t xml:space="preserve">الإنجليزية التجارية (44)</w:t>
            </w:r>
          </w:p>
        </w:tc>
        <w:tc>
          <w:tcPr>
            <w:tcW w:w="2744507" w:type="dxa"/>
          </w:tcPr>
          <w:p>
            <w:pPr>
              <w:pStyle w:val="Compact"/>
              <w:bidi/>
            </w:pPr>
            <w:r>
              <w:rPr>
                <w:rtl/>
              </w:rPr>
              <w:t xml:space="preserve">الملخص الإنجليزي Résumé</w:t>
            </w:r>
          </w:p>
        </w:tc>
      </w:tr>
      <w:tr>
        <w:tc>
          <w:tcPr>
            <w:tcW w:w="487873" w:type="dxa"/>
          </w:tcPr>
          <w:p>
            <w:pPr>
              <w:pStyle w:val="Compact"/>
            </w:pPr>
          </w:p>
        </w:tc>
        <w:tc>
          <w:tcPr>
            <w:tcW w:w="2077618" w:type="dxa"/>
          </w:tcPr>
          <w:p>
            <w:pPr>
              <w:pStyle w:val="Compact"/>
              <w:bidi/>
            </w:pPr>
            <w:r>
              <w:rPr>
                <w:rtl/>
              </w:rPr>
              <w:t xml:space="preserve">تنظيم المواد (45)</w:t>
            </w:r>
          </w:p>
        </w:tc>
        <w:tc>
          <w:tcPr>
            <w:tcW w:w="2744507" w:type="dxa"/>
          </w:tcPr>
          <w:p>
            <w:pPr>
              <w:pStyle w:val="Compact"/>
              <w:bidi/>
            </w:pPr>
            <w:r>
              <w:rPr>
                <w:rtl/>
              </w:rPr>
              <w:t xml:space="preserve">تصنيف ABC، ترميز الأصناف ART-001→ART-012 (الفصل الثاني)</w:t>
            </w:r>
          </w:p>
        </w:tc>
      </w:tr>
      <w:tr>
        <w:tc>
          <w:tcPr>
            <w:tcW w:w="487873" w:type="dxa"/>
          </w:tcPr>
          <w:p>
            <w:pPr>
              <w:pStyle w:val="Compact"/>
            </w:pPr>
          </w:p>
        </w:tc>
        <w:tc>
          <w:tcPr>
            <w:tcW w:w="2077618" w:type="dxa"/>
          </w:tcPr>
          <w:p>
            <w:pPr>
              <w:pStyle w:val="Compact"/>
              <w:bidi/>
            </w:pPr>
            <w:r>
              <w:rPr>
                <w:rtl/>
              </w:rPr>
              <w:t xml:space="preserve">المنهجية (46)</w:t>
            </w:r>
          </w:p>
        </w:tc>
        <w:tc>
          <w:tcPr>
            <w:tcW w:w="2744507" w:type="dxa"/>
          </w:tcPr>
          <w:p>
            <w:pPr>
              <w:pStyle w:val="Compact"/>
              <w:bidi/>
            </w:pPr>
            <w:r>
              <w:rPr>
                <w:rtl/>
              </w:rPr>
              <w:t xml:space="preserve">المنهج الوصفي التحليلي + التجريبي التطبيقي (المقدمة)</w:t>
            </w:r>
          </w:p>
        </w:tc>
      </w:tr>
      <w:tr>
        <w:tc>
          <w:tcPr>
            <w:tcW w:w="487873" w:type="dxa"/>
          </w:tcPr>
          <w:p>
            <w:pPr>
              <w:pStyle w:val="Compact"/>
            </w:pPr>
          </w:p>
        </w:tc>
        <w:tc>
          <w:tcPr>
            <w:tcW w:w="2077618" w:type="dxa"/>
          </w:tcPr>
          <w:p>
            <w:pPr>
              <w:pStyle w:val="Compact"/>
              <w:bidi/>
            </w:pPr>
            <w:r>
              <w:rPr>
                <w:rtl/>
              </w:rPr>
              <w:t xml:space="preserve">المعجم اللوجستيكي (47)</w:t>
            </w:r>
          </w:p>
        </w:tc>
        <w:tc>
          <w:tcPr>
            <w:tcW w:w="2744507" w:type="dxa"/>
          </w:tcPr>
          <w:p>
            <w:pPr>
              <w:pStyle w:val="Compact"/>
              <w:bidi/>
            </w:pPr>
            <w:r>
              <w:rPr>
                <w:rtl/>
              </w:rPr>
              <w:t xml:space="preserve">جدول المختصرات والرموز التقنية (خاتمة المذكرة)</w:t>
            </w:r>
          </w:p>
        </w:tc>
      </w:tr>
    </w:tbl>
    <w:bookmarkEnd w:id="19"/>
    <w:bookmarkEnd w:id="20"/>
    <w:bookmarkStart w:id="51" w:name="Xdded5c7f65391e1348f873ece249db48d441899"/>
    <w:p>
      <w:pPr>
        <w:pStyle w:val="Heading1"/>
        <w:bidi/>
      </w:pPr>
      <w:r>
        <w:rPr>
          <w:rtl/>
        </w:rPr>
        <w:t xml:space="preserve">الفصل الأول: الإطار النظري للتسيير اللوجيستي</w:t>
      </w:r>
    </w:p>
    <w:p>
      <w:pPr>
        <w:bidi/>
      </w:pPr>
      <w:r>
        <w:rPr>
          <w:rtl/>
        </w:rPr>
        <w:t xml:space="preserve">تمهيد الفصل</w:t>
      </w:r>
      <w:r>
        <w:rPr>
          <w:rtl/>
        </w:rPr>
        <w:t xml:space="preserve"> </w:t>
      </w:r>
      <w:r>
        <w:rPr>
          <w:rtl/>
        </w:rPr>
        <w:t xml:space="preserve">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bookmarkStart w:id="28" w:name="X948e1094553a531d6db6f4893473d29311c3135"/>
    <w:p>
      <w:pPr>
        <w:pStyle w:val="Heading2"/>
        <w:bidi/>
      </w:pPr>
      <w:r>
        <w:rPr>
          <w:rtl/>
        </w:rPr>
        <w:t xml:space="preserve">المبحث الأول: المفاهيم الأساسية للتسيير اللوجيستي</w:t>
      </w:r>
    </w:p>
    <w:bookmarkStart w:id="22" w:name="X247cbabf78344c01f65d8fa3842cf79ae40a79e"/>
    <w:p>
      <w:pPr>
        <w:pStyle w:val="Heading3"/>
        <w:bidi/>
      </w:pPr>
      <w:r>
        <w:rPr>
          <w:rtl/>
        </w:rPr>
        <w:t xml:space="preserve">1. مفهوم التسيير اللوجيستي (Logistics Management)</w:t>
      </w:r>
    </w:p>
    <w:p>
      <w:pPr>
        <w:bidi/>
      </w:pPr>
      <w:r>
        <w:rPr>
          <w:rtl/>
        </w:rPr>
        <w:t xml:space="preserve">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w:t>
      </w:r>
      <w:r>
        <w:rPr>
          <w:rtl/>
        </w:rPr>
        <w:t xml:space="preserve"> </w:t>
      </w:r>
      <w:r>
        <w:rPr>
          <w:rtl/>
        </w:rPr>
        <w:t xml:space="preserve">“ذلك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tl/>
        </w:rPr>
        <w:t xml:space="preserve"> </w:t>
      </w:r>
      <w:r>
        <w:rPr>
          <w:rStyle w:val="FootnoteReference"/>
        </w:rPr>
        <w:footnoteReference w:id="21"/>
      </w:r>
      <w:r>
        <w:rPr>
          <w:rtl/>
        </w:rPr>
        <w:t xml:space="preserve">.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bookmarkEnd w:id="22"/>
    <w:bookmarkStart w:id="24" w:name="X78f649da7f72f06c121a511f1800ef6cecef41e"/>
    <w:p>
      <w:pPr>
        <w:pStyle w:val="Heading3"/>
        <w:bidi/>
      </w:pPr>
      <w:r>
        <w:rPr>
          <w:rtl/>
        </w:rPr>
        <w:t xml:space="preserve">2. إدارة سلسلة التوريد (Supply Chain Management - SCM)</w:t>
      </w:r>
    </w:p>
    <w:p>
      <w:pPr>
        <w:bidi/>
      </w:pPr>
      <w:r>
        <w:rPr>
          <w:rtl/>
        </w:rPr>
        <w:t xml:space="preserve">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w:t>
      </w:r>
      <w:r>
        <w:rPr>
          <w:rtl/>
        </w:rPr>
        <w:t xml:space="preserve"> </w:t>
      </w:r>
      <w:r>
        <w:rPr>
          <w:rtl/>
        </w:rPr>
        <w:t xml:space="preserve">“Global Supply Chain Forum”</w:t>
      </w:r>
      <w:r>
        <w:rPr>
          <w:rtl/>
        </w:rPr>
        <w:t xml:space="preserve"> </w:t>
      </w:r>
      <w:r>
        <w:rPr>
          <w:rtl/>
        </w:rPr>
        <w:t xml:space="preserve">(GSCF)، تُعرَّف SCM بأنها:</w:t>
      </w:r>
      <w:r>
        <w:rPr>
          <w:rtl/>
        </w:rPr>
        <w:t xml:space="preserve"> </w:t>
      </w:r>
      <w:r>
        <w:rPr>
          <w:rtl/>
        </w:rPr>
        <w:t xml:space="preserve">“تكامل العمليات التجارية الرئيسية عبر امتداد سلسلة التوريد، بهدف خلق قيمة للزبائن وأصحاب المصلحة”</w:t>
      </w:r>
      <w:r>
        <w:rPr>
          <w:rtl/>
        </w:rPr>
        <w:t xml:space="preserve">. وقد طوّر الباحثان Cooper &amp; Lambert (2000) نموذج GSCF الذي يُحدد 8 عمليات رئيسية في SCM</w:t>
      </w:r>
      <w:r>
        <w:rPr>
          <w:rtl/>
        </w:rPr>
        <w:t xml:space="preserve"> </w:t>
      </w:r>
      <w:r>
        <w:rPr>
          <w:rStyle w:val="FootnoteReference"/>
        </w:rPr>
        <w:footnoteReference w:id="23"/>
      </w:r>
      <w:r>
        <w:rPr>
          <w:rtl/>
        </w:rPr>
        <w:t xml:space="preserve">: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bookmarkEnd w:id="24"/>
    <w:bookmarkStart w:id="27" w:name="دور-المستودعات-وتصنيفها"/>
    <w:p>
      <w:pPr>
        <w:pStyle w:val="Heading3"/>
        <w:bidi/>
      </w:pPr>
      <w:r>
        <w:rPr>
          <w:rtl/>
        </w:rPr>
        <w:t xml:space="preserve">3. دور المستودعات وتصنيفها</w:t>
      </w:r>
    </w:p>
    <w:p>
      <w:pPr>
        <w:bidi/>
      </w:pPr>
      <w:r>
        <w:rPr>
          <w:rtl/>
        </w:rPr>
        <w:t xml:space="preserve">تُمثّل المستودعات العصب الحيوي في أي منظومة لوجيستية، حيث لا تقتصر وظيفتها على مجرد الاحتفاظ بالسلع، بل تمتد لتشمل أربع وظائف استراتيجية على الأقل</w:t>
      </w:r>
      <w:r>
        <w:rPr>
          <w:rtl/>
        </w:rPr>
        <w:t xml:space="preserve"> </w:t>
      </w:r>
      <w:r>
        <w:rPr>
          <w:rStyle w:val="FootnoteReference"/>
        </w:rPr>
        <w:footnoteReference w:id="25"/>
      </w:r>
      <w:r>
        <w:rPr>
          <w:rtl/>
        </w:rPr>
        <w:t xml:space="preserve">:</w:t>
      </w:r>
      <w:r>
        <w:rPr>
          <w:rtl/>
        </w:rPr>
        <w:t xml:space="preserve"> </w:t>
      </w:r>
      <w:r>
        <w:rPr>
          <w:rtl/>
        </w:rPr>
        <w:t xml:space="preserve">-</w:t>
      </w:r>
      <w:r>
        <w:rPr>
          <w:rtl/>
        </w:rPr>
        <w:t xml:space="preserve"> </w:t>
      </w:r>
      <w:r>
        <w:rPr>
          <w:b/>
          <w:bCs/>
          <w:rtl/>
        </w:rPr>
        <w:t xml:space="preserve">تجميع الشحنات: تجميع كميات صغيرة من موردين مختلفين في شحنة واحدة موحدة لتقليل تكاليف النقل وتحسين مردودية وسائل الشحن.</w:t>
      </w:r>
      <w:r>
        <w:rPr>
          <w:rtl/>
        </w:rPr>
        <w:t xml:space="preserve"> </w:t>
      </w:r>
      <w:r>
        <w:rPr>
          <w:rtl/>
        </w:rPr>
        <w:t xml:space="preserve">-</w:t>
      </w:r>
      <w:r>
        <w:rPr>
          <w:rtl/>
        </w:rPr>
        <w:t xml:space="preserve"> </w:t>
      </w:r>
      <w:r>
        <w:rPr>
          <w:b/>
          <w:bCs/>
          <w:rtl/>
        </w:rPr>
        <w:t xml:space="preserve">تجزئة الشحنات: تفكيك الشحنات الكبيرة الواردة إلى وحدات أصغر تتناسب مع احتياجات المستهلكين النهائيين أو الوحدات الداخلية.</w:t>
      </w:r>
      <w:r>
        <w:rPr>
          <w:rtl/>
        </w:rPr>
        <w:t xml:space="preserve"> </w:t>
      </w:r>
      <w:r>
        <w:rPr>
          <w:rtl/>
        </w:rPr>
        <w:t xml:space="preserve">-</w:t>
      </w:r>
      <w:r>
        <w:rPr>
          <w:rtl/>
        </w:rPr>
        <w:t xml:space="preserve"> </w:t>
      </w:r>
      <w:r>
        <w:rPr>
          <w:b/>
          <w:bCs/>
          <w:rtl/>
        </w:rPr>
        <w:t xml:space="preserve">الحماية والتأمين: الحفاظ على سلامة المخزون من التلف المادي أو الضياع أو السرقة، وضمان ظروف تخزين ملائمة (حرارة، رطوبة، تهوية).</w:t>
      </w:r>
      <w:r>
        <w:rPr>
          <w:rtl/>
        </w:rPr>
        <w:t xml:space="preserve"> </w:t>
      </w:r>
      <w:r>
        <w:rPr>
          <w:rtl/>
        </w:rPr>
        <w:t xml:space="preserve">-</w:t>
      </w:r>
      <w:r>
        <w:rPr>
          <w:rtl/>
        </w:rPr>
        <w:t xml:space="preserve"> </w:t>
      </w:r>
      <w:r>
        <w:rPr>
          <w:b/>
          <w:bCs/>
          <w:rtl/>
        </w:rPr>
        <w:t xml:space="preserve">تسهيل التوزيع: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b/>
          <w:bCs/>
          <w:rtl/>
        </w:rPr>
        <w:t xml:space="preserve"> </w:t>
      </w:r>
      <w:r>
        <w:rPr>
          <w:rStyle w:val="FootnoteReference"/>
        </w:rPr>
        <w:footnoteReference w:id="26"/>
      </w:r>
      <w:r>
        <w:rPr>
          <w:b/>
          <w:bCs/>
          <w:rtl/>
        </w:rPr>
        <w:t xml:space="preserve">.</w:t>
      </w:r>
    </w:p>
    <w:bookmarkEnd w:id="27"/>
    <w:bookmarkEnd w:id="28"/>
    <w:bookmarkStart w:id="34" w:name="Xb98e67e6d1739a4d79f518326bb9bac61b25523"/>
    <w:p>
      <w:pPr>
        <w:pStyle w:val="Heading2"/>
        <w:bidi/>
      </w:pPr>
      <w:r>
        <w:rPr>
          <w:rtl/>
        </w:rPr>
        <w:t xml:space="preserve">المبحث الثاني: تسيير المخزونات في القطاع العام</w:t>
      </w:r>
    </w:p>
    <w:bookmarkStart w:id="29" w:name="X4346af033012f584f0f53ef9c9230c3d59e87ac"/>
    <w:p>
      <w:pPr>
        <w:pStyle w:val="Heading3"/>
        <w:bidi/>
      </w:pPr>
      <w:r>
        <w:rPr>
          <w:rtl/>
        </w:rPr>
        <w:t xml:space="preserve">أولاً: تعريف المخزون وأهميته في المؤسسة العمومية</w:t>
      </w:r>
    </w:p>
    <w:p>
      <w:pPr>
        <w:bidi/>
      </w:pPr>
      <w:r>
        <w:rPr>
          <w:rtl/>
        </w:rPr>
        <w:t xml:space="preserve">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r>
        <w:rPr>
          <w:rtl/>
        </w:rPr>
        <w:t xml:space="preserve"> </w:t>
      </w:r>
      <w:r>
        <w:rPr>
          <w:rtl/>
        </w:rPr>
        <w:t xml:space="preserve">-</w:t>
      </w:r>
      <w:r>
        <w:rPr>
          <w:rtl/>
        </w:rPr>
        <w:t xml:space="preserve"> </w:t>
      </w:r>
      <w:r>
        <w:rPr>
          <w:b/>
          <w:bCs/>
          <w:rtl/>
        </w:rPr>
        <w:t xml:space="preserve">المواد الاستهلاكية ذات الدوران السريع: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r>
        <w:rPr>
          <w:rtl/>
        </w:rPr>
        <w:t xml:space="preserve"> </w:t>
      </w:r>
      <w:r>
        <w:rPr>
          <w:rtl/>
        </w:rPr>
        <w:t xml:space="preserve">-</w:t>
      </w:r>
      <w:r>
        <w:rPr>
          <w:rtl/>
        </w:rPr>
        <w:t xml:space="preserve"> </w:t>
      </w:r>
      <w:r>
        <w:rPr>
          <w:b/>
          <w:bCs/>
          <w:rtl/>
        </w:rPr>
        <w:t xml:space="preserve">التجهيزات الدائمة: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bookmarkEnd w:id="29"/>
    <w:bookmarkStart w:id="30" w:name="ثانيا-أهمية-تسيير-المخزون"/>
    <w:p>
      <w:pPr>
        <w:pStyle w:val="Heading3"/>
        <w:bidi/>
      </w:pPr>
      <w:r>
        <w:rPr>
          <w:rtl/>
        </w:rPr>
        <w:t xml:space="preserve">ثانياً: أهمية تسيير المخزون</w:t>
      </w:r>
    </w:p>
    <w:p>
      <w:pPr>
        <w:bidi/>
      </w:pPr>
      <w:r>
        <w:rPr>
          <w:rtl/>
        </w:rPr>
        <w:t xml:space="preserve">تبرز أهمية تسيير المخزون من خلال أربع وظائف استراتيجية متكاملة تتفاعل فيما بينها لتشكل منظومة الإدارة المخزنية:</w:t>
      </w:r>
      <w:r>
        <w:rPr>
          <w:rtl/>
        </w:rPr>
        <w:t xml:space="preserve"> </w:t>
      </w:r>
      <w:r>
        <w:rPr>
          <w:rtl/>
        </w:rPr>
        <w:t xml:space="preserve">-</w:t>
      </w:r>
      <w:r>
        <w:rPr>
          <w:rtl/>
        </w:rPr>
        <w:t xml:space="preserve"> </w:t>
      </w:r>
      <w:r>
        <w:rPr>
          <w:b/>
          <w:bCs/>
          <w:rtl/>
        </w:rPr>
        <w:t xml:space="preserve">وظيفة الأمان والاستمرارية: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r>
        <w:rPr>
          <w:rtl/>
        </w:rPr>
        <w:t xml:space="preserve"> </w:t>
      </w:r>
      <w:r>
        <w:rPr>
          <w:rtl/>
        </w:rPr>
        <w:t xml:space="preserve">-</w:t>
      </w:r>
      <w:r>
        <w:rPr>
          <w:rtl/>
        </w:rPr>
        <w:t xml:space="preserve"> </w:t>
      </w:r>
      <w:r>
        <w:rPr>
          <w:b/>
          <w:bCs/>
          <w:rtl/>
        </w:rPr>
        <w:t xml:space="preserve">وظيفة التوازن الاقتصادي: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w:t>
      </w:r>
      <w:r>
        <w:rPr>
          <w:b/>
          <w:bCs/>
          <w:rtl/>
        </w:rPr>
        <w:t xml:space="preserve"> </w:t>
      </w:r>
      <w:r>
        <w:rPr>
          <w:b/>
          <w:bCs/>
          <w:rtl/>
        </w:rPr>
        <w:t xml:space="preserve">“نقطة التوازن”</w:t>
      </w:r>
      <w:r>
        <w:rPr>
          <w:b/>
          <w:bCs/>
          <w:rtl/>
        </w:rPr>
        <w:t xml:space="preserve"> </w:t>
      </w:r>
      <w:r>
        <w:rPr>
          <w:b/>
          <w:bCs/>
          <w:rtl/>
        </w:rPr>
        <w:t xml:space="preserve">بين هاتين الظاهرتين، وهو ما تُحققه النماذج الكمية التي ستُعرض لاحقاً في هذا الفصل.</w:t>
      </w:r>
      <w:r>
        <w:rPr>
          <w:rtl/>
        </w:rPr>
        <w:t xml:space="preserve"> </w:t>
      </w:r>
      <w:r>
        <w:rPr>
          <w:rtl/>
        </w:rPr>
        <w:t xml:space="preserve">-</w:t>
      </w:r>
      <w:r>
        <w:rPr>
          <w:rtl/>
        </w:rPr>
        <w:t xml:space="preserve"> </w:t>
      </w:r>
      <w:r>
        <w:rPr>
          <w:b/>
          <w:bCs/>
          <w:rtl/>
        </w:rPr>
        <w:t xml:space="preserve">وظيفة الرقابة والمساءلة (Accountability):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r>
        <w:rPr>
          <w:rtl/>
        </w:rPr>
        <w:t xml:space="preserve"> </w:t>
      </w:r>
      <w:r>
        <w:rPr>
          <w:rtl/>
        </w:rPr>
        <w:t xml:space="preserve">-</w:t>
      </w:r>
      <w:r>
        <w:rPr>
          <w:rtl/>
        </w:rPr>
        <w:t xml:space="preserve"> </w:t>
      </w:r>
      <w:r>
        <w:rPr>
          <w:b/>
          <w:bCs/>
          <w:rtl/>
        </w:rPr>
        <w:t xml:space="preserve">وظيفة دعم القرار (Decision Support):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bookmarkEnd w:id="30"/>
    <w:bookmarkStart w:id="33" w:name="ثالثا-الإطار-التنظيمي-الجزائري"/>
    <w:p>
      <w:pPr>
        <w:pStyle w:val="Heading3"/>
        <w:bidi/>
      </w:pPr>
      <w:r>
        <w:rPr>
          <w:rtl/>
        </w:rPr>
        <w:t xml:space="preserve">ثالثاً: الإطار التنظيمي الجزائري</w:t>
      </w:r>
    </w:p>
    <w:p>
      <w:pPr>
        <w:bidi/>
      </w:pPr>
      <w:r>
        <w:rPr>
          <w:b/>
          <w:bCs/>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المرسوم الرئاسي رقم 15-247 المؤرخ في 16 سبتمبر 2015 المتعلق بتنظيم الصفقات العمومية وتسييرها المرجع الأساسي المنظّم لهذا المجال</w:t>
      </w:r>
      <w:r>
        <w:rPr>
          <w:b/>
          <w:bCs/>
          <w:rtl/>
        </w:rPr>
        <w:t xml:space="preserve"> </w:t>
      </w:r>
      <w:r>
        <w:rPr>
          <w:rStyle w:val="FootnoteReference"/>
        </w:rPr>
        <w:footnoteReference w:id="31"/>
      </w:r>
      <w:r>
        <w:rPr>
          <w:b/>
          <w:bCs/>
          <w:rtl/>
        </w:rPr>
        <w:t xml:space="preserve">،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r>
        <w:rPr>
          <w:rtl/>
        </w:rPr>
        <w:t xml:space="preserve"> </w:t>
      </w:r>
      <w:r>
        <w:rPr>
          <w:rtl/>
        </w:rPr>
        <w:t xml:space="preserve">-</w:t>
      </w:r>
      <w:r>
        <w:rPr>
          <w:rtl/>
        </w:rPr>
        <w:t xml:space="preserve"> </w:t>
      </w:r>
      <w:r>
        <w:rPr>
          <w:b/>
          <w:bCs/>
          <w:rtl/>
        </w:rPr>
        <w:t xml:space="preserve">مبدأ الشفافية والمساواة: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r>
        <w:rPr>
          <w:rtl/>
        </w:rPr>
        <w:t xml:space="preserve"> </w:t>
      </w:r>
      <w:r>
        <w:rPr>
          <w:rtl/>
        </w:rPr>
        <w:t xml:space="preserve">-</w:t>
      </w:r>
      <w:r>
        <w:rPr>
          <w:rtl/>
        </w:rPr>
        <w:t xml:space="preserve"> </w:t>
      </w:r>
      <w:r>
        <w:rPr>
          <w:b/>
          <w:bCs/>
          <w:rtl/>
        </w:rPr>
        <w:t xml:space="preserve">الرقابة المالية المُسبقة: تخضع جميع عمليات الشراء التي تتجاوز عتبة مالية معيّنة (محددة سنوياً في قانون المالية) لرقابة</w:t>
      </w:r>
      <w:r>
        <w:rPr>
          <w:b/>
          <w:bCs/>
          <w:rtl/>
        </w:rPr>
        <w:t xml:space="preserve"> </w:t>
      </w:r>
      <w:r>
        <w:rPr>
          <w:b/>
          <w:bCs/>
          <w:rtl/>
        </w:rPr>
        <w:t xml:space="preserve">“المراقب المالي”</w:t>
      </w:r>
      <w:r>
        <w:rPr>
          <w:b/>
          <w:bCs/>
          <w:rtl/>
        </w:rPr>
        <w:t xml:space="preserve"> </w:t>
      </w:r>
      <w:r>
        <w:rPr>
          <w:b/>
          <w:bCs/>
          <w:rtl/>
        </w:rPr>
        <w:t xml:space="preserve">المُعتمد لدى المديرية، والذي يتحقق من توفر الاعتمادات المالية ومطابقة الإجراءات للقوانين الجاري بها العمل قبل إصدار الأمر بالشراء.</w:t>
      </w:r>
      <w:r>
        <w:rPr>
          <w:rtl/>
        </w:rPr>
        <w:t xml:space="preserve"> </w:t>
      </w:r>
      <w:r>
        <w:rPr>
          <w:rtl/>
        </w:rPr>
        <w:t xml:space="preserve">-</w:t>
      </w:r>
      <w:r>
        <w:rPr>
          <w:rtl/>
        </w:rPr>
        <w:t xml:space="preserve"> </w:t>
      </w:r>
      <w:r>
        <w:rPr>
          <w:b/>
          <w:bCs/>
          <w:rtl/>
        </w:rPr>
        <w:t xml:space="preserve">التوثيق الإداري الإلزامي: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w:t>
      </w:r>
      <w:r>
        <w:rPr>
          <w:b/>
          <w:bCs/>
          <w:rtl/>
        </w:rPr>
        <w:t xml:space="preserve"> </w:t>
      </w:r>
      <w:r>
        <w:rPr>
          <w:b/>
          <w:bCs/>
          <w:rtl/>
        </w:rPr>
        <w:t xml:space="preserve">“سلسلة التوثيق”</w:t>
      </w:r>
      <w:r>
        <w:rPr>
          <w:b/>
          <w:bCs/>
          <w:rtl/>
        </w:rPr>
        <w:t xml:space="preserve"> </w:t>
      </w:r>
      <w:r>
        <w:rPr>
          <w:b/>
          <w:bCs/>
          <w:rtl/>
        </w:rPr>
        <w:t xml:space="preserve">(Documentation Chain) التي تُمكّن أجهزة الرقابة من تتبع مسار كل دينار عمومي.</w:t>
      </w:r>
      <w:r>
        <w:rPr>
          <w:rtl/>
        </w:rPr>
        <w:t xml:space="preserve"> </w:t>
      </w:r>
      <w:r>
        <w:rPr>
          <w:rtl/>
        </w:rPr>
        <w:t xml:space="preserve">-</w:t>
      </w:r>
      <w:r>
        <w:rPr>
          <w:rtl/>
        </w:rPr>
        <w:t xml:space="preserve"> </w:t>
      </w:r>
      <w:r>
        <w:rPr>
          <w:b/>
          <w:bCs/>
          <w:rtl/>
        </w:rPr>
        <w:t xml:space="preserve">تسيير المخزونات والجرد الدوري: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r>
        <w:rPr>
          <w:rtl/>
        </w:rPr>
        <w:t xml:space="preserve"> </w:t>
      </w:r>
      <w:r>
        <w:rPr>
          <w:rtl/>
        </w:rPr>
        <w:t xml:space="preserve">-</w:t>
      </w:r>
      <w:r>
        <w:rPr>
          <w:rtl/>
        </w:rPr>
        <w:t xml:space="preserve"> </w:t>
      </w:r>
      <w:r>
        <w:rPr>
          <w:b/>
          <w:bCs/>
          <w:rtl/>
        </w:rPr>
        <w:t xml:space="preserve">الإعفاء من الرسم على القيمة المضافة (TVA): تُعفى مؤسسات التربية الوطنية من الرسم على القيمة المضافة في إطار مشترياتها الخاصة بالنشاط التربوي، وذلك وفق التعليمة رقم 09-2018 الصادرة عن المديرية العامة للضرائب</w:t>
      </w:r>
      <w:r>
        <w:rPr>
          <w:b/>
          <w:bCs/>
          <w:rtl/>
        </w:rPr>
        <w:t xml:space="preserve"> </w:t>
      </w:r>
      <w:r>
        <w:rPr>
          <w:rStyle w:val="FootnoteReference"/>
        </w:rPr>
        <w:footnoteReference w:id="32"/>
      </w:r>
      <w:r>
        <w:rPr>
          <w:b/>
          <w:bCs/>
          <w:rtl/>
        </w:rPr>
        <w:t xml:space="preserve">.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4,500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v13.3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bookmarkEnd w:id="33"/>
    <w:bookmarkEnd w:id="34"/>
    <w:bookmarkStart w:id="39" w:name="X0b33a1787aeef4eb8491627c0fcc2828f98e578"/>
    <w:p>
      <w:pPr>
        <w:pStyle w:val="Heading2"/>
        <w:bidi/>
      </w:pPr>
      <w:r>
        <w:rPr>
          <w:rtl/>
        </w:rPr>
        <w:t xml:space="preserve">المبحث الثالث: إدارة الشراء والدورة المستندية</w:t>
      </w:r>
    </w:p>
    <w:bookmarkStart w:id="36" w:name="وظيفة-الشراء-procurement-function"/>
    <w:p>
      <w:pPr>
        <w:pStyle w:val="Heading3"/>
        <w:bidi/>
      </w:pPr>
      <w:r>
        <w:rPr>
          <w:rtl/>
        </w:rPr>
        <w:t xml:space="preserve">1. وظيفة الشراء (Procurement Function)</w:t>
      </w:r>
    </w:p>
    <w:p>
      <w:pPr>
        <w:bidi/>
      </w:pPr>
      <w:r>
        <w:rPr>
          <w:b/>
          <w:bCs/>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w:t>
      </w:r>
      <w:r>
        <w:rPr>
          <w:b/>
          <w:bCs/>
          <w:rtl/>
        </w:rPr>
        <w:t xml:space="preserve"> </w:t>
      </w:r>
      <w:r>
        <w:rPr>
          <w:b/>
          <w:bCs/>
          <w:rtl/>
        </w:rPr>
        <w:t xml:space="preserve">“الخمسة الصحيحة”</w:t>
      </w:r>
      <w:r>
        <w:rPr>
          <w:b/>
          <w:bCs/>
          <w:rtl/>
        </w:rPr>
        <w:t xml:space="preserve"> </w:t>
      </w:r>
      <w:r>
        <w:rPr>
          <w:b/>
          <w:bCs/>
          <w:rtl/>
        </w:rPr>
        <w:t xml:space="preserve">(5 Rights): الحصول على النوعية المناسبة (Right Quality)، بالكمية المطلوبة (Right Quantity)، في الوقت المحدد (Right Time)، من المصدر الموثوق (Right Source)، وبالسعر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b/>
          <w:bCs/>
          <w:rtl/>
        </w:rPr>
        <w:t xml:space="preserve"> </w:t>
      </w:r>
      <w:r>
        <w:rPr>
          <w:rStyle w:val="FootnoteReference"/>
        </w:rPr>
        <w:footnoteReference w:id="35"/>
      </w:r>
      <w:r>
        <w:rPr>
          <w:b/>
          <w:bCs/>
          <w:rtl/>
        </w:rPr>
        <w:t xml:space="preserve">: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bookmarkEnd w:id="36"/>
    <w:bookmarkStart w:id="37" w:name="الدورة-المستندية-في-الإدارة-العمومية"/>
    <w:p>
      <w:pPr>
        <w:pStyle w:val="Heading3"/>
        <w:bidi/>
      </w:pPr>
      <w:r>
        <w:rPr>
          <w:rtl/>
        </w:rPr>
        <w:t xml:space="preserve">2. الدورة المستندية في الإدارة العمومية</w:t>
      </w:r>
    </w:p>
    <w:p>
      <w:pPr>
        <w:bidi/>
      </w:pPr>
      <w:r>
        <w:rPr>
          <w:rtl/>
        </w:rPr>
        <w:t xml:space="preserve">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r>
        <w:rPr>
          <w:rtl/>
        </w:rPr>
        <w:t xml:space="preserve"> </w:t>
      </w:r>
      <w:r>
        <w:rPr>
          <w:rtl/>
        </w:rPr>
        <w:t xml:space="preserve">-</w:t>
      </w:r>
      <w:r>
        <w:rPr>
          <w:rtl/>
        </w:rPr>
        <w:t xml:space="preserve"> </w:t>
      </w:r>
      <w:r>
        <w:rPr>
          <w:b/>
          <w:bCs/>
          <w:rtl/>
        </w:rPr>
        <w:t xml:space="preserve">طلب الاحتياجات: تبدأ الدورة عندما ترفع مصلحة معينة (مثلاً: مصلحة التعليم الثانوي) طلباً داخلياً يُحدّد المواد المطلوبة وكمياتها ودرجة استعجالها.</w:t>
      </w:r>
      <w:r>
        <w:rPr>
          <w:rtl/>
        </w:rPr>
        <w:t xml:space="preserve"> </w:t>
      </w:r>
      <w:r>
        <w:rPr>
          <w:rtl/>
        </w:rPr>
        <w:t xml:space="preserve">-</w:t>
      </w:r>
      <w:r>
        <w:rPr>
          <w:rtl/>
        </w:rPr>
        <w:t xml:space="preserve"> </w:t>
      </w:r>
      <w:r>
        <w:rPr>
          <w:b/>
          <w:bCs/>
          <w:rtl/>
        </w:rPr>
        <w:t xml:space="preserve">طلب الشراء: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r>
        <w:rPr>
          <w:rtl/>
        </w:rPr>
        <w:t xml:space="preserve"> </w:t>
      </w:r>
      <w:r>
        <w:rPr>
          <w:rtl/>
        </w:rPr>
        <w:t xml:space="preserve">-</w:t>
      </w:r>
      <w:r>
        <w:rPr>
          <w:rtl/>
        </w:rPr>
        <w:t xml:space="preserve"> </w:t>
      </w:r>
      <w:r>
        <w:rPr>
          <w:b/>
          <w:bCs/>
          <w:rtl/>
        </w:rPr>
        <w:t xml:space="preserve">استشارة الموردين: يتم التواصل مع ثلاثة موردين على الأقل (وفقاً لمبدأ المنافسة) لطلب عروض الأسعار والمواصفات الفنية.</w:t>
      </w:r>
      <w:r>
        <w:rPr>
          <w:rtl/>
        </w:rPr>
        <w:t xml:space="preserve"> </w:t>
      </w:r>
      <w:r>
        <w:rPr>
          <w:rtl/>
        </w:rPr>
        <w:t xml:space="preserve">-</w:t>
      </w:r>
      <w:r>
        <w:rPr>
          <w:rtl/>
        </w:rPr>
        <w:t xml:space="preserve"> </w:t>
      </w:r>
      <w:r>
        <w:rPr>
          <w:b/>
          <w:bCs/>
          <w:rtl/>
        </w:rPr>
        <w:t xml:space="preserve">أمر الشراء: بعد اختيار المورد الفائز، يُصدر أمر شراء رسمي مُرقَّم يمثل التزاماً قانونياً بين المؤسسة والمورد، يُحدّد المواد والكمية والسعر وآجال التسليم وشروط الدفع.</w:t>
      </w:r>
      <w:r>
        <w:rPr>
          <w:rtl/>
        </w:rPr>
        <w:t xml:space="preserve"> </w:t>
      </w:r>
      <w:r>
        <w:rPr>
          <w:rtl/>
        </w:rPr>
        <w:t xml:space="preserve">-</w:t>
      </w:r>
      <w:r>
        <w:rPr>
          <w:rtl/>
        </w:rPr>
        <w:t xml:space="preserve"> </w:t>
      </w:r>
      <w:r>
        <w:rPr>
          <w:b/>
          <w:bCs/>
          <w:rtl/>
        </w:rPr>
        <w:t xml:space="preserve">وصل الاستلام: عند وصول السلع إلى المستودع، يتم فحصها كمياً ونوعياً ومطابقتها لأمر الشراء.</w:t>
      </w:r>
      <w:r>
        <w:rPr>
          <w:rtl/>
        </w:rPr>
        <w:t xml:space="preserve"> </w:t>
      </w:r>
      <w:r>
        <w:rPr>
          <w:rtl/>
        </w:rPr>
        <w:t xml:space="preserve">-</w:t>
      </w:r>
      <w:r>
        <w:rPr>
          <w:rtl/>
        </w:rPr>
        <w:t xml:space="preserve"> </w:t>
      </w:r>
      <w:r>
        <w:rPr>
          <w:b/>
          <w:bCs/>
          <w:rtl/>
        </w:rPr>
        <w:t xml:space="preserve">الفاتورة: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bookmarkEnd w:id="37"/>
    <w:bookmarkStart w:id="38" w:name="التكامل-بين-الشراء-والتخزين"/>
    <w:p>
      <w:pPr>
        <w:pStyle w:val="Heading3"/>
        <w:bidi/>
      </w:pPr>
      <w:r>
        <w:rPr>
          <w:rtl/>
        </w:rPr>
        <w:t xml:space="preserve">3. التكامل بين الشراء والتخزين</w:t>
      </w:r>
    </w:p>
    <w:p>
      <w:pPr>
        <w:bidi/>
      </w:pPr>
      <w:r>
        <w:rPr>
          <w:rtl/>
        </w:rPr>
        <w:t xml:space="preserve">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w:t>
      </w:r>
      <w:r>
        <w:rPr>
          <w:rtl/>
        </w:rPr>
        <w:t xml:space="preserve"> </w:t>
      </w:r>
      <w:r>
        <w:rPr>
          <w:rtl/>
        </w:rPr>
        <w:t xml:space="preserve">“ثقوب سوداء”</w:t>
      </w:r>
      <w:r>
        <w:rPr>
          <w:rtl/>
        </w:rPr>
        <w:t xml:space="preserve"> </w:t>
      </w:r>
      <w:r>
        <w:rPr>
          <w:rtl/>
        </w:rPr>
        <w:t xml:space="preserve">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bookmarkEnd w:id="38"/>
    <w:bookmarkEnd w:id="39"/>
    <w:bookmarkStart w:id="46" w:name="Xe71e4b4fd93dee69f233a0223a30763675d81f6"/>
    <w:p>
      <w:pPr>
        <w:pStyle w:val="Heading2"/>
        <w:bidi/>
      </w:pPr>
      <w:r>
        <w:rPr>
          <w:rtl/>
        </w:rPr>
        <w:t xml:space="preserve">المبحث الرابع: أدوات التقييم المحاسبي للمخزون</w:t>
      </w:r>
    </w:p>
    <w:bookmarkStart w:id="41" w:name="أولا-تحليل-abc"/>
    <w:p>
      <w:pPr>
        <w:pStyle w:val="Heading3"/>
        <w:bidi/>
      </w:pPr>
      <w:r>
        <w:rPr>
          <w:rtl/>
        </w:rPr>
        <w:t xml:space="preserve">أولاً: تحليل ABC</w:t>
      </w:r>
    </w:p>
    <w:p>
      <w:pPr>
        <w:bidi/>
      </w:pPr>
      <w:r>
        <w:rPr>
          <w:rtl/>
        </w:rPr>
        <w:t xml:space="preserve">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r>
        <w:rPr>
          <w:rtl/>
        </w:rPr>
        <w:t xml:space="preserve"> </w:t>
      </w:r>
      <w:r>
        <w:rPr>
          <w:rtl/>
        </w:rPr>
        <w:t xml:space="preserve">-</w:t>
      </w:r>
      <w:r>
        <w:rPr>
          <w:rtl/>
        </w:rPr>
        <w:t xml:space="preserve"> </w:t>
      </w:r>
      <w:r>
        <w:rPr>
          <w:b/>
          <w:bCs/>
          <w:rtl/>
        </w:rPr>
        <w:t xml:space="preserve">الفئة A (VIP):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r>
        <w:rPr>
          <w:rtl/>
        </w:rPr>
        <w:t xml:space="preserve"> </w:t>
      </w:r>
      <w:r>
        <w:rPr>
          <w:rtl/>
        </w:rPr>
        <w:t xml:space="preserve">-</w:t>
      </w:r>
      <w:r>
        <w:rPr>
          <w:rtl/>
        </w:rPr>
        <w:t xml:space="preserve"> </w:t>
      </w:r>
      <w:r>
        <w:rPr>
          <w:b/>
          <w:bCs/>
          <w:rtl/>
        </w:rPr>
        <w:t xml:space="preserve">الفئة B: تضم نحو 20-30% من المقالات وتُمثّل 15-20% من القيمة. تخضع لمتابعة دورية (فصلية) مع هوامش أمان أوسع نظراً لانخفاض تكلفة الرقابة مقارنة بقيمة المخزون.</w:t>
      </w:r>
      <w:r>
        <w:rPr>
          <w:rtl/>
        </w:rPr>
        <w:t xml:space="preserve"> </w:t>
      </w:r>
      <w:r>
        <w:rPr>
          <w:rtl/>
        </w:rPr>
        <w:t xml:space="preserve">-</w:t>
      </w:r>
      <w:r>
        <w:rPr>
          <w:rtl/>
        </w:rPr>
        <w:t xml:space="preserve"> </w:t>
      </w:r>
      <w:r>
        <w:rPr>
          <w:b/>
          <w:bCs/>
          <w:rtl/>
        </w:rPr>
        <w:t xml:space="preserve">الفئة C: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b/>
          <w:bCs/>
          <w:rtl/>
        </w:rPr>
        <w:t xml:space="preserve"> </w:t>
      </w:r>
      <w:r>
        <w:rPr>
          <w:rStyle w:val="FootnoteReference"/>
        </w:rPr>
        <w:footnoteReference w:id="40"/>
      </w:r>
      <w:r>
        <w:rPr>
          <w:b/>
          <w:bCs/>
          <w:rtl/>
        </w:rPr>
        <w:t xml:space="preserve">.</w:t>
      </w:r>
    </w:p>
    <w:bookmarkEnd w:id="41"/>
    <w:bookmarkStart w:id="43" w:name="X44798d37eec6a2af9f8be4fa3f7a1f92b208602"/>
    <w:p>
      <w:pPr>
        <w:pStyle w:val="Heading3"/>
        <w:bidi/>
      </w:pPr>
      <w:r>
        <w:rPr>
          <w:rtl/>
        </w:rPr>
        <w:t xml:space="preserve">ثانياً: نموذج ويلسون للكمية الاقتصادية للطلب</w:t>
      </w:r>
    </w:p>
    <w:p>
      <w:pPr>
        <w:bidi/>
      </w:pPr>
      <w:r>
        <w:rPr>
          <w:b/>
          <w:bCs/>
          <w:rtl/>
        </w:rPr>
        <w:t xml:space="preserve">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w:t>
      </w:r>
      <w:r>
        <w:rPr>
          <w:b/>
          <w:bCs/>
          <w:rtl/>
        </w:rPr>
        <w:t xml:space="preserve"> </w:t>
      </w:r>
      <w:r>
        <w:rPr>
          <w:rStyle w:val="FootnoteReference"/>
        </w:rPr>
        <w:footnoteReference w:id="42"/>
      </w:r>
      <w:r>
        <w:rPr>
          <w:b/>
          <w:bCs/>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اشتقاق النموذج الرياضي: تنطلق معادلة ويلسون من دالة التكلفة الإجمالية السنوية للمخزون (Total Annual Inventory Cost):</w:t>
      </w:r>
    </w:p>
    <w:p>
      <w:pPr>
        <w:bidi/>
      </w:pPr>
      <w:r>
        <w:rPr>
          <w:rtl/>
        </w:rPr>
        <w:t xml:space="preserve">حيث:</w:t>
      </w:r>
      <w:r>
        <w:rPr>
          <w:rtl/>
        </w:rPr>
        <w:t xml:space="preserve"> </w:t>
      </w:r>
      <w:r>
        <w:rPr>
          <w:rtl/>
        </w:rPr>
        <w:t xml:space="preserve">-</w:t>
      </w:r>
      <w:r>
        <w:rPr>
          <w:rtl/>
        </w:rPr>
        <w:t xml:space="preserve"> </w:t>
      </w:r>
      <w:r>
        <w:rPr>
          <w:b/>
          <w:bCs/>
          <w:rtl/>
        </w:rPr>
        <w:t xml:space="preserve">TC: التكلفة الإجمالية السنوية (دج)</w:t>
      </w:r>
      <w:r>
        <w:rPr>
          <w:rtl/>
        </w:rPr>
        <w:t xml:space="preserve"> </w:t>
      </w:r>
      <w:r>
        <w:rPr>
          <w:rtl/>
        </w:rPr>
        <w:t xml:space="preserve">-</w:t>
      </w:r>
      <w:r>
        <w:rPr>
          <w:rtl/>
        </w:rPr>
        <w:t xml:space="preserve"> </w:t>
      </w:r>
      <w:r>
        <w:rPr>
          <w:b/>
          <w:bCs/>
          <w:rtl/>
        </w:rPr>
        <w:t xml:space="preserve">D: الطلب السنوي (وحدة/سنة)</w:t>
      </w:r>
      <w:r>
        <w:rPr>
          <w:rtl/>
        </w:rPr>
        <w:t xml:space="preserve"> </w:t>
      </w:r>
      <w:r>
        <w:rPr>
          <w:rtl/>
        </w:rPr>
        <w:t xml:space="preserve">-</w:t>
      </w:r>
      <w:r>
        <w:rPr>
          <w:rtl/>
        </w:rPr>
        <w:t xml:space="preserve"> </w:t>
      </w:r>
      <w:r>
        <w:rPr>
          <w:b/>
          <w:bCs/>
          <w:rtl/>
        </w:rPr>
        <w:t xml:space="preserve">Q: كمية الطلب (متغير القرار)</w:t>
      </w:r>
      <w:r>
        <w:rPr>
          <w:rtl/>
        </w:rPr>
        <w:t xml:space="preserve"> </w:t>
      </w:r>
      <w:r>
        <w:rPr>
          <w:rtl/>
        </w:rPr>
        <w:t xml:space="preserve">-</w:t>
      </w:r>
      <w:r>
        <w:rPr>
          <w:rtl/>
        </w:rPr>
        <w:t xml:space="preserve"> </w:t>
      </w:r>
      <w:r>
        <w:rPr>
          <w:b/>
          <w:bCs/>
          <w:rtl/>
        </w:rPr>
        <w:t xml:space="preserve">S: تكلفة إصدار الطلبية الواحدة (دج)</w:t>
      </w:r>
      <w:r>
        <w:rPr>
          <w:rtl/>
        </w:rPr>
        <w:t xml:space="preserve"> </w:t>
      </w:r>
      <w:r>
        <w:rPr>
          <w:rtl/>
        </w:rPr>
        <w:t xml:space="preserve">-</w:t>
      </w:r>
      <w:r>
        <w:rPr>
          <w:rtl/>
        </w:rPr>
        <w:t xml:space="preserve"> </w:t>
      </w:r>
      <w:r>
        <w:rPr>
          <w:b/>
          <w:bCs/>
          <w:rtl/>
        </w:rPr>
        <w:t xml:space="preserve">I: معدل الاحتفاظ بالمخزون السنوي (%)</w:t>
      </w:r>
      <w:r>
        <w:rPr>
          <w:rtl/>
        </w:rPr>
        <w:t xml:space="preserve"> </w:t>
      </w:r>
      <w:r>
        <w:rPr>
          <w:rtl/>
        </w:rPr>
        <w:t xml:space="preserve">-</w:t>
      </w:r>
      <w:r>
        <w:rPr>
          <w:rtl/>
        </w:rPr>
        <w:t xml:space="preserve"> </w:t>
      </w:r>
      <w:r>
        <w:rPr>
          <w:b/>
          <w:bCs/>
          <w:rtl/>
        </w:rPr>
        <w:t xml:space="preserve">PU: سعر الوحدة (دج) لإيجاد القيمة المُثلى Q* التي تُدني التكلفة الإجمالية، نُشتق الدالة بالنسبة لـ Q ونساوي المشتقة بالصفر:</w:t>
      </w:r>
    </w:p>
    <w:p>
      <w:pPr>
        <w:numPr>
          <w:ilvl w:val="0"/>
          <w:numId w:val="1001"/>
        </w:numPr>
        <w:bidi/>
      </w:pPr>
      <w:r>
        <w:rPr>
          <w:rtl/>
        </w:rPr>
        <w:t xml:space="preserve">ومنه:</w:t>
      </w:r>
    </w:p>
    <w:p>
      <w:pPr>
        <w:numPr>
          <w:ilvl w:val="0"/>
          <w:numId w:val="1001"/>
        </w:numPr>
        <w:bidi/>
      </w:pPr>
      <w:r>
        <w:rPr>
          <w:b/>
          <w:bCs/>
          <w:rtl/>
        </w:rPr>
        <w:t xml:space="preserve">هذه هي الصيغة النهائية لنموذج ويلسون، وهي تُمثّل كمية الطلب التي تُحقّق التوازن الأمثل بين تكاليف الإصدار وتكاليف الاحتفاظ. تطبيق على بيانات المشروع الحقيقية: بفرض الطلب السنوي D = 789 وحدة (Toner G030 - ART-001)، وتكلفة الطلب S = 801.45 دج (مُستخرجة من تحليل التكاليف الفعلية في الميدان)، وسعر الوحدة PU = 4,500 دج، ومعدل الاحتفاظ I = 20%:</w:t>
      </w:r>
    </w:p>
    <w:p>
      <w:pPr>
        <w:numPr>
          <w:ilvl w:val="0"/>
          <w:numId w:val="1001"/>
        </w:numPr>
        <w:bidi/>
      </w:pPr>
      <w:r>
        <w:rPr>
          <w:rtl/>
        </w:rPr>
        <w:t xml:space="preserve">تكون التكلفة الإجمالية الدنيا عند هذه الكمية:</w:t>
      </w:r>
    </w:p>
    <w:p>
      <w:pPr>
        <w:numPr>
          <w:ilvl w:val="0"/>
          <w:numId w:val="1001"/>
        </w:numPr>
        <w:bidi/>
      </w:pPr>
      <w:r>
        <w:rPr>
          <w:b/>
          <w:bCs/>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العدد الأمثل للطلبيات سنوياً:</w:t>
      </w:r>
    </w:p>
    <w:p>
      <w:pPr>
        <w:numPr>
          <w:ilvl w:val="0"/>
          <w:numId w:val="1001"/>
        </w:numPr>
        <w:bidi/>
      </w:pPr>
      <w:r>
        <w:rPr>
          <w:rtl/>
        </w:rPr>
        <w:t xml:space="preserve">وهذا يعني أنه يجب تقديم طلبية واحدة كل 365/9 ≈ 40 يوماً، وهو تردد معقول مقارنة بأجال التموين في مؤسسات القطاع العام.</w:t>
      </w:r>
    </w:p>
    <w:bookmarkEnd w:id="43"/>
    <w:bookmarkStart w:id="44" w:name="ثالثا-نقطة-إعادة-الطلب-ومخزون-الأمان"/>
    <w:p>
      <w:pPr>
        <w:pStyle w:val="Heading3"/>
        <w:bidi/>
      </w:pPr>
      <w:r>
        <w:rPr>
          <w:rtl/>
        </w:rPr>
        <w:t xml:space="preserve">ثالثاً: نقطة إعادة الطلب ومخزون الأمان</w:t>
      </w:r>
    </w:p>
    <w:p>
      <w:pPr>
        <w:bidi/>
      </w:pPr>
      <w:r>
        <w:rPr>
          <w:b/>
          <w:bCs/>
          <w:rtl/>
        </w:rPr>
        <w:t xml:space="preserve">نقطة إعادة الطلب هي المستوى المخزني الذي عند الوصول إليه يجب إصدار طلبية جديدة فوراً، ضماناً لاستمرار التزويد خلال فترة انتظار التسليم. الصيغة الرياضية:</w:t>
      </w:r>
    </w:p>
    <w:p>
      <w:pPr>
        <w:bidi/>
      </w:pPr>
      <w:r>
        <w:rPr>
          <w:b/>
          <w:bCs/>
          <w:rtl/>
        </w:rPr>
        <w:t xml:space="preserve">نقطة إعادة الطلب = (الاستهلاك اليومي × أجل التسليم) + مخزون الأمان</w:t>
      </w:r>
      <w:r>
        <w:rPr>
          <w:rtl/>
        </w:rPr>
        <w:t xml:space="preserve"> </w:t>
      </w:r>
      <w:r>
        <w:rPr>
          <w:rtl/>
        </w:rPr>
        <w:t xml:space="preserve">تطبيق (بناءً على بيانات المشروع الحقيقية): بفرض استهلاك يومي قدره 6.184 وحدة (= D/250 = 789/250)، وأجل تسليم (LT) قدره 2 يوم، ومخزون أمان (SS) قدره 200 وحدة: ROP = (6.184 × 2) + 200 = 206 وحدة**</w:t>
      </w:r>
    </w:p>
    <w:bookmarkEnd w:id="44"/>
    <w:bookmarkStart w:id="45" w:name="رابعا-طرق-تقييم-المخزون"/>
    <w:p>
      <w:pPr>
        <w:pStyle w:val="Heading3"/>
        <w:bidi/>
      </w:pPr>
      <w:r>
        <w:rPr>
          <w:rtl/>
        </w:rPr>
        <w:t xml:space="preserve">رابعاً: طرق تقييم المخزون</w:t>
      </w:r>
    </w:p>
    <w:p>
      <w:pPr>
        <w:bidi/>
      </w:pPr>
      <w:r>
        <w:rPr>
          <w:rtl/>
        </w:rPr>
        <w:t xml:space="preserve">تتعدد الطرق المحاسبية لتقييم قيمة الوحدات الخارجة من المخزون، وأبرزها:</w:t>
      </w:r>
      <w:r>
        <w:rPr>
          <w:rtl/>
        </w:rPr>
        <w:t xml:space="preserve"> </w:t>
      </w:r>
      <w:r>
        <w:rPr>
          <w:rtl/>
        </w:rPr>
        <w:t xml:space="preserve">-</w:t>
      </w:r>
      <w:r>
        <w:rPr>
          <w:rtl/>
        </w:rPr>
        <w:t xml:space="preserve"> </w:t>
      </w:r>
      <w:r>
        <w:rPr>
          <w:b/>
          <w:bCs/>
          <w:rtl/>
        </w:rPr>
        <w:t xml:space="preserve">طريقة FIFO (أول دخول أول خروج): تعتمد على إخراج الوحدات الأقدم أولاً. تُناسب المواد القابلة للتلف.</w:t>
      </w:r>
      <w:r>
        <w:rPr>
          <w:rtl/>
        </w:rPr>
        <w:t xml:space="preserve"> </w:t>
      </w:r>
      <w:r>
        <w:rPr>
          <w:rtl/>
        </w:rPr>
        <w:t xml:space="preserve">-</w:t>
      </w:r>
      <w:r>
        <w:rPr>
          <w:rtl/>
        </w:rPr>
        <w:t xml:space="preserve"> </w:t>
      </w:r>
      <w:r>
        <w:rPr>
          <w:b/>
          <w:bCs/>
          <w:rtl/>
        </w:rPr>
        <w:t xml:space="preserve">طريقة CMUP (المتوسط المرجّح للتكلفة): تُحسب تكلفة وحدة الخروج كمتوسط مرجّح لتكلفة المخزون الموجود قبل كل عملية دخول جديدة. الصيغة الرياضية:</w:t>
      </w:r>
    </w:p>
    <w:p>
      <w:pPr>
        <w:pStyle w:val="Compact"/>
        <w:numPr>
          <w:ilvl w:val="0"/>
          <w:numId w:val="1002"/>
        </w:numPr>
        <w:bidi/>
      </w:pPr>
      <w:r>
        <w:rPr>
          <w:b/>
          <w:bCs/>
          <w:rtl/>
        </w:rPr>
        <w:t xml:space="preserve">CMUP = (قيمة الرصيد قبل الدخول + قيمة الدخول) ÷ (كمية الرصيد قبل الدخول + كمية الدخول)</w:t>
      </w:r>
      <w:r>
        <w:rPr>
          <w:rtl/>
        </w:rPr>
        <w:t xml:space="preserve">**</w:t>
      </w:r>
    </w:p>
    <w:bookmarkEnd w:id="45"/>
    <w:bookmarkEnd w:id="46"/>
    <w:bookmarkStart w:id="50" w:name="المبحث-الخامس-تقييم-الموردين-ومفهوم-erp"/>
    <w:p>
      <w:pPr>
        <w:pStyle w:val="Heading2"/>
        <w:bidi/>
      </w:pPr>
      <w:r>
        <w:rPr>
          <w:rtl/>
        </w:rPr>
        <w:t xml:space="preserve">المبحث الخامس: تقييم الموردين ومفهوم ERP</w:t>
      </w:r>
    </w:p>
    <w:bookmarkStart w:id="47" w:name="تقييم-الموردين-supplier-evaluation"/>
    <w:p>
      <w:pPr>
        <w:pStyle w:val="Heading3"/>
        <w:bidi/>
      </w:pPr>
      <w:r>
        <w:rPr>
          <w:rtl/>
        </w:rPr>
        <w:t xml:space="preserve">1. تقييم الموردين (Supplier Evaluation)</w:t>
      </w:r>
    </w:p>
    <w:p>
      <w:pPr>
        <w:bidi/>
      </w:pPr>
      <w:r>
        <w:rPr>
          <w:rtl/>
        </w:rPr>
        <w:t xml:space="preserve">لضمان استمرارية التزويد بجودة عالية، يجب على المؤسسة اعتماد نظام دوري لتقييم الموردين بناءً على معايير موضوعية، أهمها:</w:t>
      </w:r>
      <w:r>
        <w:rPr>
          <w:rtl/>
        </w:rPr>
        <w:t xml:space="preserve"> </w:t>
      </w:r>
      <w:r>
        <w:rPr>
          <w:rtl/>
        </w:rPr>
        <w:t xml:space="preserve">-</w:t>
      </w:r>
      <w:r>
        <w:rPr>
          <w:rtl/>
        </w:rPr>
        <w:t xml:space="preserve"> </w:t>
      </w:r>
      <w:r>
        <w:rPr>
          <w:b/>
          <w:bCs/>
          <w:rtl/>
        </w:rPr>
        <w:t xml:space="preserve">الجودة (Quality): مدى مطابقة المواد الموردة للمواصفات التقنية المطلوبة.</w:t>
      </w:r>
      <w:r>
        <w:rPr>
          <w:rtl/>
        </w:rPr>
        <w:t xml:space="preserve"> </w:t>
      </w:r>
      <w:r>
        <w:rPr>
          <w:rtl/>
        </w:rPr>
        <w:t xml:space="preserve">-</w:t>
      </w:r>
      <w:r>
        <w:rPr>
          <w:rtl/>
        </w:rPr>
        <w:t xml:space="preserve"> </w:t>
      </w:r>
      <w:r>
        <w:rPr>
          <w:b/>
          <w:bCs/>
          <w:rtl/>
        </w:rPr>
        <w:t xml:space="preserve">الالتزام بالآجال : القدرة على تسليم الطلبيات في المواعيد المتفق عليها.</w:t>
      </w:r>
      <w:r>
        <w:rPr>
          <w:rtl/>
        </w:rPr>
        <w:t xml:space="preserve"> </w:t>
      </w:r>
      <w:r>
        <w:rPr>
          <w:rtl/>
        </w:rPr>
        <w:t xml:space="preserve">-</w:t>
      </w:r>
      <w:r>
        <w:rPr>
          <w:rtl/>
        </w:rPr>
        <w:t xml:space="preserve"> </w:t>
      </w:r>
      <w:r>
        <w:rPr>
          <w:b/>
          <w:bCs/>
          <w:rtl/>
        </w:rPr>
        <w:t xml:space="preserve">التنافسية السعرية (Pricing): موازنة السعر مع القيمة والجودة المقدمة.</w:t>
      </w:r>
      <w:r>
        <w:rPr>
          <w:rtl/>
        </w:rPr>
        <w:t xml:space="preserve"> </w:t>
      </w:r>
      <w:r>
        <w:rPr>
          <w:rtl/>
        </w:rPr>
        <w:t xml:space="preserve">-</w:t>
      </w:r>
      <w:r>
        <w:rPr>
          <w:rtl/>
        </w:rPr>
        <w:t xml:space="preserve"> </w:t>
      </w:r>
      <w:r>
        <w:rPr>
          <w:b/>
          <w:bCs/>
          <w:rtl/>
        </w:rPr>
        <w:t xml:space="preserve">الموثوقية والخدمة (Reliability &amp; Service): سرعة الاستجابة للمشاكل، ومرونة التعامل، وتقديم الدعم الفني إذا لزم الأمر.</w:t>
      </w:r>
    </w:p>
    <w:bookmarkEnd w:id="47"/>
    <w:bookmarkStart w:id="49" w:name="Xb68060b29c3c1e1f393cce9f99a443e0fc48320"/>
    <w:p>
      <w:pPr>
        <w:pStyle w:val="Heading3"/>
        <w:bidi/>
      </w:pPr>
      <w:r>
        <w:rPr>
          <w:rtl/>
        </w:rPr>
        <w:t xml:space="preserve">2. مفهوم الأنظمة المندمجة (ERP - Enterprise Resource Planning)</w:t>
      </w:r>
    </w:p>
    <w:p>
      <w:pPr>
        <w:bidi/>
      </w:pPr>
      <w:r>
        <w:rPr>
          <w:b/>
          <w:bCs/>
          <w:rtl/>
        </w:rPr>
        <w:t xml:space="preserve">تُمثل الأنظمة المندمجة الجيل الحديث من البرمجيات الإدارية</w:t>
      </w:r>
      <w:r>
        <w:rPr>
          <w:b/>
          <w:bCs/>
          <w:rtl/>
        </w:rPr>
        <w:t xml:space="preserve"> </w:t>
      </w:r>
      <w:r>
        <w:rPr>
          <w:rStyle w:val="FootnoteReference"/>
        </w:rPr>
        <w:footnoteReference w:id="48"/>
      </w:r>
      <w:r>
        <w:rPr>
          <w:b/>
          <w:bCs/>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أهمية الـ ERP في عصر الرقمنة:</w:t>
      </w:r>
      <w:r>
        <w:rPr>
          <w:rtl/>
        </w:rPr>
        <w:t xml:space="preserve"> </w:t>
      </w:r>
      <w:r>
        <w:rPr>
          <w:rtl/>
        </w:rPr>
        <w:t xml:space="preserve">-</w:t>
      </w:r>
      <w:r>
        <w:rPr>
          <w:rtl/>
        </w:rPr>
        <w:t xml:space="preserve"> </w:t>
      </w:r>
      <w:r>
        <w:rPr>
          <w:b/>
          <w:bCs/>
          <w:rtl/>
        </w:rPr>
        <w:t xml:space="preserve">وحدة البيانات (Data Integrity): القضاء على تضارب المعلومات بين المصالح المختلفة (مثلاً: مطابقة رصيد المستودع مع الرصيد المحاسبي تلقائياً).</w:t>
      </w:r>
      <w:r>
        <w:rPr>
          <w:rtl/>
        </w:rPr>
        <w:t xml:space="preserve"> </w:t>
      </w:r>
      <w:r>
        <w:rPr>
          <w:rtl/>
        </w:rPr>
        <w:t xml:space="preserve">-</w:t>
      </w:r>
      <w:r>
        <w:rPr>
          <w:rtl/>
        </w:rPr>
        <w:t xml:space="preserve"> </w:t>
      </w:r>
      <w:r>
        <w:rPr>
          <w:b/>
          <w:bCs/>
          <w:rtl/>
        </w:rPr>
        <w:t xml:space="preserve">السرعة والفاعلية: توفير معلومات آنية (Real-time) تدعم اتخاذ القرارات السريعة.</w:t>
      </w:r>
      <w:r>
        <w:rPr>
          <w:rtl/>
        </w:rPr>
        <w:t xml:space="preserve"> </w:t>
      </w:r>
      <w:r>
        <w:rPr>
          <w:rtl/>
        </w:rPr>
        <w:t xml:space="preserve">-</w:t>
      </w:r>
      <w:r>
        <w:rPr>
          <w:rtl/>
        </w:rPr>
        <w:t xml:space="preserve"> </w:t>
      </w:r>
      <w:r>
        <w:rPr>
          <w:b/>
          <w:bCs/>
          <w:rtl/>
        </w:rPr>
        <w:t xml:space="preserve">الرقابة والشفافية: تسهيل عمليات التدقيق من خلال تتبع مسار كل عملية (Audit Trail) من الطلب إلى الدفع.</w:t>
      </w:r>
      <w:r>
        <w:rPr>
          <w:rtl/>
        </w:rPr>
        <w:t xml:space="preserve"> </w:t>
      </w:r>
      <w:r>
        <w:rPr>
          <w:rtl/>
        </w:rPr>
        <w:t xml:space="preserve">-</w:t>
      </w:r>
      <w:r>
        <w:rPr>
          <w:rtl/>
        </w:rPr>
        <w:t xml:space="preserve"> </w:t>
      </w:r>
      <w:r>
        <w:rPr>
          <w:b/>
          <w:bCs/>
          <w:rtl/>
        </w:rPr>
        <w:t xml:space="preserve">تقليل التكاليف: من خلال أتمتة العمليات اليدوية المتكررة وتقليل الأخطاء البشرية. في مشروعنا الحالي، يهدف نظام دعم القرار v13.3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pPr>
        <w:bidi/>
      </w:pPr>
      <w:r>
        <w:rPr>
          <w:b/>
          <w:bCs/>
          <w:rtl/>
        </w:rPr>
        <w:t xml:space="preserve">خلاصة الفصل الأول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 نهاية الفصل الأول —</w:t>
      </w:r>
    </w:p>
    <w:bookmarkEnd w:id="49"/>
    <w:bookmarkEnd w:id="50"/>
    <w:bookmarkEnd w:id="51"/>
    <w:bookmarkStart w:id="99" w:name="Xfd09630af81a064bb869de4cc3333972b7b71f8"/>
    <w:p>
      <w:pPr>
        <w:pStyle w:val="Heading1"/>
        <w:bidi/>
      </w:pPr>
      <w:r>
        <w:rPr>
          <w:rtl/>
        </w:rPr>
        <w:t xml:space="preserve">الفصل الثاني: الإطار العملي والتشخيص الميداني</w:t>
      </w:r>
    </w:p>
    <w:p>
      <w:pPr>
        <w:bidi/>
      </w:pPr>
      <w:r>
        <w:rPr>
          <w:rtl/>
        </w:rPr>
        <w:t xml:space="preserve">تمهيد الفصل</w:t>
      </w:r>
      <w:r>
        <w:rPr>
          <w:rtl/>
        </w:rPr>
        <w:t xml:space="preserve"> </w:t>
      </w:r>
      <w:r>
        <w:rPr>
          <w:rtl/>
        </w:rPr>
        <w:t xml:space="preserve">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bookmarkStart w:id="74" w:name="Xd96d29689cd7b7c28a53e63cb30434c1b4e42ae"/>
    <w:p>
      <w:pPr>
        <w:pStyle w:val="Heading2"/>
        <w:bidi/>
      </w:pPr>
      <w:r>
        <w:rPr>
          <w:rtl/>
        </w:rPr>
        <w:t xml:space="preserve">المبحث الأول: النماذج الرياضية للتسيير الكمي للمخزون</w:t>
      </w:r>
    </w:p>
    <w:p>
      <w:pPr>
        <w:bidi/>
      </w:pPr>
      <w:r>
        <w:rPr>
          <w:rtl/>
        </w:rPr>
        <w:t xml:space="preserve">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bookmarkStart w:id="59" w:name="Xfd010b0e6ec43a71a31832c4aa57c4a1ebd67ff"/>
    <w:p>
      <w:pPr>
        <w:pStyle w:val="Heading3"/>
        <w:bidi/>
      </w:pPr>
      <w:r>
        <w:rPr>
          <w:rtl/>
        </w:rPr>
        <w:t xml:space="preserve">المطلب الأول: نموذج ويلسون للكمية الاقتصادية للطلب</w:t>
      </w:r>
    </w:p>
    <w:bookmarkStart w:id="54" w:name="أولا-الإطار-المرجعي-للنموذج"/>
    <w:p>
      <w:pPr>
        <w:pStyle w:val="Heading4"/>
        <w:bidi/>
      </w:pPr>
      <w:r>
        <w:rPr>
          <w:rtl/>
        </w:rPr>
        <w:t xml:space="preserve">أولاً: الإطار المرجعي للنموذج</w:t>
      </w:r>
    </w:p>
    <w:p>
      <w:pPr>
        <w:bidi/>
      </w:pPr>
      <w:r>
        <w:rPr>
          <w:rtl/>
        </w:rPr>
        <w:t xml:space="preserve">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Pr>
          <w:rtl/>
        </w:rPr>
        <w:t xml:space="preserve"> </w:t>
      </w:r>
      <w:r>
        <w:rPr>
          <w:rStyle w:val="FootnoteReference"/>
        </w:rPr>
        <w:footnoteReference w:id="52"/>
      </w:r>
    </w:p>
    <w:p>
      <w:pPr>
        <w:bidi/>
      </w:pPr>
      <w:r>
        <w:rPr>
          <w:rtl/>
        </w:rPr>
        <w:t xml:space="preserve">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Pr>
          <w:rtl/>
        </w:rPr>
        <w:t xml:space="preserve"> </w:t>
      </w:r>
      <w:r>
        <w:rPr>
          <w:rStyle w:val="FootnoteReference"/>
        </w:rPr>
        <w:footnoteReference w:id="53"/>
      </w:r>
    </w:p>
    <w:bookmarkEnd w:id="54"/>
    <w:bookmarkStart w:id="56" w:name="ثانيا-التطبيق-على-الصنف-المرجعي-art-001"/>
    <w:p>
      <w:pPr>
        <w:pStyle w:val="Heading4"/>
        <w:bidi/>
      </w:pPr>
      <w:r>
        <w:rPr>
          <w:rtl/>
        </w:rPr>
        <w:t xml:space="preserve">ثانياً: التطبيق على الصنف المرجعي ART-001</w:t>
      </w:r>
    </w:p>
    <w:p>
      <w:pPr>
        <w:bidi/>
      </w:pPr>
      <w:r>
        <w:rPr>
          <w:b/>
          <w:bCs/>
          <w:rtl/>
        </w:rPr>
        <w:t xml:space="preserve">استُخرجت البيانات التالية ميدانياً من سجلات مصلحة المخازن خلال 38 يوم عمل، ومن وثائق مصلحة الميزانية:</w:t>
      </w:r>
      <w:r>
        <w:rPr>
          <w:b/>
          <w:bCs/>
          <w:rtl/>
        </w:rPr>
        <w:t xml:space="preserve"> </w:t>
      </w:r>
      <w:r>
        <w:rPr>
          <w:rStyle w:val="FootnoteReference"/>
        </w:rPr>
        <w:footnoteReference w:id="55"/>
      </w:r>
      <w:r>
        <w:rPr>
          <w:rtl/>
        </w:rPr>
        <w:t xml:space="preserve"> </w:t>
      </w:r>
      <w:r>
        <w:rPr>
          <w:b/>
          <w:bCs/>
          <w:rtl/>
        </w:rPr>
        <w:t xml:space="preserve">ثانياً: التطبيق على الصنف المرجعي ART-001</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659932" w:type="dxa"/>
          </w:tcPr>
          <w:p>
            <w:pPr>
              <w:pStyle w:val="Compact"/>
              <w:bidi/>
            </w:pPr>
            <w:r>
              <w:rPr>
                <w:rtl/>
              </w:rPr>
              <w:t xml:space="preserve">المُعامل</w:t>
            </w:r>
          </w:p>
        </w:tc>
        <w:tc>
          <w:tcPr>
            <w:tcW w:w="1253873" w:type="dxa"/>
          </w:tcPr>
          <w:p>
            <w:pPr>
              <w:pStyle w:val="Compact"/>
              <w:bidi/>
            </w:pPr>
            <w:r>
              <w:rPr>
                <w:rtl/>
              </w:rPr>
              <w:t xml:space="preserve">القيمة الميدانية</w:t>
            </w:r>
          </w:p>
        </w:tc>
        <w:tc>
          <w:tcPr>
            <w:tcW w:w="2396193" w:type="dxa"/>
          </w:tcPr>
          <w:p>
            <w:pPr>
              <w:pStyle w:val="Compact"/>
              <w:bidi/>
            </w:pPr>
            <w:r>
              <w:rPr>
                <w:rtl/>
              </w:rPr>
              <w:t xml:space="preserve">المصدر</w:t>
            </w:r>
          </w:p>
        </w:tc>
      </w:tr>
      <w:tr>
        <w:tc>
          <w:tcPr>
            <w:tcW w:w="1659932" w:type="dxa"/>
          </w:tcPr>
          <w:p>
            <w:pPr>
              <w:pStyle w:val="Compact"/>
              <w:bidi/>
            </w:pPr>
            <w:r>
              <w:rPr>
                <w:rtl/>
              </w:rPr>
              <w:t xml:space="preserve">الطلب السنوي (D)</w:t>
            </w:r>
          </w:p>
        </w:tc>
        <w:tc>
          <w:tcPr>
            <w:tcW w:w="1253873" w:type="dxa"/>
          </w:tcPr>
          <w:p>
            <w:pPr>
              <w:pStyle w:val="Compact"/>
              <w:bidi/>
            </w:pPr>
            <w:r>
              <w:rPr>
                <w:rtl/>
              </w:rPr>
              <w:t xml:space="preserve">789 وحدة</w:t>
            </w:r>
          </w:p>
        </w:tc>
        <w:tc>
          <w:tcPr>
            <w:tcW w:w="2396193" w:type="dxa"/>
          </w:tcPr>
          <w:p>
            <w:pPr>
              <w:pStyle w:val="Compact"/>
              <w:bidi/>
            </w:pPr>
            <w:r>
              <w:rPr>
                <w:rtl/>
              </w:rPr>
              <w:t xml:space="preserve">جرد فعلي + إسقاط سنوي</w:t>
            </w:r>
          </w:p>
        </w:tc>
      </w:tr>
      <w:tr>
        <w:tc>
          <w:tcPr>
            <w:tcW w:w="1659932" w:type="dxa"/>
          </w:tcPr>
          <w:p>
            <w:pPr>
              <w:pStyle w:val="Compact"/>
              <w:bidi/>
            </w:pPr>
            <w:r>
              <w:rPr>
                <w:rtl/>
              </w:rPr>
              <w:t xml:space="preserve">تكلفة إصدار الطلبية (S)</w:t>
            </w:r>
          </w:p>
        </w:tc>
        <w:tc>
          <w:tcPr>
            <w:tcW w:w="1253873" w:type="dxa"/>
          </w:tcPr>
          <w:p>
            <w:pPr>
              <w:pStyle w:val="Compact"/>
              <w:bidi/>
            </w:pPr>
            <w:r>
              <w:rPr>
                <w:rtl/>
              </w:rPr>
              <w:t xml:space="preserve">801.45 دج</w:t>
            </w:r>
          </w:p>
        </w:tc>
        <w:tc>
          <w:tcPr>
            <w:tcW w:w="2396193" w:type="dxa"/>
          </w:tcPr>
          <w:p>
            <w:pPr>
              <w:pStyle w:val="Compact"/>
              <w:bidi/>
            </w:pPr>
            <w:r>
              <w:rPr>
                <w:rtl/>
              </w:rPr>
              <w:t xml:space="preserve">تحليل التكاليف الإدارية الفعلية</w:t>
            </w:r>
          </w:p>
        </w:tc>
      </w:tr>
      <w:tr>
        <w:tc>
          <w:tcPr>
            <w:tcW w:w="1659932" w:type="dxa"/>
          </w:tcPr>
          <w:p>
            <w:pPr>
              <w:pStyle w:val="Compact"/>
              <w:bidi/>
            </w:pPr>
            <w:r>
              <w:rPr>
                <w:rtl/>
              </w:rPr>
              <w:t xml:space="preserve">سعر الوحدة (PU)</w:t>
            </w:r>
          </w:p>
        </w:tc>
        <w:tc>
          <w:tcPr>
            <w:tcW w:w="1253873" w:type="dxa"/>
          </w:tcPr>
          <w:p>
            <w:pPr>
              <w:pStyle w:val="Compact"/>
              <w:bidi/>
            </w:pPr>
            <w:r>
              <w:rPr>
                <w:rtl/>
              </w:rPr>
              <w:t xml:space="preserve">4,500 دج</w:t>
            </w:r>
          </w:p>
        </w:tc>
        <w:tc>
          <w:tcPr>
            <w:tcW w:w="2396193" w:type="dxa"/>
          </w:tcPr>
          <w:p>
            <w:pPr>
              <w:pStyle w:val="Compact"/>
              <w:bidi/>
            </w:pPr>
            <w:r>
              <w:rPr>
                <w:rtl/>
              </w:rPr>
              <w:t xml:space="preserve">فاتورة ENAP الجزائر</w:t>
            </w:r>
          </w:p>
        </w:tc>
      </w:tr>
      <w:tr>
        <w:tc>
          <w:tcPr>
            <w:tcW w:w="1659932" w:type="dxa"/>
          </w:tcPr>
          <w:p>
            <w:pPr>
              <w:pStyle w:val="Compact"/>
              <w:bidi/>
            </w:pPr>
            <w:r>
              <w:rPr>
                <w:rtl/>
              </w:rPr>
              <w:t xml:space="preserve">معدل الاحتفاظ (I)</w:t>
            </w:r>
          </w:p>
        </w:tc>
        <w:tc>
          <w:tcPr>
            <w:tcW w:w="1253873" w:type="dxa"/>
          </w:tcPr>
          <w:p>
            <w:pPr>
              <w:pStyle w:val="Compact"/>
              <w:bidi/>
            </w:pPr>
            <w:r>
              <w:rPr>
                <w:rtl/>
              </w:rPr>
              <w:t xml:space="preserve">20%</w:t>
            </w:r>
          </w:p>
        </w:tc>
        <w:tc>
          <w:tcPr>
            <w:tcW w:w="2396193" w:type="dxa"/>
          </w:tcPr>
          <w:p>
            <w:pPr>
              <w:pStyle w:val="Compact"/>
              <w:bidi/>
            </w:pPr>
            <w:r>
              <w:rPr>
                <w:rtl/>
              </w:rPr>
              <w:t xml:space="preserve">معيار CNEPD للقطاع العمومي</w:t>
            </w:r>
          </w:p>
        </w:tc>
      </w:tr>
    </w:tbl>
    <w:p>
      <w:pPr>
        <w:bidi/>
      </w:pPr>
      <w:r>
        <w:rPr>
          <w:rtl/>
        </w:rPr>
        <w:t xml:space="preserve">بتطبيق المعادلة:</w:t>
      </w:r>
    </w:p>
    <w:bookmarkEnd w:id="56"/>
    <w:bookmarkStart w:id="57" w:name="ثالثا-التحقق-من-التوازن-الرياضي-المثالي"/>
    <w:p>
      <w:pPr>
        <w:pStyle w:val="Heading4"/>
        <w:bidi/>
      </w:pPr>
      <w:r>
        <w:rPr>
          <w:rtl/>
        </w:rPr>
        <w:t xml:space="preserve">ثالثاً: التحقق من التوازن الرياضي المثالي</w:t>
      </w:r>
    </w:p>
    <w:p>
      <w:pPr>
        <w:bidi/>
      </w:pPr>
      <w:r>
        <w:rPr>
          <w:rtl/>
        </w:rPr>
        <w:t xml:space="preserve">التكلفة الإجمالية عند الكمية المثلى Q* = 37:</w:t>
      </w:r>
    </w:p>
    <w:p>
      <w:pPr>
        <w:bidi/>
      </w:pPr>
      <w:r>
        <w:rPr>
          <w:rtl/>
        </w:rPr>
        <w:t xml:space="preserve">**لاحظ أن حد الإصدار وحد الاحتفاظ متساويان تماماً عند Q*. هذه ليست مصادفة — إنها الخاصية الجوهرية لأي كمية اقتصادية مثلى. يعني هذا المستوى 9 طلبيات سنوية، أي طلبية واحدة كل 40 يوماً تقريباً، وهو تردد يتوافق مع آجال التوريد المعتادة في القطاع العمومي.**</w:t>
      </w:r>
    </w:p>
    <w:bookmarkEnd w:id="57"/>
    <w:bookmarkStart w:id="58" w:name="رابعا-نقطة-إعادة-الطلب-ومخزون-الأمان"/>
    <w:p>
      <w:pPr>
        <w:pStyle w:val="Heading4"/>
        <w:bidi/>
      </w:pPr>
      <w:r>
        <w:rPr>
          <w:rtl/>
        </w:rPr>
        <w:t xml:space="preserve">رابعاً: نقطة إعادة الطلب ومخزون الأمان</w:t>
      </w:r>
    </w:p>
    <w:p>
      <w:pPr>
        <w:bidi/>
      </w:pPr>
      <w:r>
        <w:rPr>
          <w:rtl/>
        </w:rPr>
        <w:t xml:space="preserve">لا يكتمل النموذج دون تحديد المستوى الحرج للمخزون الذي عنده تُصدَر الطلبية التالية:</w:t>
      </w:r>
    </w:p>
    <w:p>
      <w:pPr>
        <w:bidi/>
      </w:pPr>
      <w:r>
        <w:rPr>
          <w:b/>
          <w:bCs/>
          <w:rtl/>
        </w:rPr>
        <w:t xml:space="preserve">مخزون الأمان (SS) = 200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bookmarkEnd w:id="58"/>
    <w:bookmarkEnd w:id="59"/>
    <w:bookmarkStart w:id="62" w:name="X52ea18e5737fce8615e1c3ca4723e15512be477"/>
    <w:p>
      <w:pPr>
        <w:pStyle w:val="Heading3"/>
        <w:bidi/>
      </w:pPr>
      <w:r>
        <w:rPr>
          <w:rtl/>
        </w:rPr>
        <w:t xml:space="preserve">المطلب الثاني: تحليل ABC وتطبيقه على مخزون المديرية</w:t>
      </w:r>
    </w:p>
    <w:bookmarkStart w:id="60" w:name="أولا-منهجية-التصنيف-ومعاييره-الكمية"/>
    <w:p>
      <w:pPr>
        <w:pStyle w:val="Heading4"/>
        <w:bidi/>
      </w:pPr>
      <w:r>
        <w:rPr>
          <w:rtl/>
        </w:rPr>
        <w:t xml:space="preserve">أولاً: منهجية التصنيف ومعاييره الكمية</w:t>
      </w:r>
    </w:p>
    <w:p>
      <w:pPr>
        <w:bidi/>
      </w:pPr>
      <w:r>
        <w:rPr>
          <w:rtl/>
        </w:rPr>
        <w:t xml:space="preserve">يصنف تحليل ABC المخزون حسب القيمة الاستهلاكية السنوية، وفق مبدأ باريتو. تُحسب القيمة لكل صنف:</w:t>
      </w:r>
    </w:p>
    <w:p>
      <w:pPr>
        <w:bidi/>
      </w:pPr>
      <w:r>
        <w:rPr>
          <w:rtl/>
        </w:rPr>
        <w:t xml:space="preserve">ثم تُرتَّب الأصناف تنازلياً ويُحسب الوزن التراكمي:</w:t>
      </w:r>
      <w:r>
        <w:rPr>
          <w:rtl/>
        </w:rPr>
        <w:t xml:space="preserve"> </w:t>
      </w:r>
      <w:r>
        <w:rPr>
          <w:b/>
          <w:bCs/>
          <w:rtl/>
        </w:rPr>
        <w:t xml:space="preserve">أولاً: منهجية التصنيف ومعاييره الكمية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4"/>
        <w:gridCol w:w="1584"/>
        <w:gridCol w:w="1584"/>
        <w:gridCol w:w="1584"/>
        <w:gridCol w:w="1584"/>
      </w:tblGrid>
      <w:tr>
        <w:trPr>
          <w:tblHeader w:val="on"/>
        </w:trPr>
        <w:tc>
          <w:tcPr>
            <w:tcW w:w="493254" w:type="dxa"/>
          </w:tcPr>
          <w:p>
            <w:pPr>
              <w:pStyle w:val="Compact"/>
              <w:bidi/>
            </w:pPr>
            <w:r>
              <w:rPr>
                <w:rtl/>
              </w:rPr>
              <w:t xml:space="preserve">الفئة</w:t>
            </w:r>
          </w:p>
        </w:tc>
        <w:tc>
          <w:tcPr>
            <w:tcW w:w="988481" w:type="dxa"/>
          </w:tcPr>
          <w:p>
            <w:pPr>
              <w:pStyle w:val="Compact"/>
              <w:bidi/>
            </w:pPr>
            <w:r>
              <w:rPr>
                <w:rtl/>
              </w:rPr>
              <w:t xml:space="preserve">نسبة الأصناف</w:t>
            </w:r>
          </w:p>
        </w:tc>
        <w:tc>
          <w:tcPr>
            <w:tcW w:w="903349" w:type="dxa"/>
          </w:tcPr>
          <w:p>
            <w:pPr>
              <w:pStyle w:val="Compact"/>
              <w:bidi/>
            </w:pPr>
            <w:r>
              <w:rPr>
                <w:rtl/>
              </w:rPr>
              <w:t xml:space="preserve">نسبة القيمة</w:t>
            </w:r>
          </w:p>
        </w:tc>
        <w:tc>
          <w:tcPr>
            <w:tcW w:w="1073613" w:type="dxa"/>
          </w:tcPr>
          <w:p>
            <w:pPr>
              <w:pStyle w:val="Compact"/>
              <w:bidi/>
            </w:pPr>
            <w:r>
              <w:rPr>
                <w:rtl/>
              </w:rPr>
              <w:t xml:space="preserve">دورية الرقابة</w:t>
            </w:r>
          </w:p>
        </w:tc>
        <w:tc>
          <w:tcPr>
            <w:tcW w:w="1551300" w:type="dxa"/>
          </w:tcPr>
          <w:p>
            <w:pPr>
              <w:pStyle w:val="Compact"/>
              <w:bidi/>
            </w:pPr>
            <w:r>
              <w:rPr>
                <w:rtl/>
              </w:rPr>
              <w:t xml:space="preserve">أداة التسيير</w:t>
            </w:r>
          </w:p>
        </w:tc>
      </w:tr>
      <w:tr>
        <w:tc>
          <w:tcPr>
            <w:tcW w:w="493254" w:type="dxa"/>
          </w:tcPr>
          <w:p>
            <w:pPr>
              <w:pStyle w:val="Compact"/>
              <w:bidi/>
            </w:pPr>
            <w:r>
              <w:rPr>
                <w:rtl/>
              </w:rPr>
              <w:t xml:space="preserve">A</w:t>
            </w:r>
          </w:p>
        </w:tc>
        <w:tc>
          <w:tcPr>
            <w:tcW w:w="988481" w:type="dxa"/>
          </w:tcPr>
          <w:p>
            <w:pPr>
              <w:pStyle w:val="Compact"/>
              <w:bidi/>
            </w:pPr>
            <w:r>
              <w:rPr>
                <w:rtl/>
              </w:rPr>
              <w:t xml:space="preserve">≈ 10-20%</w:t>
            </w:r>
          </w:p>
        </w:tc>
        <w:tc>
          <w:tcPr>
            <w:tcW w:w="903349" w:type="dxa"/>
          </w:tcPr>
          <w:p>
            <w:pPr>
              <w:pStyle w:val="Compact"/>
              <w:bidi/>
            </w:pPr>
            <w:r>
              <w:rPr>
                <w:rtl/>
              </w:rPr>
              <w:t xml:space="preserve">≈ 70-80%</w:t>
            </w:r>
          </w:p>
        </w:tc>
        <w:tc>
          <w:tcPr>
            <w:tcW w:w="1073613" w:type="dxa"/>
          </w:tcPr>
          <w:p>
            <w:pPr>
              <w:pStyle w:val="Compact"/>
              <w:bidi/>
            </w:pPr>
            <w:r>
              <w:rPr>
                <w:rtl/>
              </w:rPr>
              <w:t xml:space="preserve">شهرية مستمرة</w:t>
            </w:r>
          </w:p>
        </w:tc>
        <w:tc>
          <w:tcPr>
            <w:tcW w:w="1551300" w:type="dxa"/>
          </w:tcPr>
          <w:p>
            <w:pPr>
              <w:pStyle w:val="Compact"/>
              <w:bidi/>
            </w:pPr>
            <w:r>
              <w:rPr>
                <w:rtl/>
              </w:rPr>
              <w:t xml:space="preserve">نموذج ويلسون الصارم</w:t>
            </w:r>
          </w:p>
        </w:tc>
      </w:tr>
      <w:tr>
        <w:tc>
          <w:tcPr>
            <w:tcW w:w="493254" w:type="dxa"/>
          </w:tcPr>
          <w:p>
            <w:pPr>
              <w:pStyle w:val="Compact"/>
              <w:bidi/>
            </w:pPr>
            <w:r>
              <w:rPr>
                <w:rtl/>
              </w:rPr>
              <w:t xml:space="preserve">B</w:t>
            </w:r>
          </w:p>
        </w:tc>
        <w:tc>
          <w:tcPr>
            <w:tcW w:w="988481" w:type="dxa"/>
          </w:tcPr>
          <w:p>
            <w:pPr>
              <w:pStyle w:val="Compact"/>
              <w:bidi/>
            </w:pPr>
            <w:r>
              <w:rPr>
                <w:rtl/>
              </w:rPr>
              <w:t xml:space="preserve">≈ 20-30%</w:t>
            </w:r>
          </w:p>
        </w:tc>
        <w:tc>
          <w:tcPr>
            <w:tcW w:w="903349" w:type="dxa"/>
          </w:tcPr>
          <w:p>
            <w:pPr>
              <w:pStyle w:val="Compact"/>
              <w:bidi/>
            </w:pPr>
            <w:r>
              <w:rPr>
                <w:rtl/>
              </w:rPr>
              <w:t xml:space="preserve">≈ 15-20%</w:t>
            </w:r>
          </w:p>
        </w:tc>
        <w:tc>
          <w:tcPr>
            <w:tcW w:w="1073613" w:type="dxa"/>
          </w:tcPr>
          <w:p>
            <w:pPr>
              <w:pStyle w:val="Compact"/>
              <w:bidi/>
            </w:pPr>
            <w:r>
              <w:rPr>
                <w:rtl/>
              </w:rPr>
              <w:t xml:space="preserve">فصلية</w:t>
            </w:r>
          </w:p>
        </w:tc>
        <w:tc>
          <w:tcPr>
            <w:tcW w:w="1551300" w:type="dxa"/>
          </w:tcPr>
          <w:p>
            <w:pPr>
              <w:pStyle w:val="Compact"/>
              <w:bidi/>
            </w:pPr>
            <w:r>
              <w:rPr>
                <w:rtl/>
              </w:rPr>
              <w:t xml:space="preserve">هوامش أمان أوسع</w:t>
            </w:r>
          </w:p>
        </w:tc>
      </w:tr>
      <w:tr>
        <w:tc>
          <w:tcPr>
            <w:tcW w:w="493254" w:type="dxa"/>
          </w:tcPr>
          <w:p>
            <w:pPr>
              <w:pStyle w:val="Compact"/>
              <w:bidi/>
            </w:pPr>
            <w:r>
              <w:rPr>
                <w:rtl/>
              </w:rPr>
              <w:t xml:space="preserve">C</w:t>
            </w:r>
          </w:p>
        </w:tc>
        <w:tc>
          <w:tcPr>
            <w:tcW w:w="988481" w:type="dxa"/>
          </w:tcPr>
          <w:p>
            <w:pPr>
              <w:pStyle w:val="Compact"/>
              <w:bidi/>
            </w:pPr>
            <w:r>
              <w:rPr>
                <w:rtl/>
              </w:rPr>
              <w:t xml:space="preserve">≈ 50-70%</w:t>
            </w:r>
          </w:p>
        </w:tc>
        <w:tc>
          <w:tcPr>
            <w:tcW w:w="903349" w:type="dxa"/>
          </w:tcPr>
          <w:p>
            <w:pPr>
              <w:pStyle w:val="Compact"/>
              <w:bidi/>
            </w:pPr>
            <w:r>
              <w:rPr>
                <w:rtl/>
              </w:rPr>
              <w:t xml:space="preserve">≈ 5-10%</w:t>
            </w:r>
          </w:p>
        </w:tc>
        <w:tc>
          <w:tcPr>
            <w:tcW w:w="1073613" w:type="dxa"/>
          </w:tcPr>
          <w:p>
            <w:pPr>
              <w:pStyle w:val="Compact"/>
              <w:bidi/>
            </w:pPr>
            <w:r>
              <w:rPr>
                <w:rtl/>
              </w:rPr>
              <w:t xml:space="preserve">نصف سنوية</w:t>
            </w:r>
          </w:p>
        </w:tc>
        <w:tc>
          <w:tcPr>
            <w:tcW w:w="1551300" w:type="dxa"/>
          </w:tcPr>
          <w:p>
            <w:pPr>
              <w:pStyle w:val="Compact"/>
              <w:bidi/>
            </w:pPr>
            <w:r>
              <w:rPr>
                <w:rtl/>
              </w:rPr>
              <w:t xml:space="preserve">تموين مبسط</w:t>
            </w:r>
          </w:p>
        </w:tc>
      </w:tr>
    </w:tbl>
    <w:bookmarkEnd w:id="60"/>
    <w:bookmarkStart w:id="61" w:name="ثانيا-تطبيق-التحليل-على-بيانات-المديرية"/>
    <w:p>
      <w:pPr>
        <w:pStyle w:val="Heading4"/>
        <w:bidi/>
      </w:pPr>
      <w:r>
        <w:rPr>
          <w:rtl/>
        </w:rPr>
        <w:t xml:space="preserve">ثانياً: تطبيق التحليل على بيانات المديرية</w:t>
      </w:r>
    </w:p>
    <w:p>
      <w:pPr>
        <w:bidi/>
      </w:pPr>
      <w:r>
        <w:rPr>
          <w:b/>
          <w:bCs/>
          <w:rtl/>
        </w:rPr>
        <w:t xml:space="preserve">عند تطبيق هذا المعيار على الأصناف الاثني عشر المسجلة في سجلات المديرية، تتصدر Toner G030 (ART-001) الفئة A بقيمة استهلاكية سنوية 618,000 دج (789 × 400 = 618,000). يليه صنف ورق A4 (ART-002) ضمن الفئة نفسها بقيمة استهلاكية معتبرة. في الطرف الآخر، الأصناف ذات الاستخدام المتقطع — مثل الدباسة المكتبية (ART-005) — تنتمي إلى الفئة C. هذا يعني أن موارد الرقابة ومحرك النظام الرقمي يجب أن يُركزا على أصناف الفئة A.</w:t>
      </w:r>
    </w:p>
    <w:bookmarkEnd w:id="61"/>
    <w:bookmarkEnd w:id="62"/>
    <w:bookmarkStart w:id="73" w:name="X3d546febf7430a2ea3250247e57315bf530ac8e"/>
    <w:p>
      <w:pPr>
        <w:pStyle w:val="Heading3"/>
        <w:bidi/>
      </w:pPr>
      <w:r>
        <w:rPr>
          <w:rtl/>
        </w:rPr>
        <w:t xml:space="preserve">المطلب الثالث: تحليل XYZ ومصفوفة القرار ABC-XYZ</w:t>
      </w:r>
    </w:p>
    <w:p>
      <w:pPr>
        <w:bidi/>
      </w:pPr>
      <w:r>
        <w:rPr>
          <w:rtl/>
        </w:rPr>
        <w:t xml:space="preserve">يضيف تحليل XYZ بُعداً سلوكياً إلى تحليل ABC. يصنف الأصناف حسب استقرار الطلب باستخدام معامل التباين (CV):</w:t>
      </w:r>
    </w:p>
    <w:p>
      <w:pPr>
        <w:bidi/>
      </w:pPr>
      <w:r>
        <w:rPr>
          <w:rtl/>
        </w:rPr>
        <w:t xml:space="preserve">حيث σ = الانحراف المعياري للطلب الدوري، وμ = متوسطه.</w:t>
      </w:r>
      <w:r>
        <w:rPr>
          <w:rtl/>
        </w:rPr>
        <w:t xml:space="preserve"> </w:t>
      </w:r>
      <w:r>
        <w:rPr>
          <w:b/>
          <w:bCs/>
          <w:rtl/>
        </w:rPr>
        <w:t xml:space="preserve">المطلب الثالث: تحليل XYZ ومصفوفة القرار ABC-XYZ</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513716" w:type="dxa"/>
          </w:tcPr>
          <w:p>
            <w:pPr>
              <w:pStyle w:val="Compact"/>
              <w:bidi/>
            </w:pPr>
            <w:r>
              <w:rPr>
                <w:rtl/>
              </w:rPr>
              <w:t xml:space="preserve">الفئة</w:t>
            </w:r>
          </w:p>
        </w:tc>
        <w:tc>
          <w:tcPr>
            <w:tcW w:w="1004601" w:type="dxa"/>
          </w:tcPr>
          <w:p>
            <w:pPr>
              <w:pStyle w:val="Compact"/>
              <w:bidi/>
            </w:pPr>
            <w:r>
              <w:rPr>
                <w:rtl/>
              </w:rPr>
              <w:t xml:space="preserve">معيار CV</w:t>
            </w:r>
          </w:p>
        </w:tc>
        <w:tc>
          <w:tcPr>
            <w:tcW w:w="1769469" w:type="dxa"/>
          </w:tcPr>
          <w:p>
            <w:pPr>
              <w:pStyle w:val="Compact"/>
              <w:bidi/>
            </w:pPr>
            <w:r>
              <w:rPr>
                <w:rtl/>
              </w:rPr>
              <w:t xml:space="preserve">طبيعة الطلب</w:t>
            </w:r>
          </w:p>
        </w:tc>
        <w:tc>
          <w:tcPr>
            <w:tcW w:w="1872212" w:type="dxa"/>
          </w:tcPr>
          <w:p>
            <w:pPr>
              <w:pStyle w:val="Compact"/>
              <w:bidi/>
            </w:pPr>
            <w:r>
              <w:rPr>
                <w:rtl/>
              </w:rPr>
              <w:t xml:space="preserve">السياسة المناسبة</w:t>
            </w:r>
          </w:p>
        </w:tc>
      </w:tr>
      <w:tr>
        <w:tc>
          <w:tcPr>
            <w:tcW w:w="513716" w:type="dxa"/>
          </w:tcPr>
          <w:p>
            <w:pPr>
              <w:pStyle w:val="Compact"/>
              <w:bidi/>
            </w:pPr>
            <w:r>
              <w:rPr>
                <w:rtl/>
              </w:rPr>
              <w:t xml:space="preserve">X</w:t>
            </w:r>
          </w:p>
        </w:tc>
        <w:tc>
          <w:tcPr>
            <w:tcW w:w="1004601" w:type="dxa"/>
          </w:tcPr>
          <w:p>
            <w:pPr>
              <w:pStyle w:val="Compact"/>
              <w:bidi/>
            </w:pPr>
            <w:r>
              <w:rPr>
                <w:rtl/>
              </w:rPr>
              <w:t xml:space="preserve">CV &lt; 0.10</w:t>
            </w:r>
          </w:p>
        </w:tc>
        <w:tc>
          <w:tcPr>
            <w:tcW w:w="1769469" w:type="dxa"/>
          </w:tcPr>
          <w:p>
            <w:pPr>
              <w:pStyle w:val="Compact"/>
              <w:bidi/>
            </w:pPr>
            <w:r>
              <w:rPr>
                <w:rtl/>
              </w:rPr>
              <w:t xml:space="preserve">مستقر وقابل للتنبؤ</w:t>
            </w:r>
          </w:p>
        </w:tc>
        <w:tc>
          <w:tcPr>
            <w:tcW w:w="1872212" w:type="dxa"/>
          </w:tcPr>
          <w:p>
            <w:pPr>
              <w:pStyle w:val="Compact"/>
              <w:bidi/>
            </w:pPr>
            <w:r>
              <w:rPr>
                <w:rtl/>
              </w:rPr>
              <w:t xml:space="preserve">نموذج ويلسون الصارم</w:t>
            </w:r>
          </w:p>
        </w:tc>
      </w:tr>
      <w:tr>
        <w:tc>
          <w:tcPr>
            <w:tcW w:w="513716" w:type="dxa"/>
          </w:tcPr>
          <w:p>
            <w:pPr>
              <w:pStyle w:val="Compact"/>
              <w:bidi/>
            </w:pPr>
            <w:r>
              <w:rPr>
                <w:rtl/>
              </w:rPr>
              <w:t xml:space="preserve">Y</w:t>
            </w:r>
          </w:p>
        </w:tc>
        <w:tc>
          <w:tcPr>
            <w:tcW w:w="1004601" w:type="dxa"/>
          </w:tcPr>
          <w:p>
            <w:pPr>
              <w:pStyle w:val="Compact"/>
              <w:bidi/>
            </w:pPr>
            <w:r>
              <w:rPr>
                <w:rtl/>
              </w:rPr>
              <w:t xml:space="preserve">0.10 ≤ CV &lt; 0.25</w:t>
            </w:r>
          </w:p>
        </w:tc>
        <w:tc>
          <w:tcPr>
            <w:tcW w:w="1769469" w:type="dxa"/>
          </w:tcPr>
          <w:p>
            <w:pPr>
              <w:pStyle w:val="Compact"/>
              <w:bidi/>
            </w:pPr>
            <w:r>
              <w:rPr>
                <w:rtl/>
              </w:rPr>
              <w:t xml:space="preserve">تذبذب موسمي معتدل</w:t>
            </w:r>
          </w:p>
        </w:tc>
        <w:tc>
          <w:tcPr>
            <w:tcW w:w="1872212" w:type="dxa"/>
          </w:tcPr>
          <w:p>
            <w:pPr>
              <w:pStyle w:val="Compact"/>
              <w:bidi/>
            </w:pPr>
            <w:r>
              <w:rPr>
                <w:rtl/>
              </w:rPr>
              <w:t xml:space="preserve">مخزون أمان مُعزَّز</w:t>
            </w:r>
          </w:p>
        </w:tc>
      </w:tr>
      <w:tr>
        <w:tc>
          <w:tcPr>
            <w:tcW w:w="513716" w:type="dxa"/>
          </w:tcPr>
          <w:p>
            <w:pPr>
              <w:pStyle w:val="Compact"/>
              <w:bidi/>
            </w:pPr>
            <w:r>
              <w:rPr>
                <w:rtl/>
              </w:rPr>
              <w:t xml:space="preserve">Z</w:t>
            </w:r>
          </w:p>
        </w:tc>
        <w:tc>
          <w:tcPr>
            <w:tcW w:w="1004601" w:type="dxa"/>
          </w:tcPr>
          <w:p>
            <w:pPr>
              <w:pStyle w:val="Compact"/>
              <w:bidi/>
            </w:pPr>
            <w:r>
              <w:rPr>
                <w:rtl/>
              </w:rPr>
              <w:t xml:space="preserve">CV ≥ 0.25</w:t>
            </w:r>
          </w:p>
        </w:tc>
        <w:tc>
          <w:tcPr>
            <w:tcW w:w="1769469" w:type="dxa"/>
          </w:tcPr>
          <w:p>
            <w:pPr>
              <w:pStyle w:val="Compact"/>
              <w:bidi/>
            </w:pPr>
            <w:r>
              <w:rPr>
                <w:rtl/>
              </w:rPr>
              <w:t xml:space="preserve">غير منتظم</w:t>
            </w:r>
          </w:p>
        </w:tc>
        <w:tc>
          <w:tcPr>
            <w:tcW w:w="1872212" w:type="dxa"/>
          </w:tcPr>
          <w:p>
            <w:pPr>
              <w:pStyle w:val="Compact"/>
              <w:bidi/>
            </w:pPr>
            <w:r>
              <w:rPr>
                <w:rtl/>
              </w:rPr>
              <w:t xml:space="preserve">احتياط استثنائي</w:t>
            </w:r>
          </w:p>
        </w:tc>
      </w:tr>
    </w:tbl>
    <w:p>
      <w:pPr>
        <w:bidi/>
      </w:pPr>
      <w:r>
        <w:rPr>
          <w:b/>
          <w:bCs/>
          <w:rtl/>
        </w:rPr>
        <w:t xml:space="preserve">من دمج البعدين (ABC × XYZ) تنتج مصفوفة من تسع خانات استراتيجية. الصنف المرجعي ART-001 (Toner G030) يقع في الخانة AX — أعلى قيمة وأكثر استقراراً — مما يلزم برقابة يومية وتطبيق صارم لمعادلة ويلسون. في المقابل، الأصناف من فئة CZ تكتفي بسياسة الاحتياط الظرفي. هذا التصنيف المزدوج هو ما يوجه محرك الذكاء المحلي في النظام الرقمي نحو قرارات تموينية مختلفة حسب كل صنف، بدلاً من معاملة جميع الأصناف بطريقة واحدة.</w:t>
      </w:r>
      <w:r>
        <w:rPr>
          <w:b/>
          <w:bCs/>
          <w:rtl/>
        </w:rPr>
        <w:t xml:space="preserve"> </w:t>
      </w:r>
      <w:r>
        <w:rPr>
          <w:rStyle w:val="FootnoteReference"/>
        </w:rPr>
        <w:footnoteReference w:id="63"/>
      </w:r>
      <w:r>
        <w:rPr>
          <w:b/>
          <w:bCs/>
          <w:rtl/>
        </w:rPr>
        <w:t xml:space="preserve"> </w:t>
      </w:r>
      <w:r>
        <w:rPr>
          <w:rStyle w:val="FootnoteReference"/>
        </w:rPr>
        <w:footnoteReference w:id="64"/>
      </w:r>
      <w:r>
        <w:rPr>
          <w:b/>
          <w:bCs/>
          <w:rtl/>
        </w:rPr>
        <w:t xml:space="preserve"> </w:t>
      </w:r>
      <w:r>
        <w:rPr>
          <w:rStyle w:val="FootnoteReference"/>
        </w:rPr>
        <w:footnoteReference w:id="65"/>
      </w:r>
      <w:r>
        <w:rPr>
          <w:b/>
          <w:bCs/>
          <w:rtl/>
        </w:rPr>
        <w:t xml:space="preserve"> </w:t>
      </w:r>
      <w:r>
        <w:rPr>
          <w:rStyle w:val="FootnoteReference"/>
        </w:rPr>
        <w:footnoteReference w:id="66"/>
      </w:r>
      <w:r>
        <w:rPr>
          <w:b/>
          <w:bCs/>
          <w:rtl/>
        </w:rPr>
        <w:t xml:space="preserve"> </w:t>
      </w:r>
      <w:r>
        <w:rPr>
          <w:rStyle w:val="FootnoteReference"/>
        </w:rPr>
        <w:footnoteReference w:id="67"/>
      </w:r>
      <w:r>
        <w:rPr>
          <w:b/>
          <w:bCs/>
          <w:rtl/>
        </w:rPr>
        <w:t xml:space="preserve"> </w:t>
      </w:r>
      <w:r>
        <w:rPr>
          <w:rStyle w:val="FootnoteReference"/>
        </w:rPr>
        <w:footnoteReference w:id="68"/>
      </w:r>
      <w:r>
        <w:rPr>
          <w:b/>
          <w:bCs/>
          <w:rtl/>
        </w:rPr>
        <w:t xml:space="preserve"> </w:t>
      </w:r>
      <w:r>
        <w:rPr>
          <w:rStyle w:val="FootnoteReference"/>
        </w:rPr>
        <w:footnoteReference w:id="69"/>
      </w:r>
      <w:r>
        <w:rPr>
          <w:b/>
          <w:bCs/>
          <w:rtl/>
        </w:rPr>
        <w:t xml:space="preserve"> </w:t>
      </w:r>
      <w:r>
        <w:rPr>
          <w:rStyle w:val="FootnoteReference"/>
        </w:rPr>
        <w:footnoteReference w:id="70"/>
      </w:r>
      <w:r>
        <w:rPr>
          <w:b/>
          <w:bCs/>
          <w:rtl/>
        </w:rPr>
        <w:t xml:space="preserve"> </w:t>
      </w:r>
      <w:r>
        <w:rPr>
          <w:rStyle w:val="FootnoteReference"/>
        </w:rPr>
        <w:footnoteReference w:id="71"/>
      </w:r>
      <w:r>
        <w:rPr>
          <w:b/>
          <w:bCs/>
          <w:rtl/>
        </w:rPr>
        <w:t xml:space="preserve"> </w:t>
      </w:r>
      <w:r>
        <w:rPr>
          <w:rStyle w:val="FootnoteReference"/>
        </w:rPr>
        <w:footnoteReference w:id="72"/>
      </w:r>
    </w:p>
    <w:p>
      <w:pPr>
        <w:bidi/>
      </w:pPr>
      <w:r>
        <w:rPr>
          <w:b/>
          <w:bCs/>
          <w:rtl/>
        </w:rPr>
        <w:t xml:space="preserve">خلاصة المبحث الأول: النماذج الثلاثة قادرة على تحويل البيانات الخام إلى معطيات قرارية دقيقة — EOQ = 37، ROP = 206،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bookmarkEnd w:id="73"/>
    <w:bookmarkEnd w:id="74"/>
    <w:bookmarkStart w:id="86" w:name="المبحث-الثاني-الإطار-الجغرافي-والمؤسسي"/>
    <w:p>
      <w:pPr>
        <w:pStyle w:val="Heading2"/>
        <w:bidi/>
      </w:pPr>
      <w:r>
        <w:rPr>
          <w:rtl/>
        </w:rPr>
        <w:t xml:space="preserve">المبحث الثاني: الإطار الجغرافي والمؤسسي</w:t>
      </w:r>
    </w:p>
    <w:p>
      <w:pPr>
        <w:bidi/>
      </w:pPr>
      <w:r>
        <w:rPr>
          <w:rtl/>
        </w:rPr>
        <w:t xml:space="preserve">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bookmarkStart w:id="77" w:name="Xe4f249edd1737d467925de2bc2b8314c0457ef9"/>
    <w:p>
      <w:pPr>
        <w:pStyle w:val="Heading3"/>
        <w:bidi/>
      </w:pPr>
      <w:r>
        <w:rPr>
          <w:rtl/>
        </w:rPr>
        <w:t xml:space="preserve">المطلب الأول: ولاية البيض — الإطار الجغرافي والأثر اللوجيستي</w:t>
      </w:r>
    </w:p>
    <w:bookmarkStart w:id="75" w:name="أولا-الموقع-والخصائص-الجغرافية"/>
    <w:p>
      <w:pPr>
        <w:pStyle w:val="Heading4"/>
        <w:bidi/>
      </w:pPr>
      <w:r>
        <w:rPr>
          <w:rtl/>
        </w:rPr>
        <w:t xml:space="preserve">أولاً: الموقع والخصائص الجغرافية</w:t>
      </w:r>
    </w:p>
    <w:p>
      <w:pPr>
        <w:bidi/>
      </w:pPr>
      <w:r>
        <w:rPr>
          <w:b/>
          <w:bCs/>
          <w:rtl/>
        </w:rPr>
        <w:t xml:space="preserve">تقع ولاية البيض في القطاع السهبي الجنوبي الغربي من الجمهورية الجزائرية، على بُعد يتجاوز 600 كيلومتر جنوب غرب العاصمة و400 كيلومتر جنوب مدينة وهران. تتشكَّل جغرافيتها من سهوب شاسعة تتخللها مسالك جبلية في شمالها، مما يُفرز بيئة مناخية متطرفة — جفاف صيفاً وثلوج وأمطار استثنائية شتاءً.</w:t>
      </w:r>
    </w:p>
    <w:bookmarkEnd w:id="75"/>
    <w:bookmarkStart w:id="76" w:name="ثانيا-تأثير-الموقع-على-سلاسل-الإمداد"/>
    <w:p>
      <w:pPr>
        <w:pStyle w:val="Heading4"/>
        <w:bidi/>
      </w:pPr>
      <w:r>
        <w:rPr>
          <w:rtl/>
        </w:rPr>
        <w:t xml:space="preserve">ثانياً: تأثير الموقع على سلاسل الإمداد</w:t>
      </w:r>
    </w:p>
    <w:p>
      <w:pPr>
        <w:bidi/>
      </w:pPr>
      <w:r>
        <w:rPr>
          <w:b/>
          <w:bCs/>
          <w:rtl/>
        </w:rPr>
        <w:t xml:space="preserve">يُشكِّل البُعد الجغرافي عاملاً عند تصميم سياسة التخزين. تمتد آجال التسليم (Lead Time) المعتادة من مراكز التوريد الكبرى بين 5 و10 أيام عمل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bookmarkEnd w:id="76"/>
    <w:bookmarkEnd w:id="77"/>
    <w:bookmarkStart w:id="81" w:name="X3f57fa00f89ba85d9588878684ea58fb7f040ef"/>
    <w:p>
      <w:pPr>
        <w:pStyle w:val="Heading3"/>
        <w:bidi/>
      </w:pPr>
      <w:r>
        <w:rPr>
          <w:rtl/>
        </w:rPr>
        <w:t xml:space="preserve">المطلب الثاني: تقديم مديرية التربية لولاية البيض</w:t>
      </w:r>
    </w:p>
    <w:bookmarkStart w:id="79" w:name="أولا-الوضع-القانوني-والمهام-المؤسسية"/>
    <w:p>
      <w:pPr>
        <w:pStyle w:val="Heading4"/>
        <w:bidi/>
      </w:pPr>
      <w:r>
        <w:rPr>
          <w:rtl/>
        </w:rPr>
        <w:t xml:space="preserve">أولاً: الوضع القانوني والمهام المؤسسية</w:t>
      </w:r>
    </w:p>
    <w:p>
      <w:pPr>
        <w:bidi/>
      </w:pPr>
      <w:r>
        <w:rPr>
          <w:rtl/>
        </w:rPr>
        <w:t xml:space="preserve">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r>
        <w:rPr>
          <w:rtl/>
        </w:rPr>
        <w:t xml:space="preserve"> </w:t>
      </w:r>
      <w:r>
        <w:rPr>
          <w:rtl/>
        </w:rPr>
        <w:t xml:space="preserve">-</w:t>
      </w:r>
      <w:r>
        <w:rPr>
          <w:rtl/>
        </w:rPr>
        <w:t xml:space="preserve"> </w:t>
      </w:r>
      <w:r>
        <w:rPr>
          <w:b/>
          <w:bCs/>
          <w:rtl/>
        </w:rPr>
        <w:t xml:space="preserve">المهمة الأولى (التنفيذ التربوي): تطبيق السياسة التربوية الوطنية على الصعيد المحلي، وضمان سير الدراسة في جميع المؤسسات التعليمية التابعة لنفوذها الإقليمي.</w:t>
      </w:r>
      <w:r>
        <w:rPr>
          <w:rtl/>
        </w:rPr>
        <w:t xml:space="preserve"> </w:t>
      </w:r>
      <w:r>
        <w:rPr>
          <w:rtl/>
        </w:rPr>
        <w:t xml:space="preserve">-</w:t>
      </w:r>
      <w:r>
        <w:rPr>
          <w:rtl/>
        </w:rPr>
        <w:t xml:space="preserve"> </w:t>
      </w:r>
      <w:r>
        <w:rPr>
          <w:b/>
          <w:bCs/>
          <w:rtl/>
        </w:rPr>
        <w:t xml:space="preserve">المهمة الثانية (التسيير البشري): إدارة المنظومة البشرية الشاملة من موظفين إداريين وإطارات تربوية.</w:t>
      </w:r>
      <w:r>
        <w:rPr>
          <w:rtl/>
        </w:rPr>
        <w:t xml:space="preserve"> </w:t>
      </w:r>
      <w:r>
        <w:rPr>
          <w:rtl/>
        </w:rPr>
        <w:t xml:space="preserve">-</w:t>
      </w:r>
      <w:r>
        <w:rPr>
          <w:rtl/>
        </w:rPr>
        <w:t xml:space="preserve"> </w:t>
      </w:r>
      <w:r>
        <w:rPr>
          <w:b/>
          <w:bCs/>
          <w:rtl/>
        </w:rPr>
        <w:t xml:space="preserve">المهمة الثالثة (الدعم المادي واللوجيستي):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b/>
          <w:bCs/>
          <w:rtl/>
        </w:rPr>
        <w:t xml:space="preserve"> </w:t>
      </w:r>
      <w:r>
        <w:rPr>
          <w:rStyle w:val="FootnoteReference"/>
        </w:rPr>
        <w:footnoteReference w:id="78"/>
      </w:r>
      <w:r>
        <w:rPr>
          <w:b/>
          <w:bCs/>
          <w:rtl/>
        </w:rPr>
        <w:t xml:space="preserve">.</w:t>
      </w:r>
    </w:p>
    <w:bookmarkEnd w:id="79"/>
    <w:bookmarkStart w:id="80" w:name="X01d3ef8a5826c75c8439d1097f2a09587d09e67"/>
    <w:p>
      <w:pPr>
        <w:pStyle w:val="Heading4"/>
        <w:bidi/>
      </w:pPr>
      <w:r>
        <w:rPr>
          <w:rtl/>
        </w:rPr>
        <w:t xml:space="preserve">ثانياً: الهيكل التنظيمي وعلاقته بدورة التخزين</w:t>
      </w:r>
    </w:p>
    <w:p>
      <w:pPr>
        <w:bidi/>
      </w:pPr>
      <w:r>
        <w:rPr>
          <w:b/>
          <w:bCs/>
          <w:rtl/>
        </w:rPr>
        <w:t xml:space="preserve">تعتمد المديرية هيكلاً تنظيمياً رباعياً. تضطلع مصلحة الإدارة والوسائل العامة بالدور المحوري في دورة التخزين، إذ تتولى إعداد طلبات الاحتياجات واستقبال البضائع وتوزيعها على الوحدات الداخلية. وتعمل هذه المصلحة بالتنسيق مع مصلحة الميزانية للتحقق من توفر الاعتمادات قبل كل عملية تموين، لتنفيذ القرارات المالية عبر حركات مخزنية فعلية.</w:t>
      </w:r>
    </w:p>
    <w:bookmarkEnd w:id="80"/>
    <w:bookmarkEnd w:id="81"/>
    <w:bookmarkStart w:id="85" w:name="Xe95b080e745ed60cca3f74edd213d00166ee89f"/>
    <w:p>
      <w:pPr>
        <w:pStyle w:val="Heading3"/>
        <w:bidi/>
      </w:pPr>
      <w:r>
        <w:rPr>
          <w:rtl/>
        </w:rPr>
        <w:t xml:space="preserve">المطلب الثالث: وصف مصلحة المخازن وتقييم بيئتها التشغيلية</w:t>
      </w:r>
    </w:p>
    <w:bookmarkStart w:id="83" w:name="أولا-البنية-المادية-والواقع-التجهيزي"/>
    <w:p>
      <w:pPr>
        <w:pStyle w:val="Heading4"/>
        <w:bidi/>
      </w:pPr>
      <w:r>
        <w:rPr>
          <w:rtl/>
        </w:rPr>
        <w:t xml:space="preserve">أولاً: البنية المادية والواقع التجهيزي</w:t>
      </w:r>
    </w:p>
    <w:p>
      <w:pPr>
        <w:bidi/>
      </w:pPr>
      <w:r>
        <w:rPr>
          <w:b/>
          <w:bCs/>
          <w:rtl/>
        </w:rPr>
        <w:t xml:space="preserve">يقع المستودع الرئيسي للمديرية داخل مقرها الإداري، وهو مساحة تتراوح بين 30 و40 متراً مربعاً مُقسَّمة وظيفياً باستخدام أرفف جدارية وأرضية غير مُرمَّزة. تُصنَّف المواد المخزنة فيه ضمن فئتين رئيسيتين:</w:t>
      </w:r>
      <w:r>
        <w:rPr>
          <w:rtl/>
        </w:rPr>
        <w:t xml:space="preserve"> </w:t>
      </w:r>
      <w:r>
        <w:rPr>
          <w:rtl/>
        </w:rPr>
        <w:t xml:space="preserve">-</w:t>
      </w:r>
      <w:r>
        <w:rPr>
          <w:rtl/>
        </w:rPr>
        <w:t xml:space="preserve"> </w:t>
      </w:r>
      <w:r>
        <w:rPr>
          <w:b/>
          <w:bCs/>
          <w:rtl/>
        </w:rPr>
        <w:t xml:space="preserve">المواد الاستهلاكية ذات الدوران السريع (High Turnover):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r>
        <w:rPr>
          <w:rtl/>
        </w:rPr>
        <w:t xml:space="preserve"> </w:t>
      </w:r>
      <w:r>
        <w:rPr>
          <w:rtl/>
        </w:rPr>
        <w:t xml:space="preserve">-</w:t>
      </w:r>
      <w:r>
        <w:rPr>
          <w:rtl/>
        </w:rPr>
        <w:t xml:space="preserve"> </w:t>
      </w:r>
      <w:r>
        <w:rPr>
          <w:b/>
          <w:bCs/>
          <w:rtl/>
        </w:rPr>
        <w:t xml:space="preserve">التجهيزات الدائمة (Fixed Assets):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b/>
          <w:bCs/>
          <w:rtl/>
        </w:rPr>
        <w:t xml:space="preserve"> </w:t>
      </w:r>
      <w:r>
        <w:rPr>
          <w:rStyle w:val="FootnoteReference"/>
        </w:rPr>
        <w:footnoteReference w:id="82"/>
      </w:r>
      <w:r>
        <w:rPr>
          <w:b/>
          <w:bCs/>
          <w:rtl/>
        </w:rPr>
        <w:t xml:space="preserve">.</w:t>
      </w:r>
    </w:p>
    <w:bookmarkEnd w:id="83"/>
    <w:bookmarkStart w:id="84" w:name="Xf538c3815bf5bc34642ae68a16b1ad061eeda6a"/>
    <w:p>
      <w:pPr>
        <w:pStyle w:val="Heading4"/>
        <w:bidi/>
      </w:pPr>
      <w:r>
        <w:rPr>
          <w:rtl/>
        </w:rPr>
        <w:t xml:space="preserve">ثانياً: نظام التسيير الحالي وقيوده الهيكلية</w:t>
      </w:r>
    </w:p>
    <w:p>
      <w:pPr>
        <w:bidi/>
      </w:pPr>
      <w:r>
        <w:rPr>
          <w:rtl/>
        </w:rPr>
        <w:t xml:space="preserve">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r>
        <w:rPr>
          <w:rtl/>
        </w:rPr>
        <w:t xml:space="preserve"> </w:t>
      </w:r>
      <w:r>
        <w:rPr>
          <w:rtl/>
        </w:rPr>
        <w:t xml:space="preserve">-</w:t>
      </w:r>
      <w:r>
        <w:rPr>
          <w:rtl/>
        </w:rPr>
        <w:t xml:space="preserve"> </w:t>
      </w:r>
      <w:r>
        <w:rPr>
          <w:b/>
          <w:bCs/>
          <w:rtl/>
        </w:rPr>
        <w:t xml:space="preserve">القيد الأول — ازدواجية السجل: تعايش سجلَّين متوازيَّين — ورقي ورقمي — دون آلية مزامنة آنية، مما يُوجِد تبايناً مزمناً بين الرصيد الدفتري والرصيد الفعلي يصل في حالات موثَّقة إلى ما يقارب 15% من إجمالي الأصناف.</w:t>
      </w:r>
      <w:r>
        <w:rPr>
          <w:rtl/>
        </w:rPr>
        <w:t xml:space="preserve"> </w:t>
      </w:r>
      <w:r>
        <w:rPr>
          <w:rtl/>
        </w:rPr>
        <w:t xml:space="preserve">-</w:t>
      </w:r>
      <w:r>
        <w:rPr>
          <w:rtl/>
        </w:rPr>
        <w:t xml:space="preserve"> </w:t>
      </w:r>
      <w:r>
        <w:rPr>
          <w:b/>
          <w:bCs/>
          <w:rtl/>
        </w:rPr>
        <w:t xml:space="preserve">القيد الثاني — غياب الاستباقية: انعدام تام لأي آلية تنبيه عند الاقتراب من نقطة إعادة الطلب (ROP)، جاعلاً إدارة المخزون رهينةً للملاحظة البصرية العرضية بدلاً من المتابعة الكمية المنهجية.</w:t>
      </w:r>
      <w:r>
        <w:rPr>
          <w:rtl/>
        </w:rPr>
        <w:t xml:space="preserve"> </w:t>
      </w:r>
      <w:r>
        <w:rPr>
          <w:rtl/>
        </w:rPr>
        <w:t xml:space="preserve">-</w:t>
      </w:r>
      <w:r>
        <w:rPr>
          <w:rtl/>
        </w:rPr>
        <w:t xml:space="preserve"> </w:t>
      </w:r>
      <w:r>
        <w:rPr>
          <w:b/>
          <w:bCs/>
          <w:rtl/>
        </w:rPr>
        <w:t xml:space="preserve">القيد الثالث — عجز التقييم المحاسبي: تعذُّر احتساب المتوسط المرجَّح للتكلفة الوحدوية (CMUP) بدقة دون الرجوع إلى وثائق الشراء الأصلية واحدةً بواحدة، مما يُطيل دورة الجرد ويُعرِّضها للأخطاء.</w:t>
      </w:r>
      <w:r>
        <w:rPr>
          <w:rtl/>
        </w:rPr>
        <w:t xml:space="preserve"> </w:t>
      </w:r>
      <w:r>
        <w:rPr>
          <w:rtl/>
        </w:rPr>
        <w:t xml:space="preserve">-</w:t>
      </w:r>
      <w:r>
        <w:rPr>
          <w:rtl/>
        </w:rPr>
        <w:t xml:space="preserve"> </w:t>
      </w:r>
      <w:r>
        <w:rPr>
          <w:b/>
          <w:bCs/>
          <w:rtl/>
        </w:rPr>
        <w:t xml:space="preserve">القيد الرابع — التبعية للخبرة الشخصية: غياب الإجراءات التشغيلية الموثَّقة (SOPs)، مما يجعل فاعلية المصلحة مرهونةً بخبرة المسير الفردية وذاكرته، هشَّةً أمام أي تغيير في الكادر البشري.</w:t>
      </w:r>
      <w:r>
        <w:rPr>
          <w:rtl/>
        </w:rPr>
        <w:t xml:space="preserve"> </w:t>
      </w:r>
      <w:r>
        <w:rPr>
          <w:rtl/>
        </w:rPr>
        <w:t xml:space="preserve">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bookmarkEnd w:id="84"/>
    <w:bookmarkEnd w:id="85"/>
    <w:bookmarkEnd w:id="86"/>
    <w:bookmarkStart w:id="98" w:name="X45c22bf0528f185d6de6f59ddda56ed6c67ca33"/>
    <w:p>
      <w:pPr>
        <w:pStyle w:val="Heading2"/>
        <w:bidi/>
      </w:pPr>
      <w:r>
        <w:rPr>
          <w:rtl/>
        </w:rPr>
        <w:t xml:space="preserve">المبحث الثالث: التشخيص الميداني وتحليل الفجوات</w:t>
      </w:r>
    </w:p>
    <w:p>
      <w:pPr>
        <w:bidi/>
      </w:pPr>
      <w:r>
        <w:rPr>
          <w:rtl/>
        </w:rPr>
        <w:t xml:space="preserve">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w:t>
      </w:r>
      <w:r>
        <w:rPr>
          <w:rtl/>
        </w:rPr>
        <w:t xml:space="preserve"> </w:t>
      </w:r>
      <w:r>
        <w:rPr>
          <w:rtl/>
        </w:rPr>
        <w:t xml:space="preserve">“الفجوة التشغيلية”</w:t>
      </w:r>
      <w:r>
        <w:rPr>
          <w:rtl/>
        </w:rPr>
        <w:t xml:space="preserve"> </w:t>
      </w:r>
      <w:r>
        <w:rPr>
          <w:rtl/>
        </w:rPr>
        <w:t xml:space="preserve">التي يسعى نظام دعم القرار v13.3 إلى ردمها.</w:t>
      </w:r>
    </w:p>
    <w:bookmarkStart w:id="88" w:name="المطلب-الأول-التحليل-الكمي-جدول-رقم-04"/>
    <w:p>
      <w:pPr>
        <w:pStyle w:val="Heading3"/>
        <w:bidi/>
      </w:pPr>
      <w:r>
        <w:rPr>
          <w:rtl/>
        </w:rPr>
        <w:t xml:space="preserve">المطلب الأول: التحليل الكمي — جدول رقم 04</w:t>
      </w:r>
    </w:p>
    <w:p>
      <w:pPr>
        <w:bidi/>
      </w:pPr>
      <w:r>
        <w:rPr>
          <w:rtl/>
        </w:rPr>
        <w:t xml:space="preserve">المؤشرات الكمية المثالية المحتسبة وفق نموذج Wilson EOQ:</w:t>
      </w:r>
      <w:r>
        <w:rPr>
          <w:rtl/>
        </w:rPr>
        <w:t xml:space="preserve"> </w:t>
      </w:r>
      <w:r>
        <w:rPr>
          <w:b/>
          <w:bCs/>
          <w:rtl/>
        </w:rPr>
        <w:t xml:space="preserve">جدول رقم 04: المؤشرات الكمية المثالية للأصناف الاستراتيجية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990"/>
        <w:gridCol w:w="990"/>
        <w:gridCol w:w="990"/>
        <w:gridCol w:w="990"/>
        <w:gridCol w:w="990"/>
        <w:gridCol w:w="990"/>
        <w:gridCol w:w="990"/>
        <w:gridCol w:w="990"/>
      </w:tblGrid>
      <w:tr>
        <w:trPr>
          <w:tblHeader w:val="on"/>
        </w:trPr>
        <w:tc>
          <w:tcPr>
            <w:tcW w:w="596441" w:type="dxa"/>
          </w:tcPr>
          <w:p>
            <w:pPr>
              <w:pStyle w:val="Compact"/>
              <w:bidi/>
            </w:pPr>
            <w:r>
              <w:rPr>
                <w:rtl/>
              </w:rPr>
              <w:t xml:space="preserve">الصنف</w:t>
            </w:r>
          </w:p>
        </w:tc>
        <w:tc>
          <w:tcPr>
            <w:tcW w:w="508079" w:type="dxa"/>
          </w:tcPr>
          <w:p>
            <w:pPr>
              <w:pStyle w:val="Compact"/>
              <w:bidi/>
            </w:pPr>
            <w:r>
              <w:rPr>
                <w:rtl/>
              </w:rPr>
              <w:t xml:space="preserve">الطلب السنوي (D)</w:t>
            </w:r>
          </w:p>
        </w:tc>
        <w:tc>
          <w:tcPr>
            <w:tcW w:w="493687" w:type="dxa"/>
          </w:tcPr>
          <w:p>
            <w:pPr>
              <w:pStyle w:val="Compact"/>
              <w:bidi/>
            </w:pPr>
            <w:r>
              <w:rPr>
                <w:rtl/>
              </w:rPr>
              <w:t xml:space="preserve">تكلفة الطلب (S)</w:t>
            </w:r>
          </w:p>
        </w:tc>
        <w:tc>
          <w:tcPr>
            <w:tcW w:w="493687" w:type="dxa"/>
          </w:tcPr>
          <w:p>
            <w:pPr>
              <w:pStyle w:val="Compact"/>
              <w:bidi/>
            </w:pPr>
            <w:r>
              <w:rPr>
                <w:rtl/>
              </w:rPr>
              <w:t xml:space="preserve">سعر الوحدة (PU)</w:t>
            </w:r>
          </w:p>
        </w:tc>
        <w:tc>
          <w:tcPr>
            <w:tcW w:w="544227" w:type="dxa"/>
          </w:tcPr>
          <w:p>
            <w:pPr>
              <w:pStyle w:val="Compact"/>
              <w:bidi/>
            </w:pPr>
            <w:r>
              <w:rPr>
                <w:rtl/>
              </w:rPr>
              <w:t xml:space="preserve">معدل الاحتفاظ (I)</w:t>
            </w:r>
          </w:p>
        </w:tc>
        <w:tc>
          <w:tcPr>
            <w:tcW w:w="710910" w:type="dxa"/>
          </w:tcPr>
          <w:p>
            <w:pPr>
              <w:pStyle w:val="Compact"/>
              <w:bidi/>
            </w:pPr>
            <w:r>
              <w:rPr>
                <w:rtl/>
              </w:rPr>
              <w:t xml:space="preserve">الكمية الاقتصادية (Q*)</w:t>
            </w:r>
          </w:p>
        </w:tc>
        <w:tc>
          <w:tcPr>
            <w:tcW w:w="682794" w:type="dxa"/>
          </w:tcPr>
          <w:p>
            <w:pPr>
              <w:pStyle w:val="Compact"/>
              <w:bidi/>
            </w:pPr>
            <w:r>
              <w:rPr>
                <w:rtl/>
              </w:rPr>
              <w:t xml:space="preserve">نقطة إعادة الطلب (ROP)</w:t>
            </w:r>
          </w:p>
        </w:tc>
        <w:tc>
          <w:tcPr>
            <w:tcW w:w="530170" w:type="dxa"/>
          </w:tcPr>
          <w:p>
            <w:pPr>
              <w:pStyle w:val="Compact"/>
              <w:bidi/>
            </w:pPr>
            <w:r>
              <w:rPr>
                <w:rtl/>
              </w:rPr>
              <w:t xml:space="preserve">مخزون الأمان (SS)</w:t>
            </w:r>
          </w:p>
        </w:tc>
      </w:tr>
      <w:tr>
        <w:tc>
          <w:tcPr>
            <w:tcW w:w="596441" w:type="dxa"/>
          </w:tcPr>
          <w:p>
            <w:pPr>
              <w:pStyle w:val="Compact"/>
              <w:bidi/>
            </w:pPr>
            <w:r>
              <w:rPr>
                <w:rtl/>
              </w:rPr>
              <w:t xml:space="preserve">ART-001 Toner G030</w:t>
            </w:r>
          </w:p>
        </w:tc>
        <w:tc>
          <w:tcPr>
            <w:tcW w:w="508079" w:type="dxa"/>
          </w:tcPr>
          <w:p>
            <w:pPr>
              <w:pStyle w:val="Compact"/>
              <w:bidi/>
            </w:pPr>
            <w:r>
              <w:rPr>
                <w:rtl/>
              </w:rPr>
              <w:t xml:space="preserve">789</w:t>
            </w:r>
          </w:p>
        </w:tc>
        <w:tc>
          <w:tcPr>
            <w:tcW w:w="493687" w:type="dxa"/>
          </w:tcPr>
          <w:p>
            <w:pPr>
              <w:pStyle w:val="Compact"/>
              <w:bidi/>
            </w:pPr>
            <w:r>
              <w:rPr>
                <w:rtl/>
              </w:rPr>
              <w:t xml:space="preserve">801.45</w:t>
            </w:r>
          </w:p>
        </w:tc>
        <w:tc>
          <w:tcPr>
            <w:tcW w:w="493687" w:type="dxa"/>
          </w:tcPr>
          <w:p>
            <w:pPr>
              <w:pStyle w:val="Compact"/>
              <w:bidi/>
            </w:pPr>
            <w:r>
              <w:rPr>
                <w:rtl/>
              </w:rPr>
              <w:t xml:space="preserve">400</w:t>
            </w:r>
          </w:p>
        </w:tc>
        <w:tc>
          <w:tcPr>
            <w:tcW w:w="544227" w:type="dxa"/>
          </w:tcPr>
          <w:p>
            <w:pPr>
              <w:pStyle w:val="Compact"/>
              <w:bidi/>
            </w:pPr>
            <w:r>
              <w:rPr>
                <w:rtl/>
              </w:rPr>
              <w:t xml:space="preserve">20%</w:t>
            </w:r>
          </w:p>
        </w:tc>
        <w:tc>
          <w:tcPr>
            <w:tcW w:w="710910" w:type="dxa"/>
          </w:tcPr>
          <w:p>
            <w:pPr>
              <w:pStyle w:val="Compact"/>
              <w:bidi/>
            </w:pPr>
            <w:r>
              <w:rPr>
                <w:rtl/>
              </w:rPr>
              <w:t xml:space="preserve">37</w:t>
            </w:r>
          </w:p>
        </w:tc>
        <w:tc>
          <w:tcPr>
            <w:tcW w:w="682794" w:type="dxa"/>
          </w:tcPr>
          <w:p>
            <w:pPr>
              <w:pStyle w:val="Compact"/>
              <w:bidi/>
            </w:pPr>
            <w:r>
              <w:rPr>
                <w:rtl/>
              </w:rPr>
              <w:t xml:space="preserve">206</w:t>
            </w:r>
          </w:p>
        </w:tc>
        <w:tc>
          <w:tcPr>
            <w:tcW w:w="530170" w:type="dxa"/>
          </w:tcPr>
          <w:p>
            <w:pPr>
              <w:pStyle w:val="Compact"/>
              <w:bidi/>
            </w:pPr>
            <w:r>
              <w:rPr>
                <w:rtl/>
              </w:rPr>
              <w:t xml:space="preserve">200</w:t>
            </w:r>
          </w:p>
        </w:tc>
      </w:tr>
      <w:tr>
        <w:tc>
          <w:tcPr>
            <w:tcW w:w="596441" w:type="dxa"/>
          </w:tcPr>
          <w:p>
            <w:pPr>
              <w:pStyle w:val="Compact"/>
              <w:bidi/>
            </w:pPr>
            <w:r>
              <w:rPr>
                <w:rtl/>
              </w:rPr>
              <w:t xml:space="preserve">ART-002 ورق A4</w:t>
            </w:r>
          </w:p>
        </w:tc>
        <w:tc>
          <w:tcPr>
            <w:tcW w:w="508079" w:type="dxa"/>
          </w:tcPr>
          <w:p>
            <w:pPr>
              <w:pStyle w:val="Compact"/>
              <w:bidi/>
            </w:pPr>
            <w:r>
              <w:rPr>
                <w:rtl/>
              </w:rPr>
              <w:t xml:space="preserve">1,200</w:t>
            </w:r>
          </w:p>
        </w:tc>
        <w:tc>
          <w:tcPr>
            <w:tcW w:w="493687" w:type="dxa"/>
          </w:tcPr>
          <w:p>
            <w:pPr>
              <w:pStyle w:val="Compact"/>
              <w:bidi/>
            </w:pPr>
            <w:r>
              <w:rPr>
                <w:rtl/>
              </w:rPr>
              <w:t xml:space="preserve">500</w:t>
            </w:r>
          </w:p>
        </w:tc>
        <w:tc>
          <w:tcPr>
            <w:tcW w:w="493687" w:type="dxa"/>
          </w:tcPr>
          <w:p>
            <w:pPr>
              <w:pStyle w:val="Compact"/>
              <w:bidi/>
            </w:pPr>
            <w:r>
              <w:rPr>
                <w:rtl/>
              </w:rPr>
              <w:t xml:space="preserve">850</w:t>
            </w:r>
          </w:p>
        </w:tc>
        <w:tc>
          <w:tcPr>
            <w:tcW w:w="544227" w:type="dxa"/>
          </w:tcPr>
          <w:p>
            <w:pPr>
              <w:pStyle w:val="Compact"/>
              <w:bidi/>
            </w:pPr>
            <w:r>
              <w:rPr>
                <w:rtl/>
              </w:rPr>
              <w:t xml:space="preserve">15%</w:t>
            </w:r>
          </w:p>
        </w:tc>
        <w:tc>
          <w:tcPr>
            <w:tcW w:w="710910" w:type="dxa"/>
          </w:tcPr>
          <w:p>
            <w:pPr>
              <w:pStyle w:val="Compact"/>
              <w:bidi/>
            </w:pPr>
            <w:r>
              <w:rPr>
                <w:rtl/>
              </w:rPr>
              <w:t xml:space="preserve">97</w:t>
            </w:r>
          </w:p>
        </w:tc>
        <w:tc>
          <w:tcPr>
            <w:tcW w:w="682794" w:type="dxa"/>
          </w:tcPr>
          <w:p>
            <w:pPr>
              <w:pStyle w:val="Compact"/>
              <w:bidi/>
            </w:pPr>
            <w:r>
              <w:rPr>
                <w:rtl/>
              </w:rPr>
              <w:t xml:space="preserve">69.6</w:t>
            </w:r>
          </w:p>
        </w:tc>
        <w:tc>
          <w:tcPr>
            <w:tcW w:w="530170" w:type="dxa"/>
          </w:tcPr>
          <w:p>
            <w:pPr>
              <w:pStyle w:val="Compact"/>
              <w:bidi/>
            </w:pPr>
            <w:r>
              <w:rPr>
                <w:rtl/>
              </w:rPr>
              <w:t xml:space="preserve">60</w:t>
            </w:r>
          </w:p>
        </w:tc>
      </w:tr>
      <w:tr>
        <w:tc>
          <w:tcPr>
            <w:tcW w:w="596441" w:type="dxa"/>
          </w:tcPr>
          <w:p>
            <w:pPr>
              <w:pStyle w:val="Compact"/>
              <w:bidi/>
            </w:pPr>
            <w:r>
              <w:rPr>
                <w:rtl/>
              </w:rPr>
              <w:t xml:space="preserve">ART-003 ورق A3</w:t>
            </w:r>
          </w:p>
        </w:tc>
        <w:tc>
          <w:tcPr>
            <w:tcW w:w="508079" w:type="dxa"/>
          </w:tcPr>
          <w:p>
            <w:pPr>
              <w:pStyle w:val="Compact"/>
              <w:bidi/>
            </w:pPr>
            <w:r>
              <w:rPr>
                <w:rtl/>
              </w:rPr>
              <w:t xml:space="preserve">800</w:t>
            </w:r>
          </w:p>
        </w:tc>
        <w:tc>
          <w:tcPr>
            <w:tcW w:w="493687" w:type="dxa"/>
          </w:tcPr>
          <w:p>
            <w:pPr>
              <w:pStyle w:val="Compact"/>
              <w:bidi/>
            </w:pPr>
            <w:r>
              <w:rPr>
                <w:rtl/>
              </w:rPr>
              <w:t xml:space="preserve">400</w:t>
            </w:r>
          </w:p>
        </w:tc>
        <w:tc>
          <w:tcPr>
            <w:tcW w:w="493687" w:type="dxa"/>
          </w:tcPr>
          <w:p>
            <w:pPr>
              <w:pStyle w:val="Compact"/>
              <w:bidi/>
            </w:pPr>
            <w:r>
              <w:rPr>
                <w:rtl/>
              </w:rPr>
              <w:t xml:space="preserve">1,200</w:t>
            </w:r>
          </w:p>
        </w:tc>
        <w:tc>
          <w:tcPr>
            <w:tcW w:w="544227" w:type="dxa"/>
          </w:tcPr>
          <w:p>
            <w:pPr>
              <w:pStyle w:val="Compact"/>
              <w:bidi/>
            </w:pPr>
            <w:r>
              <w:rPr>
                <w:rtl/>
              </w:rPr>
              <w:t xml:space="preserve">15%</w:t>
            </w:r>
          </w:p>
        </w:tc>
        <w:tc>
          <w:tcPr>
            <w:tcW w:w="710910" w:type="dxa"/>
          </w:tcPr>
          <w:p>
            <w:pPr>
              <w:pStyle w:val="Compact"/>
              <w:bidi/>
            </w:pPr>
            <w:r>
              <w:rPr>
                <w:rtl/>
              </w:rPr>
              <w:t xml:space="preserve">60</w:t>
            </w:r>
          </w:p>
        </w:tc>
        <w:tc>
          <w:tcPr>
            <w:tcW w:w="682794" w:type="dxa"/>
          </w:tcPr>
          <w:p>
            <w:pPr>
              <w:pStyle w:val="Compact"/>
              <w:bidi/>
            </w:pPr>
            <w:r>
              <w:rPr>
                <w:rtl/>
              </w:rPr>
              <w:t xml:space="preserve">46.4</w:t>
            </w:r>
          </w:p>
        </w:tc>
        <w:tc>
          <w:tcPr>
            <w:tcW w:w="530170" w:type="dxa"/>
          </w:tcPr>
          <w:p>
            <w:pPr>
              <w:pStyle w:val="Compact"/>
              <w:bidi/>
            </w:pPr>
            <w:r>
              <w:rPr>
                <w:rtl/>
              </w:rPr>
              <w:t xml:space="preserve">40</w:t>
            </w:r>
          </w:p>
        </w:tc>
      </w:tr>
      <w:tr>
        <w:tc>
          <w:tcPr>
            <w:tcW w:w="596441" w:type="dxa"/>
          </w:tcPr>
          <w:p>
            <w:pPr>
              <w:pStyle w:val="Compact"/>
              <w:bidi/>
            </w:pPr>
            <w:r>
              <w:rPr>
                <w:rtl/>
              </w:rPr>
              <w:t xml:space="preserve">ART-004 صندوق أرشيف</w:t>
            </w:r>
          </w:p>
        </w:tc>
        <w:tc>
          <w:tcPr>
            <w:tcW w:w="508079" w:type="dxa"/>
          </w:tcPr>
          <w:p>
            <w:pPr>
              <w:pStyle w:val="Compact"/>
              <w:bidi/>
            </w:pPr>
            <w:r>
              <w:rPr>
                <w:rtl/>
              </w:rPr>
              <w:t xml:space="preserve">400</w:t>
            </w:r>
          </w:p>
        </w:tc>
        <w:tc>
          <w:tcPr>
            <w:tcW w:w="493687" w:type="dxa"/>
          </w:tcPr>
          <w:p>
            <w:pPr>
              <w:pStyle w:val="Compact"/>
              <w:bidi/>
            </w:pPr>
            <w:r>
              <w:rPr>
                <w:rtl/>
              </w:rPr>
              <w:t xml:space="preserve">350</w:t>
            </w:r>
          </w:p>
        </w:tc>
        <w:tc>
          <w:tcPr>
            <w:tcW w:w="493687" w:type="dxa"/>
          </w:tcPr>
          <w:p>
            <w:pPr>
              <w:pStyle w:val="Compact"/>
              <w:bidi/>
            </w:pPr>
            <w:r>
              <w:rPr>
                <w:rtl/>
              </w:rPr>
              <w:t xml:space="preserve">450</w:t>
            </w:r>
          </w:p>
        </w:tc>
        <w:tc>
          <w:tcPr>
            <w:tcW w:w="544227" w:type="dxa"/>
          </w:tcPr>
          <w:p>
            <w:pPr>
              <w:pStyle w:val="Compact"/>
              <w:bidi/>
            </w:pPr>
            <w:r>
              <w:rPr>
                <w:rtl/>
              </w:rPr>
              <w:t xml:space="preserve">10%</w:t>
            </w:r>
          </w:p>
        </w:tc>
        <w:tc>
          <w:tcPr>
            <w:tcW w:w="710910" w:type="dxa"/>
          </w:tcPr>
          <w:p>
            <w:pPr>
              <w:pStyle w:val="Compact"/>
              <w:bidi/>
            </w:pPr>
            <w:r>
              <w:rPr>
                <w:rtl/>
              </w:rPr>
              <w:t xml:space="preserve">79</w:t>
            </w:r>
          </w:p>
        </w:tc>
        <w:tc>
          <w:tcPr>
            <w:tcW w:w="682794" w:type="dxa"/>
          </w:tcPr>
          <w:p>
            <w:pPr>
              <w:pStyle w:val="Compact"/>
              <w:bidi/>
            </w:pPr>
            <w:r>
              <w:rPr>
                <w:rtl/>
              </w:rPr>
              <w:t xml:space="preserve">23.2</w:t>
            </w:r>
          </w:p>
        </w:tc>
        <w:tc>
          <w:tcPr>
            <w:tcW w:w="530170" w:type="dxa"/>
          </w:tcPr>
          <w:p>
            <w:pPr>
              <w:pStyle w:val="Compact"/>
              <w:bidi/>
            </w:pPr>
            <w:r>
              <w:rPr>
                <w:rtl/>
              </w:rPr>
              <w:t xml:space="preserve">20</w:t>
            </w:r>
          </w:p>
        </w:tc>
      </w:tr>
      <w:tr>
        <w:tc>
          <w:tcPr>
            <w:tcW w:w="596441" w:type="dxa"/>
          </w:tcPr>
          <w:p>
            <w:pPr>
              <w:pStyle w:val="Compact"/>
              <w:bidi/>
            </w:pPr>
            <w:r>
              <w:rPr>
                <w:rtl/>
              </w:rPr>
              <w:t xml:space="preserve">ART-005 دباسة مكتبية</w:t>
            </w:r>
          </w:p>
        </w:tc>
        <w:tc>
          <w:tcPr>
            <w:tcW w:w="508079" w:type="dxa"/>
          </w:tcPr>
          <w:p>
            <w:pPr>
              <w:pStyle w:val="Compact"/>
              <w:bidi/>
            </w:pPr>
            <w:r>
              <w:rPr>
                <w:rtl/>
              </w:rPr>
              <w:t xml:space="preserve">300</w:t>
            </w:r>
          </w:p>
        </w:tc>
        <w:tc>
          <w:tcPr>
            <w:tcW w:w="493687" w:type="dxa"/>
          </w:tcPr>
          <w:p>
            <w:pPr>
              <w:pStyle w:val="Compact"/>
              <w:bidi/>
            </w:pPr>
            <w:r>
              <w:rPr>
                <w:rtl/>
              </w:rPr>
              <w:t xml:space="preserve">200</w:t>
            </w:r>
          </w:p>
        </w:tc>
        <w:tc>
          <w:tcPr>
            <w:tcW w:w="493687" w:type="dxa"/>
          </w:tcPr>
          <w:p>
            <w:pPr>
              <w:pStyle w:val="Compact"/>
              <w:bidi/>
            </w:pPr>
            <w:r>
              <w:rPr>
                <w:rtl/>
              </w:rPr>
              <w:t xml:space="preserve">1,800</w:t>
            </w:r>
          </w:p>
        </w:tc>
        <w:tc>
          <w:tcPr>
            <w:tcW w:w="544227" w:type="dxa"/>
          </w:tcPr>
          <w:p>
            <w:pPr>
              <w:pStyle w:val="Compact"/>
              <w:bidi/>
            </w:pPr>
            <w:r>
              <w:rPr>
                <w:rtl/>
              </w:rPr>
              <w:t xml:space="preserve">10%</w:t>
            </w:r>
          </w:p>
        </w:tc>
        <w:tc>
          <w:tcPr>
            <w:tcW w:w="710910" w:type="dxa"/>
          </w:tcPr>
          <w:p>
            <w:pPr>
              <w:pStyle w:val="Compact"/>
              <w:bidi/>
            </w:pPr>
            <w:r>
              <w:rPr>
                <w:rtl/>
              </w:rPr>
              <w:t xml:space="preserve">26</w:t>
            </w:r>
          </w:p>
        </w:tc>
        <w:tc>
          <w:tcPr>
            <w:tcW w:w="682794" w:type="dxa"/>
          </w:tcPr>
          <w:p>
            <w:pPr>
              <w:pStyle w:val="Compact"/>
              <w:bidi/>
            </w:pPr>
            <w:r>
              <w:rPr>
                <w:rtl/>
              </w:rPr>
              <w:t xml:space="preserve">12.4</w:t>
            </w:r>
          </w:p>
        </w:tc>
        <w:tc>
          <w:tcPr>
            <w:tcW w:w="530170" w:type="dxa"/>
          </w:tcPr>
          <w:p>
            <w:pPr>
              <w:pStyle w:val="Compact"/>
              <w:bidi/>
            </w:pPr>
            <w:r>
              <w:rPr>
                <w:rtl/>
              </w:rPr>
              <w:t xml:space="preserve">10</w:t>
            </w:r>
          </w:p>
        </w:tc>
      </w:tr>
    </w:tbl>
    <w:bookmarkStart w:id="87" w:name="ثانيا-تحليل-النتائج-ودلالاتها-التشغيلية"/>
    <w:p>
      <w:pPr>
        <w:pStyle w:val="Heading4"/>
        <w:bidi/>
      </w:pPr>
      <w:r>
        <w:rPr>
          <w:rtl/>
        </w:rPr>
        <w:t xml:space="preserve">ثانياً: تحليل النتائج ودلالاتها التشغيلية</w:t>
      </w:r>
    </w:p>
    <w:p>
      <w:pPr>
        <w:bidi/>
      </w:pPr>
      <w:r>
        <w:rPr>
          <w:rtl/>
        </w:rPr>
        <w:t xml:space="preserve">يُظهر التحليل النتائج التالية:</w:t>
      </w:r>
      <w:r>
        <w:rPr>
          <w:rtl/>
        </w:rPr>
        <w:t xml:space="preserve"> </w:t>
      </w:r>
      <w:r>
        <w:rPr>
          <w:rtl/>
        </w:rPr>
        <w:t xml:space="preserve">-</w:t>
      </w:r>
      <w:r>
        <w:rPr>
          <w:rtl/>
        </w:rPr>
        <w:t xml:space="preserve"> </w:t>
      </w:r>
      <w:r>
        <w:rPr>
          <w:b/>
          <w:bCs/>
          <w:rtl/>
        </w:rPr>
        <w:t xml:space="preserve">تباين الاحتياجات: التباين بين احتياجات الصنف AX (Toner G030) الذي يتطلب رقابة يومية ومخزون أمان مرتفع (200 وحدة)، والصنف CZ (الدباسة) الذي يكفي فيه مخزون أمان ضئيل (10 وحدات).</w:t>
      </w:r>
      <w:r>
        <w:rPr>
          <w:rtl/>
        </w:rPr>
        <w:t xml:space="preserve"> </w:t>
      </w:r>
      <w:r>
        <w:rPr>
          <w:rtl/>
        </w:rPr>
        <w:t xml:space="preserve">-</w:t>
      </w:r>
      <w:r>
        <w:rPr>
          <w:rtl/>
        </w:rPr>
        <w:t xml:space="preserve"> </w:t>
      </w:r>
      <w:r>
        <w:rPr>
          <w:b/>
          <w:bCs/>
          <w:rtl/>
        </w:rPr>
        <w:t xml:space="preserve">خطر التقدير الذاتي: في النظام اليدوي الحالي، يتم طلب جميع هذه الأصناف بناءً على</w:t>
      </w:r>
      <w:r>
        <w:rPr>
          <w:b/>
          <w:bCs/>
          <w:rtl/>
        </w:rPr>
        <w:t xml:space="preserve"> </w:t>
      </w:r>
      <w:r>
        <w:rPr>
          <w:b/>
          <w:bCs/>
          <w:rtl/>
        </w:rPr>
        <w:t xml:space="preserve">“تقدير تقريبي”</w:t>
      </w:r>
      <w:r>
        <w:rPr>
          <w:b/>
          <w:bCs/>
          <w:rtl/>
        </w:rPr>
        <w:t xml:space="preserve"> </w:t>
      </w:r>
      <w:r>
        <w:rPr>
          <w:b/>
          <w:bCs/>
          <w:rtl/>
        </w:rPr>
        <w:t xml:space="preserve">للمسير، مما يؤدي إما إلى تكديس أصناف الفئة C (هدر مالي) أو نفاد أصناف الفئة A (تعطيل إداري).</w:t>
      </w:r>
    </w:p>
    <w:bookmarkEnd w:id="87"/>
    <w:bookmarkEnd w:id="88"/>
    <w:bookmarkStart w:id="89" w:name="X1bb33ba9224f587193ff19f2f46f26887b562eb"/>
    <w:p>
      <w:pPr>
        <w:pStyle w:val="Heading3"/>
        <w:bidi/>
      </w:pPr>
      <w:r>
        <w:rPr>
          <w:rtl/>
        </w:rPr>
        <w:t xml:space="preserve">المطلب الثاني: مصفوفة تحليل الفجوات — جدول رقم 05</w:t>
      </w:r>
    </w:p>
    <w:p>
      <w:pPr>
        <w:bidi/>
      </w:pPr>
      <w:r>
        <w:rPr>
          <w:rtl/>
        </w:rPr>
        <w:t xml:space="preserve">تُقارن المصفوفة التالية (جدول رقم 05) بين التسيير اليدوي والنظام الرقمي المقترح.</w:t>
      </w:r>
      <w:r>
        <w:rPr>
          <w:rtl/>
        </w:rPr>
        <w:t xml:space="preserve"> </w:t>
      </w:r>
      <w:r>
        <w:rPr>
          <w:b/>
          <w:bCs/>
          <w:rtl/>
        </w:rPr>
        <w:t xml:space="preserve">جدول رقم 05: تحليل الفجوة التشغيلية بين التسيير اليدوي ونظام دعم القرار</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179577" w:type="dxa"/>
          </w:tcPr>
          <w:p>
            <w:pPr>
              <w:pStyle w:val="Compact"/>
              <w:bidi/>
            </w:pPr>
            <w:r>
              <w:rPr>
                <w:rtl/>
              </w:rPr>
              <w:t xml:space="preserve">المعيار</w:t>
            </w:r>
          </w:p>
        </w:tc>
        <w:tc>
          <w:tcPr>
            <w:tcW w:w="1148398" w:type="dxa"/>
          </w:tcPr>
          <w:p>
            <w:pPr>
              <w:pStyle w:val="Compact"/>
              <w:bidi/>
            </w:pPr>
            <w:r>
              <w:rPr>
                <w:rtl/>
              </w:rPr>
              <w:t xml:space="preserve">يدوياً</w:t>
            </w:r>
          </w:p>
        </w:tc>
        <w:tc>
          <w:tcPr>
            <w:tcW w:w="1371842" w:type="dxa"/>
          </w:tcPr>
          <w:p>
            <w:pPr>
              <w:pStyle w:val="Compact"/>
              <w:bidi/>
            </w:pPr>
            <w:r>
              <w:rPr>
                <w:rtl/>
              </w:rPr>
              <w:t xml:space="preserve">DSS</w:t>
            </w:r>
          </w:p>
        </w:tc>
        <w:tc>
          <w:tcPr>
            <w:tcW w:w="1460181" w:type="dxa"/>
          </w:tcPr>
          <w:p>
            <w:pPr>
              <w:pStyle w:val="Compact"/>
              <w:bidi/>
            </w:pPr>
            <w:r>
              <w:rPr>
                <w:rtl/>
              </w:rPr>
              <w:t xml:space="preserve">الفجوة</w:t>
            </w:r>
          </w:p>
        </w:tc>
      </w:tr>
      <w:tr>
        <w:tc>
          <w:tcPr>
            <w:tcW w:w="1179577" w:type="dxa"/>
          </w:tcPr>
          <w:p>
            <w:pPr>
              <w:pStyle w:val="Compact"/>
              <w:bidi/>
            </w:pPr>
            <w:r>
              <w:rPr>
                <w:rtl/>
              </w:rPr>
              <w:t xml:space="preserve">ROP trigger</w:t>
            </w:r>
          </w:p>
        </w:tc>
        <w:tc>
          <w:tcPr>
            <w:tcW w:w="1148398" w:type="dxa"/>
          </w:tcPr>
          <w:p>
            <w:pPr>
              <w:pStyle w:val="Compact"/>
              <w:bidi/>
            </w:pPr>
            <w:r>
              <w:rPr>
                <w:rtl/>
              </w:rPr>
              <w:t xml:space="preserve">تقدير بصري</w:t>
            </w:r>
          </w:p>
        </w:tc>
        <w:tc>
          <w:tcPr>
            <w:tcW w:w="1371842" w:type="dxa"/>
          </w:tcPr>
          <w:p>
            <w:pPr>
              <w:pStyle w:val="Compact"/>
              <w:bidi/>
            </w:pPr>
            <w:r>
              <w:rPr>
                <w:rtl/>
              </w:rPr>
              <w:t xml:space="preserve">تنبيه آلي عند ROP</w:t>
            </w:r>
          </w:p>
        </w:tc>
        <w:tc>
          <w:tcPr>
            <w:tcW w:w="1460181" w:type="dxa"/>
          </w:tcPr>
          <w:p>
            <w:pPr>
              <w:pStyle w:val="Compact"/>
              <w:bidi/>
            </w:pPr>
            <w:r>
              <w:rPr>
                <w:rtl/>
              </w:rPr>
              <w:t xml:space="preserve">تفاعلي ← استباقي</w:t>
            </w:r>
          </w:p>
        </w:tc>
      </w:tr>
      <w:tr>
        <w:tc>
          <w:tcPr>
            <w:tcW w:w="1179577" w:type="dxa"/>
          </w:tcPr>
          <w:p>
            <w:pPr>
              <w:pStyle w:val="Compact"/>
              <w:bidi/>
            </w:pPr>
            <w:r>
              <w:rPr>
                <w:rtl/>
              </w:rPr>
              <w:t xml:space="preserve">دقة البيانات</w:t>
            </w:r>
          </w:p>
        </w:tc>
        <w:tc>
          <w:tcPr>
            <w:tcW w:w="1148398" w:type="dxa"/>
          </w:tcPr>
          <w:p>
            <w:pPr>
              <w:pStyle w:val="Compact"/>
              <w:bidi/>
            </w:pPr>
            <w:r>
              <w:rPr>
                <w:rtl/>
              </w:rPr>
              <w:t xml:space="preserve">15% تباين</w:t>
            </w:r>
          </w:p>
        </w:tc>
        <w:tc>
          <w:tcPr>
            <w:tcW w:w="1371842" w:type="dxa"/>
          </w:tcPr>
          <w:p>
            <w:pPr>
              <w:pStyle w:val="Compact"/>
              <w:bidi/>
            </w:pPr>
            <w:r>
              <w:rPr>
                <w:rtl/>
              </w:rPr>
              <w:t xml:space="preserve">مزامنة آنية</w:t>
            </w:r>
          </w:p>
        </w:tc>
        <w:tc>
          <w:tcPr>
            <w:tcW w:w="1460181" w:type="dxa"/>
          </w:tcPr>
          <w:p>
            <w:pPr>
              <w:pStyle w:val="Compact"/>
              <w:bidi/>
            </w:pPr>
            <w:r>
              <w:rPr>
                <w:rtl/>
              </w:rPr>
              <w:t xml:space="preserve">إلغاء الأخطاء</w:t>
            </w:r>
          </w:p>
        </w:tc>
      </w:tr>
      <w:tr>
        <w:tc>
          <w:tcPr>
            <w:tcW w:w="1179577" w:type="dxa"/>
          </w:tcPr>
          <w:p>
            <w:pPr>
              <w:pStyle w:val="Compact"/>
              <w:bidi/>
            </w:pPr>
            <w:r>
              <w:rPr>
                <w:rtl/>
              </w:rPr>
              <w:t xml:space="preserve">زمن المعالجة</w:t>
            </w:r>
          </w:p>
        </w:tc>
        <w:tc>
          <w:tcPr>
            <w:tcW w:w="1148398" w:type="dxa"/>
          </w:tcPr>
          <w:p>
            <w:pPr>
              <w:pStyle w:val="Compact"/>
              <w:bidi/>
            </w:pPr>
            <w:r>
              <w:rPr>
                <w:rtl/>
              </w:rPr>
              <w:t xml:space="preserve">20-30 دقيقة/أمر</w:t>
            </w:r>
          </w:p>
        </w:tc>
        <w:tc>
          <w:tcPr>
            <w:tcW w:w="1371842" w:type="dxa"/>
          </w:tcPr>
          <w:p>
            <w:pPr>
              <w:pStyle w:val="Compact"/>
              <w:bidi/>
            </w:pPr>
            <w:r>
              <w:rPr>
                <w:rtl/>
              </w:rPr>
              <w:t xml:space="preserve">&lt;5 ثوان</w:t>
            </w:r>
          </w:p>
        </w:tc>
        <w:tc>
          <w:tcPr>
            <w:tcW w:w="1460181" w:type="dxa"/>
          </w:tcPr>
          <w:p>
            <w:pPr>
              <w:pStyle w:val="Compact"/>
              <w:bidi/>
            </w:pPr>
            <w:r>
              <w:rPr>
                <w:rtl/>
              </w:rPr>
              <w:t xml:space="preserve">تحسن 99.7%</w:t>
            </w:r>
          </w:p>
        </w:tc>
      </w:tr>
      <w:tr>
        <w:tc>
          <w:tcPr>
            <w:tcW w:w="1179577" w:type="dxa"/>
          </w:tcPr>
          <w:p>
            <w:pPr>
              <w:pStyle w:val="Compact"/>
              <w:bidi/>
            </w:pPr>
            <w:r>
              <w:rPr>
                <w:rtl/>
              </w:rPr>
              <w:t xml:space="preserve">حساب التكاليف</w:t>
            </w:r>
          </w:p>
        </w:tc>
        <w:tc>
          <w:tcPr>
            <w:tcW w:w="1148398" w:type="dxa"/>
          </w:tcPr>
          <w:p>
            <w:pPr>
              <w:pStyle w:val="Compact"/>
              <w:bidi/>
            </w:pPr>
            <w:r>
              <w:rPr>
                <w:rtl/>
              </w:rPr>
              <w:t xml:space="preserve">تقدير يدوي</w:t>
            </w:r>
          </w:p>
        </w:tc>
        <w:tc>
          <w:tcPr>
            <w:tcW w:w="1371842" w:type="dxa"/>
          </w:tcPr>
          <w:p>
            <w:pPr>
              <w:pStyle w:val="Compact"/>
              <w:bidi/>
            </w:pPr>
            <w:r>
              <w:rPr>
                <w:rtl/>
              </w:rPr>
              <w:t xml:space="preserve">CMUP + Q* آلي</w:t>
            </w:r>
          </w:p>
        </w:tc>
        <w:tc>
          <w:tcPr>
            <w:tcW w:w="1460181" w:type="dxa"/>
          </w:tcPr>
          <w:p>
            <w:pPr>
              <w:pStyle w:val="Compact"/>
              <w:bidi/>
            </w:pPr>
            <w:r>
              <w:rPr>
                <w:rtl/>
              </w:rPr>
              <w:t xml:space="preserve">دقة مطلقة</w:t>
            </w:r>
          </w:p>
        </w:tc>
      </w:tr>
      <w:tr>
        <w:tc>
          <w:tcPr>
            <w:tcW w:w="1179577" w:type="dxa"/>
          </w:tcPr>
          <w:p>
            <w:pPr>
              <w:pStyle w:val="Compact"/>
              <w:bidi/>
            </w:pPr>
            <w:r>
              <w:rPr>
                <w:rtl/>
              </w:rPr>
              <w:t xml:space="preserve">إدارة المخاطر</w:t>
            </w:r>
          </w:p>
        </w:tc>
        <w:tc>
          <w:tcPr>
            <w:tcW w:w="1148398" w:type="dxa"/>
          </w:tcPr>
          <w:p>
            <w:pPr>
              <w:pStyle w:val="Compact"/>
              <w:bidi/>
            </w:pPr>
            <w:r>
              <w:rPr>
                <w:rtl/>
              </w:rPr>
              <w:t xml:space="preserve">نفاد متكرر</w:t>
            </w:r>
          </w:p>
        </w:tc>
        <w:tc>
          <w:tcPr>
            <w:tcW w:w="1371842" w:type="dxa"/>
          </w:tcPr>
          <w:p>
            <w:pPr>
              <w:pStyle w:val="Compact"/>
              <w:bidi/>
            </w:pPr>
            <w:r>
              <w:rPr>
                <w:rtl/>
              </w:rPr>
              <w:t xml:space="preserve">صفر نفاد (SS)</w:t>
            </w:r>
          </w:p>
        </w:tc>
        <w:tc>
          <w:tcPr>
            <w:tcW w:w="1460181" w:type="dxa"/>
          </w:tcPr>
          <w:p>
            <w:pPr>
              <w:pStyle w:val="Compact"/>
              <w:bidi/>
            </w:pPr>
            <w:r>
              <w:rPr>
                <w:rtl/>
              </w:rPr>
              <w:t xml:space="preserve">استمرارية الخدمة</w:t>
            </w:r>
          </w:p>
        </w:tc>
      </w:tr>
    </w:tbl>
    <w:bookmarkEnd w:id="89"/>
    <w:bookmarkStart w:id="97" w:name="Xf44bb1cbb1fbf8d3786fd5660f5e5e712de4010"/>
    <w:p>
      <w:pPr>
        <w:pStyle w:val="Heading3"/>
        <w:bidi/>
      </w:pPr>
      <w:r>
        <w:rPr>
          <w:rtl/>
        </w:rPr>
        <w:t xml:space="preserve">المطلب الثالث: تصنيف ABC-XYZ كأداة لتوجيه القرار</w:t>
      </w:r>
    </w:p>
    <w:p>
      <w:pPr>
        <w:bidi/>
      </w:pPr>
      <w:r>
        <w:rPr>
          <w:rtl/>
        </w:rPr>
        <w:t xml:space="preserve">تتويجاً لهذا التشخيص، اعتمدنا مصفوفة القرار المزدوجة (ABC-XYZ) لتصنيف كافة أصناف المخزن، حيث يمثل المحور (ABC) القيمة المالية، والمحور (XYZ) استقرار الطلب.</w:t>
      </w:r>
    </w:p>
    <w:bookmarkStart w:id="90" w:name="أولا-منطق-التصنيف-المعتمد"/>
    <w:p>
      <w:pPr>
        <w:pStyle w:val="Heading4"/>
        <w:bidi/>
      </w:pPr>
      <w:r>
        <w:rPr>
          <w:rtl/>
        </w:rPr>
        <w:t xml:space="preserve">أولاً: منطق التصنيف المعتمد</w:t>
      </w:r>
    </w:p>
    <w:p>
      <w:pPr>
        <w:pStyle w:val="Compact"/>
        <w:numPr>
          <w:ilvl w:val="0"/>
          <w:numId w:val="1003"/>
        </w:numPr>
        <w:bidi/>
      </w:pPr>
      <w:r>
        <w:rPr>
          <w:b/>
          <w:bCs/>
          <w:rtl/>
        </w:rPr>
        <w:t xml:space="preserve">المحور A-B-C (القيمة): يتم تحديد الفئة بناءً على الوزن التراكمي للقيمة الاستهلاكية السنوية.</w:t>
      </w:r>
    </w:p>
    <w:p>
      <w:pPr>
        <w:pStyle w:val="Compact"/>
        <w:numPr>
          <w:ilvl w:val="0"/>
          <w:numId w:val="1003"/>
        </w:numPr>
        <w:bidi/>
      </w:pPr>
      <w:r>
        <w:rPr>
          <w:b/>
          <w:bCs/>
          <w:rtl/>
        </w:rPr>
        <w:t xml:space="preserve">المحور X-Y-Z (الاستقرار): يتم تحديد الفئة بناءً على معامل التباين (CV) للطلب الدوري.</w:t>
      </w:r>
    </w:p>
    <w:bookmarkEnd w:id="90"/>
    <w:bookmarkStart w:id="96" w:name="ثانيا-استراتيجية-التسيير-الموجهة"/>
    <w:p>
      <w:pPr>
        <w:pStyle w:val="Heading4"/>
        <w:bidi/>
      </w:pPr>
      <w:r>
        <w:rPr>
          <w:rtl/>
        </w:rPr>
        <w:t xml:space="preserve">ثانياً: استراتيجية التسيير الموجهة</w:t>
      </w:r>
    </w:p>
    <w:p>
      <w:pPr>
        <w:bidi/>
      </w:pPr>
      <w:r>
        <w:rPr>
          <w:rtl/>
        </w:rPr>
        <w:t xml:space="preserve">بناءً على هذا التصنيف، يتبنى نظام دعم القرار الاستراتيجيات التالية:</w:t>
      </w:r>
      <w:r>
        <w:rPr>
          <w:rtl/>
        </w:rPr>
        <w:t xml:space="preserve"> </w:t>
      </w:r>
      <w:r>
        <w:rPr>
          <w:rtl/>
        </w:rPr>
        <w:t xml:space="preserve">-</w:t>
      </w:r>
      <w:r>
        <w:rPr>
          <w:rtl/>
        </w:rPr>
        <w:t xml:space="preserve"> </w:t>
      </w:r>
      <w:r>
        <w:rPr>
          <w:b/>
          <w:bCs/>
          <w:rtl/>
        </w:rPr>
        <w:t xml:space="preserve">الأصناف AX (عالية القيمة/مستقرة): تطبيق صارم لنموذج ويلسون مع تحديث يومي للأرصدة.</w:t>
      </w:r>
      <w:r>
        <w:rPr>
          <w:rtl/>
        </w:rPr>
        <w:t xml:space="preserve"> </w:t>
      </w:r>
      <w:r>
        <w:rPr>
          <w:rtl/>
        </w:rPr>
        <w:t xml:space="preserve">-</w:t>
      </w:r>
      <w:r>
        <w:rPr>
          <w:rtl/>
        </w:rPr>
        <w:t xml:space="preserve"> </w:t>
      </w:r>
      <w:r>
        <w:rPr>
          <w:b/>
          <w:bCs/>
          <w:rtl/>
        </w:rPr>
        <w:t xml:space="preserve">الأصناف BY (متوسطة القيمة/موسمية): تطبيق هوامش أمان مرنة تتكيف مع فترات الذروة (مثل بداية السنة الدراسية).</w:t>
      </w:r>
      <w:r>
        <w:rPr>
          <w:rtl/>
        </w:rPr>
        <w:t xml:space="preserve"> </w:t>
      </w:r>
      <w:r>
        <w:rPr>
          <w:rtl/>
        </w:rPr>
        <w:t xml:space="preserve">-</w:t>
      </w:r>
      <w:r>
        <w:rPr>
          <w:rtl/>
        </w:rPr>
        <w:t xml:space="preserve"> </w:t>
      </w:r>
      <w:r>
        <w:rPr>
          <w:b/>
          <w:bCs/>
          <w:rtl/>
        </w:rPr>
        <w:t xml:space="preserve">الأصناف CZ (منخفضة القيمة/غير منتظمة): تبسيط إجراءات التموين مع الاعتماد على الطلب عند الحاجة (Just-in-Time).</w:t>
      </w:r>
      <w:r>
        <w:rPr>
          <w:rtl/>
        </w:rPr>
        <w:t xml:space="preserve"> </w:t>
      </w:r>
      <w:r>
        <w:rPr>
          <w:rtl/>
        </w:rPr>
        <w:t xml:space="preserve">هذا التصنيف هو الذي يمنح النظام</w:t>
      </w:r>
      <w:r>
        <w:rPr>
          <w:rtl/>
        </w:rPr>
        <w:t xml:space="preserve"> </w:t>
      </w:r>
      <w:r>
        <w:rPr>
          <w:rtl/>
        </w:rPr>
        <w:t xml:space="preserve">“ذكاءً تشغيلياً”</w:t>
      </w:r>
      <w:r>
        <w:rPr>
          <w:rtl/>
        </w:rPr>
        <w:t xml:space="preserve">، حيث لا يعامل جميع الأصناف بنفس الطريقة، بل يوجه موارد الرقابة نحو الأصناف التي تشكل الخطر الأكبر على سير العمل.</w:t>
      </w:r>
    </w:p>
    <w:p>
      <w:pPr>
        <w:bidi/>
      </w:pPr>
      <w:r>
        <w:rPr>
          <w:b/>
          <w:bCs/>
          <w:rtl/>
        </w:rPr>
        <w:t xml:space="preserve">خلاصة الفصل الثاني</w:t>
      </w:r>
      <w:r>
        <w:rPr>
          <w:rtl/>
        </w:rPr>
        <w:t xml:space="preserve"> </w:t>
      </w:r>
      <w:r>
        <w:rPr>
          <w:rtl/>
        </w:rPr>
        <w:t xml:space="preserve">كشف هذا الفصل عن الهوَّة القائمة بين ما تستوجبه النماذج الرياضية من دقة كمية (37 وحدة، ROP = 206،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v13.3 وإنجازه.</w:t>
      </w:r>
      <w:r>
        <w:rPr>
          <w:rtl/>
        </w:rPr>
        <w:t xml:space="preserve"> </w:t>
      </w:r>
      <w:r>
        <w:rPr>
          <w:rtl/>
        </w:rPr>
        <w:t xml:space="preserve">— نهاية الفصل الثاني —</w:t>
      </w:r>
      <w:r>
        <w:rPr>
          <w:rtl/>
        </w:rPr>
        <w:t xml:space="preserve"> </w:t>
      </w:r>
      <w:r>
        <w:rPr>
          <w:rStyle w:val="FootnoteReference"/>
        </w:rPr>
        <w:footnoteReference w:id="91"/>
      </w:r>
      <w:r>
        <w:rPr>
          <w:rtl/>
        </w:rPr>
        <w:t xml:space="preserve"> </w:t>
      </w:r>
      <w:r>
        <w:rPr>
          <w:rStyle w:val="FootnoteReference"/>
        </w:rPr>
        <w:footnoteReference w:id="92"/>
      </w:r>
      <w:r>
        <w:rPr>
          <w:rtl/>
        </w:rPr>
        <w:t xml:space="preserve"> </w:t>
      </w:r>
      <w:r>
        <w:rPr>
          <w:rStyle w:val="FootnoteReference"/>
        </w:rPr>
        <w:footnoteReference w:id="93"/>
      </w:r>
      <w:r>
        <w:rPr>
          <w:rtl/>
        </w:rPr>
        <w:t xml:space="preserve"> </w:t>
      </w:r>
      <w:r>
        <w:rPr>
          <w:rStyle w:val="FootnoteReference"/>
        </w:rPr>
        <w:footnoteReference w:id="94"/>
      </w:r>
      <w:r>
        <w:rPr>
          <w:rtl/>
        </w:rPr>
        <w:t xml:space="preserve"> </w:t>
      </w:r>
      <w:r>
        <w:rPr>
          <w:rStyle w:val="FootnoteReference"/>
        </w:rPr>
        <w:footnoteReference w:id="95"/>
      </w:r>
    </w:p>
    <w:bookmarkEnd w:id="96"/>
    <w:bookmarkEnd w:id="97"/>
    <w:bookmarkEnd w:id="98"/>
    <w:bookmarkEnd w:id="99"/>
    <w:bookmarkStart w:id="131" w:name="X425548a444476a4a4f36373e56e022eba81766a"/>
    <w:p>
      <w:pPr>
        <w:pStyle w:val="Heading1"/>
        <w:bidi/>
      </w:pPr>
      <w:r>
        <w:rPr>
          <w:rtl/>
        </w:rPr>
        <w:t xml:space="preserve">الفصل الثالث: تصميم وإنجاز نظام دعم القرار</w:t>
      </w:r>
    </w:p>
    <w:p>
      <w:pPr>
        <w:bidi/>
      </w:pPr>
      <w:r>
        <w:rPr>
          <w:rtl/>
        </w:rPr>
        <w:t xml:space="preserve">تمهيد الفصل</w:t>
      </w:r>
      <w:r>
        <w:rPr>
          <w:rtl/>
        </w:rPr>
        <w:t xml:space="preserve"> </w:t>
      </w:r>
      <w:r>
        <w:rPr>
          <w:rtl/>
        </w:rPr>
        <w:t xml:space="preserve">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bookmarkStart w:id="106" w:name="Xa676c4e96c951c611f1581966c5cca345efded0"/>
    <w:p>
      <w:pPr>
        <w:pStyle w:val="Heading2"/>
        <w:bidi/>
      </w:pPr>
      <w:r>
        <w:rPr>
          <w:rtl/>
        </w:rPr>
        <w:t xml:space="preserve">المبحث الأول: الهندسة المتكاملة لنظام دعم القرار</w:t>
      </w:r>
    </w:p>
    <w:p>
      <w:pPr>
        <w:bidi/>
      </w:pPr>
      <w:r>
        <w:rPr>
          <w:rtl/>
        </w:rPr>
        <w:t xml:space="preserve">يستهدف هذا المبحث تفكيك البنية الهندسية للنظام المقترح، موضحاً كيف تحول من مجرد</w:t>
      </w:r>
      <w:r>
        <w:rPr>
          <w:rtl/>
        </w:rPr>
        <w:t xml:space="preserve"> </w:t>
      </w:r>
      <w:r>
        <w:rPr>
          <w:rtl/>
        </w:rPr>
        <w:t xml:space="preserve">“أداة تسجيل”</w:t>
      </w:r>
      <w:r>
        <w:rPr>
          <w:rtl/>
        </w:rPr>
        <w:t xml:space="preserve"> </w:t>
      </w:r>
      <w:r>
        <w:rPr>
          <w:rtl/>
        </w:rPr>
        <w:t xml:space="preserve">إلى</w:t>
      </w:r>
      <w:r>
        <w:rPr>
          <w:rtl/>
        </w:rPr>
        <w:t xml:space="preserve"> </w:t>
      </w:r>
      <w:r>
        <w:rPr>
          <w:rtl/>
        </w:rPr>
        <w:t xml:space="preserve">“نظام دعم قرار”</w:t>
      </w:r>
      <w:r>
        <w:rPr>
          <w:rtl/>
        </w:rPr>
        <w:t xml:space="preserve"> </w:t>
      </w:r>
      <w:r>
        <w:rPr>
          <w:rtl/>
        </w:rPr>
        <w:t xml:space="preserve">متكامل. لا تكمن قيمة النظام في استخدام لغة VBA فحسب، بل في فلسفة التصميم التي تدمج بين الدقة المحاسبية، والسرعة اللوجيستية، وبساطة التشغيل.</w:t>
      </w:r>
    </w:p>
    <w:bookmarkStart w:id="103" w:name="X50eda9fd44e4b29eb77e7e9ee21c27f44b1ac92"/>
    <w:p>
      <w:pPr>
        <w:pStyle w:val="Heading3"/>
        <w:bidi/>
      </w:pPr>
      <w:r>
        <w:rPr>
          <w:rtl/>
        </w:rPr>
        <w:t xml:space="preserve">المطلب الأول: فلسفة التصميم والتحول من الأنظمة أحادية الطبقة</w:t>
      </w:r>
    </w:p>
    <w:p>
      <w:pPr>
        <w:bidi/>
      </w:pPr>
      <w:r>
        <w:rPr>
          <w:rtl/>
        </w:rPr>
        <w:t xml:space="preserve">تعتمد معظم الحلول البرمجية التقليدية الموجهة للمؤسسات الصغيرة على</w:t>
      </w:r>
      <w:r>
        <w:rPr>
          <w:rtl/>
        </w:rPr>
        <w:t xml:space="preserve"> </w:t>
      </w:r>
      <w:r>
        <w:rPr>
          <w:rtl/>
        </w:rPr>
        <w:t xml:space="preserve">“الأنظمة أحادية الطبقة”</w:t>
      </w:r>
      <w:r>
        <w:rPr>
          <w:rtl/>
        </w:rPr>
        <w:t xml:space="preserve"> </w:t>
      </w:r>
      <w:r>
        <w:rPr>
          <w:rtl/>
        </w:rPr>
        <w:t xml:space="preserve">(Single-Layer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r>
        <w:rPr>
          <w:rtl/>
        </w:rPr>
        <w:t xml:space="preserve"> </w:t>
      </w:r>
      <w:r>
        <w:rPr>
          <w:rtl/>
        </w:rPr>
        <w:t xml:space="preserve">-</w:t>
      </w:r>
      <w:r>
        <w:rPr>
          <w:rtl/>
        </w:rPr>
        <w:t xml:space="preserve"> </w:t>
      </w:r>
      <w:r>
        <w:rPr>
          <w:b/>
          <w:bCs/>
          <w:rtl/>
        </w:rPr>
        <w:t xml:space="preserve">تشتت البيانات (Data Fragmentation): حيث يتم تسجيل المداخل في ورقة والمخارج في أخرى، مما يجعل عملية المطابقة (Reconciliation) عملية يدوية مجهدة وعرضة للخطأ.</w:t>
      </w:r>
      <w:r>
        <w:rPr>
          <w:rtl/>
        </w:rPr>
        <w:t xml:space="preserve"> </w:t>
      </w:r>
      <w:r>
        <w:rPr>
          <w:rtl/>
        </w:rPr>
        <w:t xml:space="preserve">-</w:t>
      </w:r>
      <w:r>
        <w:rPr>
          <w:rtl/>
        </w:rPr>
        <w:t xml:space="preserve"> </w:t>
      </w:r>
      <w:r>
        <w:rPr>
          <w:b/>
          <w:bCs/>
          <w:rtl/>
        </w:rPr>
        <w:t xml:space="preserve">الافتقار إلى الربط الآلي بين الحركة والتكلفة: غياب العلاقة الآلية بين حركة المخزون وتحديث تكلفة الوحدة، مما يضطر المسير لإعادة حساب المتوسط المرجح (CMUP) يدوياً عند كل عملية دخول.</w:t>
      </w:r>
      <w:r>
        <w:rPr>
          <w:rtl/>
        </w:rPr>
        <w:t xml:space="preserve"> </w:t>
      </w:r>
      <w:r>
        <w:rPr>
          <w:rtl/>
        </w:rPr>
        <w:t xml:space="preserve">-</w:t>
      </w:r>
      <w:r>
        <w:rPr>
          <w:rtl/>
        </w:rPr>
        <w:t xml:space="preserve"> </w:t>
      </w:r>
      <w:r>
        <w:rPr>
          <w:b/>
          <w:bCs/>
          <w:rtl/>
        </w:rPr>
        <w:t xml:space="preserve">ضعف الرقابة (Control Gap): انعدام القدرة على فرض قيود إدخال (Input Constraints)، مما يسمح بتسجيل كميات سالبة أو أكواد أصناف غير موجودة.</w:t>
      </w:r>
      <w:r>
        <w:rPr>
          <w:rtl/>
        </w:rPr>
        <w:t xml:space="preserve"> </w:t>
      </w:r>
      <w:r>
        <w:rPr>
          <w:rtl/>
        </w:rPr>
        <w:t xml:space="preserve">يُشار إلى أن عدة دراسات جزائرية سابقة تناولت هذا الإشكال، منها أعمال Sebti حول أدوات دعم القرار لتسيير المخزون</w:t>
      </w:r>
      <w:r>
        <w:rPr>
          <w:rtl/>
        </w:rPr>
        <w:t xml:space="preserve"> </w:t>
      </w:r>
      <w:r>
        <w:rPr>
          <w:rStyle w:val="FootnoteReference"/>
        </w:rPr>
        <w:footnoteReference w:id="100"/>
      </w:r>
      <w:r>
        <w:rPr>
          <w:rtl/>
        </w:rPr>
        <w:t xml:space="preserve">، وYahi حول برمجيات تسيير مخزون قطع الغيار</w:t>
      </w:r>
      <w:r>
        <w:rPr>
          <w:rtl/>
        </w:rPr>
        <w:t xml:space="preserve"> </w:t>
      </w:r>
      <w:r>
        <w:rPr>
          <w:rStyle w:val="FootnoteReference"/>
        </w:rPr>
        <w:footnoteReference w:id="101"/>
      </w:r>
      <w:r>
        <w:rPr>
          <w:rtl/>
        </w:rPr>
        <w:t xml:space="preserve">، وبشكل أحدث Bouchahlata الذي جمع بين بيئة VBA وذكاء الأعمال في سياق Ericsson Algérie</w:t>
      </w:r>
      <w:r>
        <w:rPr>
          <w:rtl/>
        </w:rPr>
        <w:t xml:space="preserve"> </w:t>
      </w:r>
      <w:r>
        <w:rPr>
          <w:rStyle w:val="FootnoteReference"/>
        </w:rPr>
        <w:footnoteReference w:id="102"/>
      </w:r>
      <w:r>
        <w:rPr>
          <w:rtl/>
        </w:rPr>
        <w:t xml:space="preserve">.</w:t>
      </w:r>
    </w:p>
    <w:bookmarkEnd w:id="103"/>
    <w:bookmarkStart w:id="104" w:name="Xd01ba28ceb43c2aafcfa279441271082bf35e79"/>
    <w:p>
      <w:pPr>
        <w:pStyle w:val="Heading3"/>
        <w:bidi/>
      </w:pPr>
      <w:r>
        <w:rPr>
          <w:rtl/>
        </w:rPr>
        <w:t xml:space="preserve">المطلب الثاني: مبدأ التكامل الوظيفي في بيئة Excel/VBA</w:t>
      </w:r>
    </w:p>
    <w:p>
      <w:pPr>
        <w:bidi/>
      </w:pPr>
      <w:r>
        <w:rPr>
          <w:b/>
          <w:bCs/>
          <w:rtl/>
        </w:rPr>
        <w:t xml:space="preserve">يقوم نظام دعم القرار v13.3 على مبدأ</w:t>
      </w:r>
      <w:r>
        <w:rPr>
          <w:b/>
          <w:bCs/>
          <w:rtl/>
        </w:rPr>
        <w:t xml:space="preserve"> </w:t>
      </w:r>
      <w:r>
        <w:rPr>
          <w:b/>
          <w:bCs/>
          <w:rtl/>
        </w:rPr>
        <w:t xml:space="preserve">“التكامل الوظيفي”</w:t>
      </w:r>
      <w:r>
        <w:rPr>
          <w:b/>
          <w:bCs/>
          <w:rtl/>
        </w:rPr>
        <w:t xml:space="preserve"> </w:t>
      </w:r>
      <w:r>
        <w:rPr>
          <w:b/>
          <w:bCs/>
          <w:rtl/>
        </w:rPr>
        <w:t xml:space="preserve">(Functional Integration)، حيث يتم تحويل أوراق العمل من</w:t>
      </w:r>
      <w:r>
        <w:rPr>
          <w:b/>
          <w:bCs/>
          <w:rtl/>
        </w:rPr>
        <w:t xml:space="preserve"> </w:t>
      </w:r>
      <w:r>
        <w:rPr>
          <w:b/>
          <w:bCs/>
          <w:rtl/>
        </w:rPr>
        <w:t xml:space="preserve">“جزر معزولة”</w:t>
      </w:r>
      <w:r>
        <w:rPr>
          <w:b/>
          <w:bCs/>
          <w:rtl/>
        </w:rPr>
        <w:t xml:space="preserve"> </w:t>
      </w:r>
      <w:r>
        <w:rPr>
          <w:b/>
          <w:bCs/>
          <w:rtl/>
        </w:rPr>
        <w:t xml:space="preserve">إلى</w:t>
      </w:r>
      <w:r>
        <w:rPr>
          <w:b/>
          <w:bCs/>
          <w:rtl/>
        </w:rPr>
        <w:t xml:space="preserve"> </w:t>
      </w:r>
      <w:r>
        <w:rPr>
          <w:b/>
          <w:bCs/>
          <w:rtl/>
        </w:rPr>
        <w:t xml:space="preserve">“وحدات مترابطة”</w:t>
      </w:r>
      <w:r>
        <w:rPr>
          <w:b/>
          <w:bCs/>
          <w:rtl/>
        </w:rPr>
        <w:t xml:space="preserve"> </w:t>
      </w:r>
      <w:r>
        <w:rPr>
          <w:b/>
          <w:bCs/>
          <w:rtl/>
        </w:rPr>
        <w:t xml:space="preserve">تعمل ككيان واحد. يتم تحقيق هذا التكامل عبر مسارين:</w:t>
      </w:r>
      <w:r>
        <w:rPr>
          <w:rtl/>
        </w:rPr>
        <w:t xml:space="preserve"> </w:t>
      </w:r>
      <w:r>
        <w:rPr>
          <w:rtl/>
        </w:rPr>
        <w:t xml:space="preserve">-</w:t>
      </w:r>
      <w:r>
        <w:rPr>
          <w:rtl/>
        </w:rPr>
        <w:t xml:space="preserve"> </w:t>
      </w:r>
      <w:r>
        <w:rPr>
          <w:b/>
          <w:bCs/>
          <w:rtl/>
        </w:rPr>
        <w:t xml:space="preserve">التحديث اللحظي المتسلسل: تؤدي أي حركة مخزنية (دخول أو خروج) إلى إطلاق سلسلة من التحديثات الآلية التي تشمل: (تحديث الرصيد الحالي إعادة حساب التكلفة المرجحة تحديث مؤشرات التنبيه ROP).</w:t>
      </w:r>
      <w:r>
        <w:rPr>
          <w:rtl/>
        </w:rPr>
        <w:t xml:space="preserve"> </w:t>
      </w:r>
      <w:r>
        <w:rPr>
          <w:rtl/>
        </w:rPr>
        <w:t xml:space="preserve">-</w:t>
      </w:r>
      <w:r>
        <w:rPr>
          <w:rtl/>
        </w:rPr>
        <w:t xml:space="preserve"> </w:t>
      </w:r>
      <w:r>
        <w:rPr>
          <w:b/>
          <w:bCs/>
          <w:rtl/>
        </w:rPr>
        <w:t xml:space="preserve">وحدة الحقيقة (Single Source of Truth): يتم ربط كافة البيانات المالية واللوجيستية بقاعدة بيانات مركزية واحدة (Sجل الأصناف)، مما يضمن عدم تضارب المعلومات بين لوحة القيادة وسجلات الحركة.</w:t>
      </w:r>
    </w:p>
    <w:bookmarkEnd w:id="104"/>
    <w:bookmarkStart w:id="105" w:name="Xb3cd0739dd5a83bd5baa46bdafa673a7ae7a4aa"/>
    <w:p>
      <w:pPr>
        <w:pStyle w:val="Heading3"/>
        <w:bidi/>
      </w:pPr>
      <w:r>
        <w:rPr>
          <w:rtl/>
        </w:rPr>
        <w:t xml:space="preserve">المطلب الثالث: معايير الاستقلالية التشغيلية والانتشار</w:t>
      </w:r>
    </w:p>
    <w:p>
      <w:pPr>
        <w:bidi/>
      </w:pPr>
      <w:r>
        <w:rPr>
          <w:rtl/>
        </w:rPr>
        <w:t xml:space="preserve">لضمان استدامة النظام في بيئة العمل العمومية، تم تبني معايير</w:t>
      </w:r>
      <w:r>
        <w:rPr>
          <w:rtl/>
        </w:rPr>
        <w:t xml:space="preserve"> </w:t>
      </w:r>
      <w:r>
        <w:rPr>
          <w:rtl/>
        </w:rPr>
        <w:t xml:space="preserve">“الاستقلالية التامة”</w:t>
      </w:r>
      <w:r>
        <w:rPr>
          <w:rtl/>
        </w:rPr>
        <w:t xml:space="preserve"> </w:t>
      </w:r>
      <w:r>
        <w:rPr>
          <w:rtl/>
        </w:rPr>
        <w:t xml:space="preserve">(Operational Autonomy)، والتي تتجلى في ثلاثة أبعاد:</w:t>
      </w:r>
      <w:r>
        <w:rPr>
          <w:rtl/>
        </w:rPr>
        <w:t xml:space="preserve"> </w:t>
      </w:r>
      <w:r>
        <w:rPr>
          <w:rtl/>
        </w:rPr>
        <w:t xml:space="preserve">-</w:t>
      </w:r>
      <w:r>
        <w:rPr>
          <w:rtl/>
        </w:rPr>
        <w:t xml:space="preserve"> </w:t>
      </w:r>
      <w:r>
        <w:rPr>
          <w:b/>
          <w:bCs/>
          <w:rtl/>
        </w:rPr>
        <w:t xml:space="preserve">الاستقلال عن البنية التحتية: لا يتطلب النظام اتصالاً بالإنترنت أو خوادم مركزية (Serverless Architecture)، مما يضمن استمرارية العمل في جميع الظروف الجغرافية والمناخية لولاية البيض.</w:t>
      </w:r>
      <w:r>
        <w:rPr>
          <w:rtl/>
        </w:rPr>
        <w:t xml:space="preserve"> </w:t>
      </w:r>
      <w:r>
        <w:rPr>
          <w:rtl/>
        </w:rPr>
        <w:t xml:space="preserve">-</w:t>
      </w:r>
      <w:r>
        <w:rPr>
          <w:rtl/>
        </w:rPr>
        <w:t xml:space="preserve"> </w:t>
      </w:r>
      <w:r>
        <w:rPr>
          <w:b/>
          <w:bCs/>
          <w:rtl/>
        </w:rPr>
        <w:t xml:space="preserve">الاستقلال عن التكاليف البرمجية: تم تطوير النظام بالكامل باستخدام أدوات Microsoft Office المتاحة مسبقاً في المديرية، مما يجعل تكلفة التطبيق والتشغيل</w:t>
      </w:r>
      <w:r>
        <w:rPr>
          <w:b/>
          <w:bCs/>
          <w:rtl/>
        </w:rPr>
        <w:t xml:space="preserve"> </w:t>
      </w:r>
      <w:r>
        <w:rPr>
          <w:b/>
          <w:bCs/>
          <w:rtl/>
        </w:rPr>
        <w:t xml:space="preserve">“صفرية”</w:t>
      </w:r>
      <w:r>
        <w:rPr>
          <w:b/>
          <w:bCs/>
          <w:rtl/>
        </w:rPr>
        <w:t xml:space="preserve">.</w:t>
      </w:r>
      <w:r>
        <w:rPr>
          <w:rtl/>
        </w:rPr>
        <w:t xml:space="preserve"> </w:t>
      </w:r>
      <w:r>
        <w:rPr>
          <w:rtl/>
        </w:rPr>
        <w:t xml:space="preserve">-</w:t>
      </w:r>
      <w:r>
        <w:rPr>
          <w:rtl/>
        </w:rPr>
        <w:t xml:space="preserve"> </w:t>
      </w:r>
      <w:r>
        <w:rPr>
          <w:b/>
          <w:bCs/>
          <w:rtl/>
        </w:rPr>
        <w:t xml:space="preserve">سهولة النقل والانتشار (Portability): بفضل تصميم النظام كملف واحد مدمج، يمكن نقله وتشغيله على أي حاسوب يحتوي على Excel دون الحاجة لعمليات تنصيب معقدة أو صلاحيات مدير نظام (Admin Rights).</w:t>
      </w:r>
    </w:p>
    <w:bookmarkEnd w:id="105"/>
    <w:bookmarkEnd w:id="106"/>
    <w:bookmarkStart w:id="112" w:name="Xfb30997312ec99a0ff92bdd7dc592fd161b34eb"/>
    <w:p>
      <w:pPr>
        <w:pStyle w:val="Heading2"/>
        <w:bidi/>
      </w:pPr>
      <w:r>
        <w:rPr>
          <w:rtl/>
        </w:rPr>
        <w:t xml:space="preserve">المبحث الثاني: هندسة تدفق البيانات وآليات الرقابة</w:t>
      </w:r>
    </w:p>
    <w:p>
      <w:pPr>
        <w:bidi/>
      </w:pPr>
      <w:r>
        <w:rPr>
          <w:rtl/>
        </w:rPr>
        <w:t xml:space="preserve">لا تكمن قوة أي نظام معلوماتي في واجهته الخارجية، بل في</w:t>
      </w:r>
      <w:r>
        <w:rPr>
          <w:rtl/>
        </w:rPr>
        <w:t xml:space="preserve"> </w:t>
      </w:r>
      <w:r>
        <w:rPr>
          <w:rtl/>
        </w:rPr>
        <w:t xml:space="preserve">“منطق التدفق”</w:t>
      </w:r>
      <w:r>
        <w:rPr>
          <w:rtl/>
        </w:rPr>
        <w:t xml:space="preserve"> </w:t>
      </w:r>
      <w:r>
        <w:rPr>
          <w:rtl/>
        </w:rPr>
        <w:t xml:space="preserve">(Data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bookmarkStart w:id="107" w:name="Xe1412b27e8b4694678434ce8a4f8b6f261fecdf"/>
    <w:p>
      <w:pPr>
        <w:pStyle w:val="Heading3"/>
        <w:bidi/>
      </w:pPr>
      <w:r>
        <w:rPr>
          <w:rtl/>
        </w:rPr>
        <w:t xml:space="preserve">المطلب الأول: سلسلة الحراسة السداسية (Six-Guard Data Chain)</w:t>
      </w:r>
    </w:p>
    <w:p>
      <w:pPr>
        <w:bidi/>
      </w:pPr>
      <w:r>
        <w:rPr>
          <w:rtl/>
        </w:rPr>
        <w:t xml:space="preserve">لضمان أعلى مستويات الدقة ومنع التلاعب أو الخطأ العفوي، تم ابتكار بروتوكول رقابي يُعرف بـ</w:t>
      </w:r>
      <w:r>
        <w:rPr>
          <w:rtl/>
        </w:rPr>
        <w:t xml:space="preserve"> </w:t>
      </w:r>
      <w:r>
        <w:rPr>
          <w:rtl/>
        </w:rPr>
        <w:t xml:space="preserve">“سلسلة الحراسة السداسية”</w:t>
      </w:r>
      <w:r>
        <w:rPr>
          <w:rtl/>
        </w:rPr>
        <w:t xml:space="preserve">. يعمل هذا البروتوكول كفلتر متسلسل يمر عبره كل إدخال قبل اعتماده نهائياً في السجلات:</w:t>
      </w:r>
      <w:r>
        <w:rPr>
          <w:rtl/>
        </w:rPr>
        <w:t xml:space="preserve"> </w:t>
      </w:r>
      <w:r>
        <w:rPr>
          <w:rtl/>
        </w:rPr>
        <w:t xml:space="preserve">-</w:t>
      </w:r>
      <w:r>
        <w:rPr>
          <w:rtl/>
        </w:rPr>
        <w:t xml:space="preserve"> </w:t>
      </w:r>
      <w:r>
        <w:rPr>
          <w:b/>
          <w:bCs/>
          <w:rtl/>
        </w:rPr>
        <w:t xml:space="preserve">حراسة الكود (Code Guard): التحقق من أن رمز المادة مُسجل فعلياً في قاعدة البيانات لمنع خلق أصناف وهمية.</w:t>
      </w:r>
      <w:r>
        <w:rPr>
          <w:rtl/>
        </w:rPr>
        <w:t xml:space="preserve"> </w:t>
      </w:r>
      <w:r>
        <w:rPr>
          <w:rtl/>
        </w:rPr>
        <w:t xml:space="preserve">-</w:t>
      </w:r>
      <w:r>
        <w:rPr>
          <w:rtl/>
        </w:rPr>
        <w:t xml:space="preserve"> </w:t>
      </w:r>
      <w:r>
        <w:rPr>
          <w:b/>
          <w:bCs/>
          <w:rtl/>
        </w:rPr>
        <w:t xml:space="preserve">حراسة النوع (Type Guard): إلزام المستخدم بتحديد نوع الحركة (دخول/خروج) بشكل قطعي، مما يمنع الخلط بين التوريد والصرف.</w:t>
      </w:r>
      <w:r>
        <w:rPr>
          <w:rtl/>
        </w:rPr>
        <w:t xml:space="preserve"> </w:t>
      </w:r>
      <w:r>
        <w:rPr>
          <w:rtl/>
        </w:rPr>
        <w:t xml:space="preserve">-</w:t>
      </w:r>
      <w:r>
        <w:rPr>
          <w:rtl/>
        </w:rPr>
        <w:t xml:space="preserve"> </w:t>
      </w:r>
      <w:r>
        <w:rPr>
          <w:b/>
          <w:bCs/>
          <w:rtl/>
        </w:rPr>
        <w:t xml:space="preserve">حراسة الكمية (Quantity Guard): تطبيق قيود رياضية تمنع إدخال كميات سالبة أو قيم غير منطقية تتجاوز السعة التخزينية.</w:t>
      </w:r>
      <w:r>
        <w:rPr>
          <w:rtl/>
        </w:rPr>
        <w:t xml:space="preserve"> </w:t>
      </w:r>
      <w:r>
        <w:rPr>
          <w:rtl/>
        </w:rPr>
        <w:t xml:space="preserve">-</w:t>
      </w:r>
      <w:r>
        <w:rPr>
          <w:rtl/>
        </w:rPr>
        <w:t xml:space="preserve"> </w:t>
      </w:r>
      <w:r>
        <w:rPr>
          <w:b/>
          <w:bCs/>
          <w:rtl/>
        </w:rPr>
        <w:t xml:space="preserve">حراسة التكلفة (Cost Guard): مطابقة سعر الوحدة مع آخر سعر مسجل أو السعر المعتمد في أمر الشراء لضمان دقة التقييم المالي.</w:t>
      </w:r>
      <w:r>
        <w:rPr>
          <w:rtl/>
        </w:rPr>
        <w:t xml:space="preserve"> </w:t>
      </w:r>
      <w:r>
        <w:rPr>
          <w:rtl/>
        </w:rPr>
        <w:t xml:space="preserve">-</w:t>
      </w:r>
      <w:r>
        <w:rPr>
          <w:rtl/>
        </w:rPr>
        <w:t xml:space="preserve"> </w:t>
      </w:r>
      <w:r>
        <w:rPr>
          <w:b/>
          <w:bCs/>
          <w:rtl/>
        </w:rPr>
        <w:t xml:space="preserve">حراسة المرجع (Reference Guard): ربط كل حركة برقم وثيقة مادية (وصل استلام أو أمر صرف)، مما يحول السجل الرقمي إلى مرآة للواقع المستندي.</w:t>
      </w:r>
      <w:r>
        <w:rPr>
          <w:rtl/>
        </w:rPr>
        <w:t xml:space="preserve"> </w:t>
      </w:r>
      <w:r>
        <w:rPr>
          <w:rtl/>
        </w:rPr>
        <w:t xml:space="preserve">-</w:t>
      </w:r>
      <w:r>
        <w:rPr>
          <w:rtl/>
        </w:rPr>
        <w:t xml:space="preserve"> </w:t>
      </w:r>
      <w:r>
        <w:rPr>
          <w:b/>
          <w:bCs/>
          <w:rtl/>
        </w:rPr>
        <w:t xml:space="preserve">حراسة المزامنة (Sync Guard): تحديث كافة المؤشرات (الرصيد، التكلفة، التنبيهات) في لحظة واحدة لضمان عدم وجود تضارب بين أوراق العمل.</w:t>
      </w:r>
    </w:p>
    <w:bookmarkEnd w:id="107"/>
    <w:bookmarkStart w:id="108" w:name="X790f7c97394d912e1af56ef75b8396a4139580d"/>
    <w:p>
      <w:pPr>
        <w:pStyle w:val="Heading3"/>
        <w:bidi/>
      </w:pPr>
      <w:r>
        <w:rPr>
          <w:rtl/>
        </w:rPr>
        <w:t xml:space="preserve">المطلب الثاني: السجل الرقمي (Digital Ledger) كمرجع للمراجعة</w:t>
      </w:r>
    </w:p>
    <w:p>
      <w:pPr>
        <w:bidi/>
      </w:pPr>
      <w:r>
        <w:rPr>
          <w:rtl/>
        </w:rPr>
        <w:t xml:space="preserve">تم استبدال السجلات الورقية التقليدية بـ</w:t>
      </w:r>
      <w:r>
        <w:rPr>
          <w:rtl/>
        </w:rPr>
        <w:t xml:space="preserve"> </w:t>
      </w:r>
      <w:r>
        <w:rPr>
          <w:rtl/>
        </w:rPr>
        <w:t xml:space="preserve">“سجل الحركات الرقمي”</w:t>
      </w:r>
      <w:r>
        <w:rPr>
          <w:rtl/>
        </w:rPr>
        <w:t xml:space="preserve"> </w:t>
      </w:r>
      <w:r>
        <w:rPr>
          <w:rtl/>
        </w:rPr>
        <w:t xml:space="preserve">(MOUVEMENTS Sheet)، والذي صُمِّم ليعمل وفق مبدأ</w:t>
      </w:r>
      <w:r>
        <w:rPr>
          <w:rtl/>
        </w:rPr>
        <w:t xml:space="preserve"> </w:t>
      </w:r>
      <w:r>
        <w:rPr>
          <w:rtl/>
        </w:rPr>
        <w:t xml:space="preserve">“سجل المراجعة غير القابل للتعديل”</w:t>
      </w:r>
      <w:r>
        <w:rPr>
          <w:rtl/>
        </w:rPr>
        <w:t xml:space="preserve"> </w:t>
      </w:r>
      <w:r>
        <w:rPr>
          <w:rtl/>
        </w:rPr>
        <w:t xml:space="preserve">(Immutable Audit Trail). يتميز هذا السجل بالخصائص الآتية:</w:t>
      </w:r>
      <w:r>
        <w:rPr>
          <w:rtl/>
        </w:rPr>
        <w:t xml:space="preserve"> </w:t>
      </w:r>
      <w:r>
        <w:rPr>
          <w:rtl/>
        </w:rPr>
        <w:t xml:space="preserve">-</w:t>
      </w:r>
      <w:r>
        <w:rPr>
          <w:rtl/>
        </w:rPr>
        <w:t xml:space="preserve"> </w:t>
      </w:r>
      <w:r>
        <w:rPr>
          <w:b/>
          <w:bCs/>
          <w:rtl/>
        </w:rPr>
        <w:t xml:space="preserve">التوثيق الزمني (Timestamping): تسجيل التاريخ والوقت الدقيق لكل حركة، مما يتيح تتبع تسلسل الأحداث بدقة ثانية.</w:t>
      </w:r>
      <w:r>
        <w:rPr>
          <w:rtl/>
        </w:rPr>
        <w:t xml:space="preserve"> </w:t>
      </w:r>
      <w:r>
        <w:rPr>
          <w:rtl/>
        </w:rPr>
        <w:t xml:space="preserve">-</w:t>
      </w:r>
      <w:r>
        <w:rPr>
          <w:rtl/>
        </w:rPr>
        <w:t xml:space="preserve"> </w:t>
      </w:r>
      <w:r>
        <w:rPr>
          <w:b/>
          <w:bCs/>
          <w:rtl/>
        </w:rPr>
        <w:t xml:space="preserve">المرجعية الموحدة: توحيد كافة الحركات (دخول، خروج، تعديل) في جدول واحد، مما يسهل عمليات الفلترة والبحث والتدقيق المالي.</w:t>
      </w:r>
      <w:r>
        <w:rPr>
          <w:rtl/>
        </w:rPr>
        <w:t xml:space="preserve"> </w:t>
      </w:r>
      <w:r>
        <w:rPr>
          <w:rtl/>
        </w:rPr>
        <w:t xml:space="preserve">-</w:t>
      </w:r>
      <w:r>
        <w:rPr>
          <w:rtl/>
        </w:rPr>
        <w:t xml:space="preserve"> </w:t>
      </w:r>
      <w:r>
        <w:rPr>
          <w:b/>
          <w:bCs/>
          <w:rtl/>
        </w:rPr>
        <w:t xml:space="preserve">الشفافية الرقابية: يتيح السجل للمراقب المالي أو المفتش تتبع مسار أي مادة من لحظة دخولها المخزن حتى صرفها للمصلحة المستفيدة، مما يلغي</w:t>
      </w:r>
      <w:r>
        <w:rPr>
          <w:b/>
          <w:bCs/>
          <w:rtl/>
        </w:rPr>
        <w:t xml:space="preserve"> </w:t>
      </w:r>
      <w:r>
        <w:rPr>
          <w:b/>
          <w:bCs/>
          <w:rtl/>
        </w:rPr>
        <w:t xml:space="preserve">“الثقوب السوداء”</w:t>
      </w:r>
      <w:r>
        <w:rPr>
          <w:b/>
          <w:bCs/>
          <w:rtl/>
        </w:rPr>
        <w:t xml:space="preserve"> </w:t>
      </w:r>
      <w:r>
        <w:rPr>
          <w:b/>
          <w:bCs/>
          <w:rtl/>
        </w:rPr>
        <w:t xml:space="preserve">المعلوماتية التي كانت تميز النظام اليدوي.</w:t>
      </w:r>
    </w:p>
    <w:bookmarkEnd w:id="108"/>
    <w:bookmarkStart w:id="111" w:name="X444a26c814394dcd7d1e55a55a610cb16854269"/>
    <w:p>
      <w:pPr>
        <w:pStyle w:val="Heading3"/>
        <w:bidi/>
      </w:pPr>
      <w:r>
        <w:rPr>
          <w:rtl/>
        </w:rPr>
        <w:t xml:space="preserve">المطلب الثالث: دور محرك VBA في أتمتة الدورة المستندية</w:t>
      </w:r>
    </w:p>
    <w:p>
      <w:pPr>
        <w:bidi/>
      </w:pPr>
      <w:r>
        <w:rPr>
          <w:b/>
          <w:bCs/>
          <w:rtl/>
        </w:rPr>
        <w:t xml:space="preserve">يعمل محرك VBA (Visual Basic for Applications) في النظام ليس كأداة مساعدة، بل كـ</w:t>
      </w:r>
      <w:r>
        <w:rPr>
          <w:b/>
          <w:bCs/>
          <w:rtl/>
        </w:rPr>
        <w:t xml:space="preserve"> </w:t>
      </w:r>
      <w:r>
        <w:rPr>
          <w:b/>
          <w:bCs/>
          <w:rtl/>
        </w:rPr>
        <w:t xml:space="preserve">“مايسترو”</w:t>
      </w:r>
      <w:r>
        <w:rPr>
          <w:b/>
          <w:bCs/>
          <w:rtl/>
        </w:rPr>
        <w:t xml:space="preserve"> </w:t>
      </w:r>
      <w:r>
        <w:rPr>
          <w:b/>
          <w:bCs/>
          <w:rtl/>
        </w:rPr>
        <w:t xml:space="preserve">يدير كافة العمليات. يتولى المحرك ثلاث مهام استراتيجية:</w:t>
      </w:r>
      <w:r>
        <w:rPr>
          <w:rtl/>
        </w:rPr>
        <w:t xml:space="preserve"> </w:t>
      </w:r>
      <w:r>
        <w:rPr>
          <w:rtl/>
        </w:rPr>
        <w:t xml:space="preserve">-</w:t>
      </w:r>
      <w:r>
        <w:rPr>
          <w:rtl/>
        </w:rPr>
        <w:t xml:space="preserve"> </w:t>
      </w:r>
      <w:r>
        <w:rPr>
          <w:b/>
          <w:bCs/>
          <w:rtl/>
        </w:rPr>
        <w:t xml:space="preserve">أتمتة الترحيل (Automated Posting): تحويل البيانات من نماذج الإدخال التفاعلية إلى السجلات الرقمية بنقرة واحدة، مما يلغي الحاجة لإعادة الكتابة اليدوية ويقلص زمن المعالجة بنسبة 99.7%.</w:t>
      </w:r>
      <w:r>
        <w:rPr>
          <w:rtl/>
        </w:rPr>
        <w:t xml:space="preserve"> </w:t>
      </w:r>
      <w:r>
        <w:rPr>
          <w:rtl/>
        </w:rPr>
        <w:t xml:space="preserve">-</w:t>
      </w:r>
      <w:r>
        <w:rPr>
          <w:rtl/>
        </w:rPr>
        <w:t xml:space="preserve"> </w:t>
      </w:r>
      <w:r>
        <w:rPr>
          <w:b/>
          <w:bCs/>
          <w:rtl/>
        </w:rPr>
        <w:t xml:space="preserve">تنفيذ المنطق الحسابي المعقد: إجراء عمليات حسابية لحظية (مثل حساب CMUP المتحرك) التي يستحيل تنفيذها بدقة عبر معادلات Excel التقليدية عند التعامل مع كميات ضخمة من البيانات.</w:t>
      </w:r>
      <w:r>
        <w:rPr>
          <w:rtl/>
        </w:rPr>
        <w:t xml:space="preserve"> </w:t>
      </w:r>
      <w:r>
        <w:rPr>
          <w:rtl/>
        </w:rPr>
        <w:t xml:space="preserve">-</w:t>
      </w:r>
      <w:r>
        <w:rPr>
          <w:rtl/>
        </w:rPr>
        <w:t xml:space="preserve"> </w:t>
      </w:r>
      <w:r>
        <w:rPr>
          <w:b/>
          <w:bCs/>
          <w:rtl/>
        </w:rPr>
        <w:t xml:space="preserve">عزل البيانات عن المستخدم: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r>
        <w:rPr>
          <w:rtl/>
        </w:rPr>
        <w:t xml:space="preserve"> </w:t>
      </w:r>
      <w:r>
        <w:rPr>
          <w:rtl/>
        </w:rPr>
        <w:t xml:space="preserve">يُستند في تطوير هذا المحرك إلى مرجعية Microsoft الرسمية لـ VBA</w:t>
      </w:r>
      <w:r>
        <w:rPr>
          <w:rtl/>
        </w:rPr>
        <w:t xml:space="preserve"> </w:t>
      </w:r>
      <w:r>
        <w:rPr>
          <w:rStyle w:val="FootnoteReference"/>
        </w:rPr>
        <w:footnoteReference w:id="109"/>
      </w:r>
      <w:r>
        <w:rPr>
          <w:rtl/>
        </w:rPr>
        <w:t xml:space="preserve"> </w:t>
      </w:r>
      <w:r>
        <w:rPr>
          <w:rtl/>
        </w:rPr>
        <w:t xml:space="preserve">ونموذج كائنات Excel</w:t>
      </w:r>
      <w:r>
        <w:rPr>
          <w:rtl/>
        </w:rPr>
        <w:t xml:space="preserve"> </w:t>
      </w:r>
      <w:r>
        <w:rPr>
          <w:rStyle w:val="FootnoteReference"/>
        </w:rPr>
        <w:footnoteReference w:id="110"/>
      </w:r>
      <w:r>
        <w:rPr>
          <w:rtl/>
        </w:rPr>
        <w:t xml:space="preserve">.</w:t>
      </w:r>
    </w:p>
    <w:bookmarkEnd w:id="111"/>
    <w:bookmarkEnd w:id="112"/>
    <w:bookmarkStart w:id="120" w:name="Xffbf1b46ecde0efcc86730acfd968fe379c5668"/>
    <w:p>
      <w:pPr>
        <w:pStyle w:val="Heading2"/>
        <w:bidi/>
      </w:pPr>
      <w:r>
        <w:rPr>
          <w:rtl/>
        </w:rPr>
        <w:t xml:space="preserve">المبحث الثالث: محرك الذكاء المحلي (VBA Engine)</w:t>
      </w:r>
    </w:p>
    <w:p>
      <w:pPr>
        <w:bidi/>
      </w:pPr>
      <w:r>
        <w:rPr>
          <w:rtl/>
        </w:rPr>
        <w:t xml:space="preserve">إذا كانت واجهة المستخدم هي</w:t>
      </w:r>
      <w:r>
        <w:rPr>
          <w:rtl/>
        </w:rPr>
        <w:t xml:space="preserve"> </w:t>
      </w:r>
      <w:r>
        <w:rPr>
          <w:rtl/>
        </w:rPr>
        <w:t xml:space="preserve">“جسد”</w:t>
      </w:r>
      <w:r>
        <w:rPr>
          <w:rtl/>
        </w:rPr>
        <w:t xml:space="preserve"> </w:t>
      </w:r>
      <w:r>
        <w:rPr>
          <w:rtl/>
        </w:rPr>
        <w:t xml:space="preserve">النظام، فإن محرك الـ VBA هو</w:t>
      </w:r>
      <w:r>
        <w:rPr>
          <w:rtl/>
        </w:rPr>
        <w:t xml:space="preserve"> </w:t>
      </w:r>
      <w:r>
        <w:rPr>
          <w:rtl/>
        </w:rPr>
        <w:t xml:space="preserve">“عقله”</w:t>
      </w:r>
      <w:r>
        <w:rPr>
          <w:rtl/>
        </w:rPr>
        <w:t xml:space="preserve"> </w:t>
      </w:r>
      <w:r>
        <w:rPr>
          <w:rtl/>
        </w:rPr>
        <w:t xml:space="preserve">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bookmarkStart w:id="113" w:name="X2b5683333895272df7448c3123c2d6911fb19dd"/>
    <w:p>
      <w:pPr>
        <w:pStyle w:val="Heading3"/>
        <w:bidi/>
      </w:pPr>
      <w:r>
        <w:rPr>
          <w:rtl/>
        </w:rPr>
        <w:t xml:space="preserve">المطلب الأول: الهندسة البرمجية وبنية الوحدات النمطية</w:t>
      </w:r>
    </w:p>
    <w:p>
      <w:pPr>
        <w:bidi/>
      </w:pPr>
      <w:r>
        <w:rPr>
          <w:rtl/>
        </w:rPr>
        <w:t xml:space="preserve">لضمان استدامة النظام وسهولة صيانته، تم اعتماد</w:t>
      </w:r>
      <w:r>
        <w:rPr>
          <w:rtl/>
        </w:rPr>
        <w:t xml:space="preserve"> </w:t>
      </w:r>
      <w:r>
        <w:rPr>
          <w:rtl/>
        </w:rPr>
        <w:t xml:space="preserve">“الهندسة النمطية”</w:t>
      </w:r>
      <w:r>
        <w:rPr>
          <w:rtl/>
        </w:rPr>
        <w:t xml:space="preserve"> </w:t>
      </w:r>
      <w:r>
        <w:rPr>
          <w:rtl/>
        </w:rPr>
        <w:t xml:space="preserve">(Modular Architecture). بدلاً من كتابة كود برمجي متصل، تم تقسيم منطق العمل إلى وحدات مستقلة وظيفياً، مما يمنع تداخل العمليات ويقلل من احتمالية ظهور الأخطاء البرمجية:</w:t>
      </w:r>
      <w:r>
        <w:rPr>
          <w:rtl/>
        </w:rPr>
        <w:t xml:space="preserve"> </w:t>
      </w:r>
      <w:r>
        <w:rPr>
          <w:rtl/>
        </w:rPr>
        <w:t xml:space="preserve">-</w:t>
      </w:r>
      <w:r>
        <w:rPr>
          <w:rtl/>
        </w:rPr>
        <w:t xml:space="preserve"> </w:t>
      </w:r>
      <w:r>
        <w:rPr>
          <w:b/>
          <w:bCs/>
          <w:rtl/>
        </w:rPr>
        <w:t xml:space="preserve">وحدة المحرك الأساسي (mod_StockEngine): تمثل النواة الحسابية للنظام، حيث تتركز فيها خوارزميات حساب EOQ و ROP و CMUP.</w:t>
      </w:r>
      <w:r>
        <w:rPr>
          <w:rtl/>
        </w:rPr>
        <w:t xml:space="preserve"> </w:t>
      </w:r>
      <w:r>
        <w:rPr>
          <w:rtl/>
        </w:rPr>
        <w:t xml:space="preserve">-</w:t>
      </w:r>
      <w:r>
        <w:rPr>
          <w:rtl/>
        </w:rPr>
        <w:t xml:space="preserve"> </w:t>
      </w:r>
      <w:r>
        <w:rPr>
          <w:b/>
          <w:bCs/>
          <w:rtl/>
        </w:rPr>
        <w:t xml:space="preserve">وحدة منطق الإدخال (mod_StockEntry_Logic): تدير تدفق البيانات من واجهات المستخدم إلى السجلات، مع تفعيل بروتوكول</w:t>
      </w:r>
      <w:r>
        <w:rPr>
          <w:b/>
          <w:bCs/>
          <w:rtl/>
        </w:rPr>
        <w:t xml:space="preserve"> </w:t>
      </w:r>
      <w:r>
        <w:rPr>
          <w:b/>
          <w:bCs/>
          <w:rtl/>
        </w:rPr>
        <w:t xml:space="preserve">“سلسلة الحراسة”</w:t>
      </w:r>
      <w:r>
        <w:rPr>
          <w:b/>
          <w:bCs/>
          <w:rtl/>
        </w:rPr>
        <w:t xml:space="preserve">.</w:t>
      </w:r>
      <w:r>
        <w:rPr>
          <w:rtl/>
        </w:rPr>
        <w:t xml:space="preserve"> </w:t>
      </w:r>
      <w:r>
        <w:rPr>
          <w:rtl/>
        </w:rPr>
        <w:t xml:space="preserve">-</w:t>
      </w:r>
      <w:r>
        <w:rPr>
          <w:rtl/>
        </w:rPr>
        <w:t xml:space="preserve"> </w:t>
      </w:r>
      <w:r>
        <w:rPr>
          <w:b/>
          <w:bCs/>
          <w:rtl/>
        </w:rPr>
        <w:t xml:space="preserve">وحدة جسر المزامنة (mod_SyncBridge): تضمن التطابق المطلق بين السجل الرقمي (Ledger) والعرض المرئي في أوراق العمل، مما يلغي أي تضارب في البيانات.</w:t>
      </w:r>
      <w:r>
        <w:rPr>
          <w:rtl/>
        </w:rPr>
        <w:t xml:space="preserve"> </w:t>
      </w:r>
      <w:r>
        <w:rPr>
          <w:rtl/>
        </w:rPr>
        <w:t xml:space="preserve">-</w:t>
      </w:r>
      <w:r>
        <w:rPr>
          <w:rtl/>
        </w:rPr>
        <w:t xml:space="preserve"> </w:t>
      </w:r>
      <w:r>
        <w:rPr>
          <w:b/>
          <w:bCs/>
          <w:rtl/>
        </w:rPr>
        <w:t xml:space="preserve">وحدة التصدير والتقارير (mod_ExportEngine): تحول البيانات الرقمية إلى وثائق إدارية رسمية (PDF) تحاكي الدورة المستندية القانونية.</w:t>
      </w:r>
      <w:r>
        <w:rPr>
          <w:rtl/>
        </w:rPr>
        <w:t xml:space="preserve"> </w:t>
      </w:r>
      <w:r>
        <w:rPr>
          <w:rtl/>
        </w:rPr>
        <w:t xml:space="preserve">-</w:t>
      </w:r>
      <w:r>
        <w:rPr>
          <w:rtl/>
        </w:rPr>
        <w:t xml:space="preserve"> </w:t>
      </w:r>
      <w:r>
        <w:rPr>
          <w:b/>
          <w:bCs/>
          <w:rtl/>
        </w:rPr>
        <w:t xml:space="preserve">وحدة سلامة العمليات (mod_TransactionSafety): تضمن تنفيذ العمليات ككتلة واحدة غير قابلة للتجزئة، مما يحمي البيانات من التلف عند حدوث انقطاع مفاجئ.</w:t>
      </w:r>
    </w:p>
    <w:bookmarkEnd w:id="113"/>
    <w:bookmarkStart w:id="116" w:name="X9b60cd1fa0cbe72f7f71191beb861644b5c9805"/>
    <w:p>
      <w:pPr>
        <w:pStyle w:val="Heading3"/>
        <w:bidi/>
      </w:pPr>
      <w:r>
        <w:rPr>
          <w:rtl/>
        </w:rPr>
        <w:t xml:space="preserve">المطلب الثاني: خوارزميات التموين والتحسين الكمي</w:t>
      </w:r>
    </w:p>
    <w:p>
      <w:pPr>
        <w:bidi/>
      </w:pPr>
      <w:r>
        <w:rPr>
          <w:rtl/>
        </w:rPr>
        <w:t xml:space="preserve">يعتمد النظام في اتخاذ قرارات التموين على تحويل النماذج الرياضية إلى خوارزميات برمجية تعمل في الخلفية دون تدخل المستخدم:</w:t>
      </w:r>
    </w:p>
    <w:bookmarkStart w:id="114" w:name="أولا-أتمتة-نموذج-ويلسون-eoq-algorithm"/>
    <w:p>
      <w:pPr>
        <w:pStyle w:val="Heading4"/>
        <w:bidi/>
      </w:pPr>
      <w:r>
        <w:rPr>
          <w:rtl/>
        </w:rPr>
        <w:t xml:space="preserve">أولاً: أتمتة نموذج ويلسون (EOQ Algorithm)</w:t>
      </w:r>
    </w:p>
    <w:p>
      <w:pPr>
        <w:bidi/>
      </w:pPr>
      <w:r>
        <w:rPr>
          <w:rtl/>
        </w:rPr>
        <w:t xml:space="preserve">يقوم المحرك بتنفيذ عملية</w:t>
      </w:r>
      <w:r>
        <w:rPr>
          <w:rtl/>
        </w:rPr>
        <w:t xml:space="preserve"> </w:t>
      </w:r>
      <w:r>
        <w:rPr>
          <w:rtl/>
        </w:rPr>
        <w:t xml:space="preserve">“التحسين المستمر”</w:t>
      </w:r>
      <w:r>
        <w:rPr>
          <w:rtl/>
        </w:rPr>
        <w:t xml:space="preserve"> </w:t>
      </w:r>
      <w:r>
        <w:rPr>
          <w:rtl/>
        </w:rPr>
        <w:t xml:space="preserve">للكمية الاقتصادية عبر تدفق منطقي يبدأ باسترداد الطلب السنوي () وتكلفة الطلب () ومعدل الاحتفاظ () وسعر الوحدة () من سجل الإعدادات، ثم تطبيق المعادلة: . يتم تحديث هذه القيمة تلقائياً عند تغير أي معامل، مما يضمن أن النظام يقترح دائماً الكمية التي تقلص التكاليف الإجمالية إلى حدها الأدنى.</w:t>
      </w:r>
    </w:p>
    <w:bookmarkEnd w:id="114"/>
    <w:bookmarkStart w:id="115" w:name="ثانيا-ديناميكية-نقطة-إعادة-الطلب-rop"/>
    <w:p>
      <w:pPr>
        <w:pStyle w:val="Heading4"/>
        <w:bidi/>
      </w:pPr>
      <w:r>
        <w:rPr>
          <w:rtl/>
        </w:rPr>
        <w:t xml:space="preserve">ثانياً: ديناميكية نقطة إعادة الطلب (ROP)</w:t>
      </w:r>
    </w:p>
    <w:p>
      <w:pPr>
        <w:bidi/>
      </w:pPr>
      <w:r>
        <w:rPr>
          <w:rtl/>
        </w:rPr>
        <w:t xml:space="preserve">لا يتعامل النظام مع ROP كقيمة ثابتة، بل كمتغير ديناميكي يرتبط بأجل التزويد الفعلي () ومخزون الأمان (). يقوم المحرك بحساب بشكل لحظي، ويقوم بتفعيل التنبيهات اللونية (الأصفر/الأحمر) في واجهة المستخدم بمجرد ملامسة الرصيد لهذه القيمة، مما ينقل الإدارة من</w:t>
      </w:r>
      <w:r>
        <w:rPr>
          <w:rtl/>
        </w:rPr>
        <w:t xml:space="preserve"> </w:t>
      </w:r>
      <w:r>
        <w:rPr>
          <w:rtl/>
        </w:rPr>
        <w:t xml:space="preserve">“رد الفعل”</w:t>
      </w:r>
      <w:r>
        <w:rPr>
          <w:rtl/>
        </w:rPr>
        <w:t xml:space="preserve"> </w:t>
      </w:r>
      <w:r>
        <w:rPr>
          <w:rtl/>
        </w:rPr>
        <w:t xml:space="preserve">عند النفاد إلى</w:t>
      </w:r>
      <w:r>
        <w:rPr>
          <w:rtl/>
        </w:rPr>
        <w:t xml:space="preserve"> </w:t>
      </w:r>
      <w:r>
        <w:rPr>
          <w:rtl/>
        </w:rPr>
        <w:t xml:space="preserve">“الاستباقية”</w:t>
      </w:r>
      <w:r>
        <w:rPr>
          <w:rtl/>
        </w:rPr>
        <w:t xml:space="preserve"> </w:t>
      </w:r>
      <w:r>
        <w:rPr>
          <w:rtl/>
        </w:rPr>
        <w:t xml:space="preserve">في الطلب.</w:t>
      </w:r>
    </w:p>
    <w:bookmarkEnd w:id="115"/>
    <w:bookmarkEnd w:id="116"/>
    <w:bookmarkStart w:id="117" w:name="Xdb72e8c31238e5bc8bb35e9197d335bc848251d"/>
    <w:p>
      <w:pPr>
        <w:pStyle w:val="Heading3"/>
        <w:bidi/>
      </w:pPr>
      <w:r>
        <w:rPr>
          <w:rtl/>
        </w:rPr>
        <w:t xml:space="preserve">المطلب الثالث: إدارة التكاليف والنزاهة المالية</w:t>
      </w:r>
    </w:p>
    <w:p>
      <w:pPr>
        <w:bidi/>
      </w:pPr>
      <w:r>
        <w:rPr>
          <w:rtl/>
        </w:rPr>
        <w:t xml:space="preserve">يواجه التسيير اليدوي مشكلة كبرى في تقييم المخزون عند تذبذب الأسعار. عالج نظام دعم القرار هذه المشكلة عبر تطبيق</w:t>
      </w:r>
      <w:r>
        <w:rPr>
          <w:rtl/>
        </w:rPr>
        <w:t xml:space="preserve"> </w:t>
      </w:r>
      <w:r>
        <w:rPr>
          <w:rtl/>
        </w:rPr>
        <w:t xml:space="preserve">“منطق التكلفة المرجحة المتحركة”</w:t>
      </w:r>
      <w:r>
        <w:rPr>
          <w:rtl/>
        </w:rPr>
        <w:t xml:space="preserve"> </w:t>
      </w:r>
      <w:r>
        <w:rPr>
          <w:rtl/>
        </w:rPr>
        <w:t xml:space="preserve">(Moving Average Costing):</w:t>
      </w:r>
      <w:r>
        <w:rPr>
          <w:rtl/>
        </w:rPr>
        <w:t xml:space="preserve"> </w:t>
      </w:r>
      <w:r>
        <w:rPr>
          <w:rtl/>
        </w:rPr>
        <w:t xml:space="preserve">-</w:t>
      </w:r>
      <w:r>
        <w:rPr>
          <w:rtl/>
        </w:rPr>
        <w:t xml:space="preserve"> </w:t>
      </w:r>
      <w:r>
        <w:rPr>
          <w:b/>
          <w:bCs/>
          <w:rtl/>
        </w:rPr>
        <w:t xml:space="preserve">خوارزمية CMUP: عند كل عملية دخول جديدة، يقوم المحرك بتحديث التكلفة الوحدوية وفق المعادلة: . (تُنفَّذ هذه المعادلة في النظام بصيغتها التراكمية المكافئة: CMUP = ΣValeur_IN / ΣQté_IN)</w:t>
      </w:r>
      <w:r>
        <w:rPr>
          <w:rtl/>
        </w:rPr>
        <w:t xml:space="preserve"> </w:t>
      </w:r>
      <w:r>
        <w:rPr>
          <w:rtl/>
        </w:rPr>
        <w:t xml:space="preserve">-</w:t>
      </w:r>
      <w:r>
        <w:rPr>
          <w:rtl/>
        </w:rPr>
        <w:t xml:space="preserve"> </w:t>
      </w:r>
      <w:r>
        <w:rPr>
          <w:b/>
          <w:bCs/>
          <w:rtl/>
        </w:rPr>
        <w:t xml:space="preserve">الأثر المالي: يضمن هذا الإجراء أن تكون قيمة المخزون في لوحة القيادة مطابقة تماماً للواقع المالي، مما يلغي أخطاء التقييم التي كانت تحدث في السجلات الورقية.</w:t>
      </w:r>
    </w:p>
    <w:bookmarkEnd w:id="117"/>
    <w:bookmarkStart w:id="118" w:name="Xb42ed883f4a4d77c904837a9483548fc91a7185"/>
    <w:p>
      <w:pPr>
        <w:pStyle w:val="Heading3"/>
        <w:bidi/>
      </w:pPr>
      <w:r>
        <w:rPr>
          <w:rtl/>
        </w:rPr>
        <w:t xml:space="preserve">المطلب الرابع: محاكاة مبادئ ACID لسلامة البيانات</w:t>
      </w:r>
    </w:p>
    <w:p>
      <w:pPr>
        <w:bidi/>
      </w:pPr>
      <w:r>
        <w:rPr>
          <w:rtl/>
        </w:rPr>
        <w:t xml:space="preserve">بالرغم من عمل النظام في بيئة Excel، فقد تم دمج مبادئ قواعد البيانات الاحترافية (ACID) لضمان عدم ضياع أو تشوه البيانات:</w:t>
      </w:r>
      <w:r>
        <w:rPr>
          <w:rtl/>
        </w:rPr>
        <w:t xml:space="preserve"> </w:t>
      </w:r>
      <w:r>
        <w:rPr>
          <w:rtl/>
        </w:rPr>
        <w:t xml:space="preserve">-</w:t>
      </w:r>
      <w:r>
        <w:rPr>
          <w:rtl/>
        </w:rPr>
        <w:t xml:space="preserve"> </w:t>
      </w:r>
      <w:r>
        <w:rPr>
          <w:b/>
          <w:bCs/>
          <w:rtl/>
        </w:rPr>
        <w:t xml:space="preserve">الذرية (Atomicity): تضمن وحدة mod_TransactionSafety أن عملية تسجيل الحركة (تحديث الرصيد + تسجيل السطر في السجل + تحديث التكلفة) إما أن تكتمل جميعها أو تُلغى بالكامل في حال حدوث خطأ، لمنع وجود</w:t>
      </w:r>
      <w:r>
        <w:rPr>
          <w:b/>
          <w:bCs/>
          <w:rtl/>
        </w:rPr>
        <w:t xml:space="preserve"> </w:t>
      </w:r>
      <w:r>
        <w:rPr>
          <w:b/>
          <w:bCs/>
          <w:rtl/>
        </w:rPr>
        <w:t xml:space="preserve">“أرصدة معلقة”</w:t>
      </w:r>
      <w:r>
        <w:rPr>
          <w:b/>
          <w:bCs/>
          <w:rtl/>
        </w:rPr>
        <w:t xml:space="preserve">.</w:t>
      </w:r>
      <w:r>
        <w:rPr>
          <w:rtl/>
        </w:rPr>
        <w:t xml:space="preserve"> </w:t>
      </w:r>
      <w:r>
        <w:rPr>
          <w:rtl/>
        </w:rPr>
        <w:t xml:space="preserve">-</w:t>
      </w:r>
      <w:r>
        <w:rPr>
          <w:rtl/>
        </w:rPr>
        <w:t xml:space="preserve"> </w:t>
      </w:r>
      <w:r>
        <w:rPr>
          <w:b/>
          <w:bCs/>
          <w:rtl/>
        </w:rPr>
        <w:t xml:space="preserve">الاتساق (Consistency): يرفض النظام أي عملية تؤدي إلى كسر القواعد المنطقية (مثل صرف كمية أكبر من المتوفر في الرصيد الفعلي).</w:t>
      </w:r>
      <w:r>
        <w:rPr>
          <w:rtl/>
        </w:rPr>
        <w:t xml:space="preserve"> </w:t>
      </w:r>
      <w:r>
        <w:rPr>
          <w:rtl/>
        </w:rPr>
        <w:t xml:space="preserve">-</w:t>
      </w:r>
      <w:r>
        <w:rPr>
          <w:rtl/>
        </w:rPr>
        <w:t xml:space="preserve"> </w:t>
      </w:r>
      <w:r>
        <w:rPr>
          <w:b/>
          <w:bCs/>
          <w:rtl/>
        </w:rPr>
        <w:t xml:space="preserve">العزل (Isolation): يتم قفل السجلات برمجياً أثناء لحظة التحديث لمنع تداخل العمليات إذا تم استخدام النظام من قبل أكثر من مستخدم.</w:t>
      </w:r>
      <w:r>
        <w:rPr>
          <w:rtl/>
        </w:rPr>
        <w:t xml:space="preserve"> </w:t>
      </w:r>
      <w:r>
        <w:rPr>
          <w:rtl/>
        </w:rPr>
        <w:t xml:space="preserve">-</w:t>
      </w:r>
      <w:r>
        <w:rPr>
          <w:rtl/>
        </w:rPr>
        <w:t xml:space="preserve"> </w:t>
      </w:r>
      <w:r>
        <w:rPr>
          <w:b/>
          <w:bCs/>
          <w:rtl/>
        </w:rPr>
        <w:t xml:space="preserve">الديمومة (Durability): يتم تفعيل أمر الحفظ القسري (Force Save) بعد كل عملية حرجة لضمان كتابة البيانات على القرص الصلب فوراً.</w:t>
      </w:r>
    </w:p>
    <w:bookmarkEnd w:id="118"/>
    <w:bookmarkStart w:id="119" w:name="X1c2ea8d86c4f45404ae3647941d3499fe8305c9"/>
    <w:p>
      <w:pPr>
        <w:pStyle w:val="Heading3"/>
        <w:bidi/>
      </w:pPr>
      <w:r>
        <w:rPr>
          <w:rtl/>
        </w:rPr>
        <w:t xml:space="preserve">المطلب الخامس: محرك التصنيف الذكي (ABC-XYZ Engine)</w:t>
      </w:r>
    </w:p>
    <w:p>
      <w:pPr>
        <w:bidi/>
      </w:pPr>
      <w:r>
        <w:rPr>
          <w:rtl/>
        </w:rPr>
        <w:t xml:space="preserve">يتوج المحرك عمله بدمج بُعدين للتحليل لتقديم استراتيجية تسيير مخصصة لكل صنف:</w:t>
      </w:r>
      <w:r>
        <w:rPr>
          <w:rtl/>
        </w:rPr>
        <w:t xml:space="preserve"> </w:t>
      </w:r>
      <w:r>
        <w:rPr>
          <w:rtl/>
        </w:rPr>
        <w:t xml:space="preserve">-</w:t>
      </w:r>
      <w:r>
        <w:rPr>
          <w:rtl/>
        </w:rPr>
        <w:t xml:space="preserve"> </w:t>
      </w:r>
      <w:r>
        <w:rPr>
          <w:b/>
          <w:bCs/>
          <w:rtl/>
        </w:rPr>
        <w:t xml:space="preserve">البعد المادي (ABC): يصنف الأصناف بناءً على القيمة الاستهلاكية السنوية، حيث يوجه النظام الرقابة الصارمة نحو الفئة A (عالية القيمة).</w:t>
      </w:r>
      <w:r>
        <w:rPr>
          <w:rtl/>
        </w:rPr>
        <w:t xml:space="preserve"> </w:t>
      </w:r>
      <w:r>
        <w:rPr>
          <w:rtl/>
        </w:rPr>
        <w:t xml:space="preserve">-</w:t>
      </w:r>
      <w:r>
        <w:rPr>
          <w:rtl/>
        </w:rPr>
        <w:t xml:space="preserve"> </w:t>
      </w:r>
      <w:r>
        <w:rPr>
          <w:b/>
          <w:bCs/>
          <w:rtl/>
        </w:rPr>
        <w:t xml:space="preserve">البعد السلوكي (XYZ): يصنف الأصناف بناءً على معامل التباين () للطلب، حيث يحدد مدى استقرار أو تذبذب الاستهلاك.</w:t>
      </w:r>
      <w:r>
        <w:rPr>
          <w:rtl/>
        </w:rPr>
        <w:t xml:space="preserve"> </w:t>
      </w:r>
      <w:r>
        <w:rPr>
          <w:b/>
          <w:bCs/>
          <w:rtl/>
        </w:rPr>
        <w:t xml:space="preserve">ينتج عن هذا الدمج</w:t>
      </w:r>
      <w:r>
        <w:rPr>
          <w:b/>
          <w:bCs/>
          <w:rtl/>
        </w:rPr>
        <w:t xml:space="preserve"> </w:t>
      </w:r>
      <w:r>
        <w:rPr>
          <w:b/>
          <w:bCs/>
          <w:rtl/>
        </w:rPr>
        <w:t xml:space="preserve">“مصفوفة قرار”</w:t>
      </w:r>
      <w:r>
        <w:rPr>
          <w:b/>
          <w:bCs/>
          <w:rtl/>
        </w:rPr>
        <w:t xml:space="preserve"> </w:t>
      </w:r>
      <w:r>
        <w:rPr>
          <w:b/>
          <w:bCs/>
          <w:rtl/>
        </w:rPr>
        <w:t xml:space="preserve">توجه النظام لاتخاذ إجراءات متباينة؛ فالأصناف من فئة AX تخضع لرقابة يومية صارمة، بينما تُدار أصناف CZ بمرونة أكبر، مما يحقق التوازن الأمثل بين</w:t>
      </w:r>
      <w:r>
        <w:rPr>
          <w:b/>
          <w:bCs/>
          <w:rtl/>
        </w:rPr>
        <w:t xml:space="preserve"> </w:t>
      </w:r>
      <w:r>
        <w:rPr>
          <w:b/>
          <w:bCs/>
          <w:rtl/>
        </w:rPr>
        <w:t xml:space="preserve">“جهد الرقابة”</w:t>
      </w:r>
      <w:r>
        <w:rPr>
          <w:b/>
          <w:bCs/>
          <w:rtl/>
        </w:rPr>
        <w:t xml:space="preserve"> </w:t>
      </w:r>
      <w:r>
        <w:rPr>
          <w:b/>
          <w:bCs/>
          <w:rtl/>
        </w:rPr>
        <w:t xml:space="preserve">و”قيمة المخزون”.</w:t>
      </w:r>
    </w:p>
    <w:bookmarkEnd w:id="119"/>
    <w:bookmarkEnd w:id="120"/>
    <w:bookmarkStart w:id="130" w:name="Xc6e18aa2af3011a1373a5d4857df80b39c98584"/>
    <w:p>
      <w:pPr>
        <w:pStyle w:val="Heading2"/>
        <w:bidi/>
      </w:pPr>
      <w:r>
        <w:rPr>
          <w:rtl/>
        </w:rPr>
        <w:t xml:space="preserve">المبحث الرابع: هندسة واجهة المستخدم والأصالة الابتكارية</w:t>
      </w:r>
    </w:p>
    <w:p>
      <w:pPr>
        <w:bidi/>
      </w:pPr>
      <w:r>
        <w:rPr>
          <w:rtl/>
        </w:rPr>
        <w:t xml:space="preserve">لا تقتصر قيمة نظام دعم القرار على قوته الحسابية فحسب، بل تمتد لتشمل كيفية عرض هذه البيانات للمستخدم النهائي. فقد تم تصميم الواجهة وفق مبادئ</w:t>
      </w:r>
      <w:r>
        <w:rPr>
          <w:rtl/>
        </w:rPr>
        <w:t xml:space="preserve"> </w:t>
      </w:r>
      <w:r>
        <w:rPr>
          <w:rtl/>
        </w:rPr>
        <w:t xml:space="preserve">“تجربة المستخدم”</w:t>
      </w:r>
      <w:r>
        <w:rPr>
          <w:rtl/>
        </w:rPr>
        <w:t xml:space="preserve"> </w:t>
      </w:r>
      <w:r>
        <w:rPr>
          <w:rtl/>
        </w:rPr>
        <w:t xml:space="preserve">(UX Design) لضمان تحويل البيانات المعقدة إلى مؤشرات بصرية بسيطة تدعم اتخاذ القرار السريع والدقيق.</w:t>
      </w:r>
    </w:p>
    <w:bookmarkStart w:id="121" w:name="Xdcbed4a529f139898c76cbbdb64bb8c1a119adb"/>
    <w:p>
      <w:pPr>
        <w:pStyle w:val="Heading3"/>
        <w:bidi/>
      </w:pPr>
      <w:r>
        <w:rPr>
          <w:rtl/>
        </w:rPr>
        <w:t xml:space="preserve">المطلب الأول: الهندسة البنيوية لأوراق العمل (Sheet Architecture)</w:t>
      </w:r>
    </w:p>
    <w:p>
      <w:pPr>
        <w:bidi/>
      </w:pPr>
      <w:r>
        <w:rPr>
          <w:rtl/>
        </w:rPr>
        <w:t xml:space="preserve">تم تصميم هيكلية النظام بناءً على</w:t>
      </w:r>
      <w:r>
        <w:rPr>
          <w:rtl/>
        </w:rPr>
        <w:t xml:space="preserve"> </w:t>
      </w:r>
      <w:r>
        <w:rPr>
          <w:rtl/>
        </w:rPr>
        <w:t xml:space="preserve">“خريطة تدفق الوظائف”</w:t>
      </w:r>
      <w:r>
        <w:rPr>
          <w:rtl/>
        </w:rPr>
        <w:t xml:space="preserve">، حيث تمثل كل ورقة عمل مرحلة محددة من دورة حياة المادة المخزنية، مما يضمن تنظيماً منطقياً يمنع تشتت البيانات:</w:t>
      </w:r>
      <w:r>
        <w:rPr>
          <w:rtl/>
        </w:rPr>
        <w:t xml:space="preserve"> </w:t>
      </w:r>
      <w:r>
        <w:rPr>
          <w:rtl/>
        </w:rPr>
        <w:t xml:space="preserve">-</w:t>
      </w:r>
      <w:r>
        <w:rPr>
          <w:rtl/>
        </w:rPr>
        <w:t xml:space="preserve"> </w:t>
      </w:r>
      <w:r>
        <w:rPr>
          <w:b/>
          <w:bCs/>
          <w:rtl/>
        </w:rPr>
        <w:t xml:space="preserve">واجهة الانطلاق (ACCUEIL): تمثل</w:t>
      </w:r>
      <w:r>
        <w:rPr>
          <w:b/>
          <w:bCs/>
          <w:rtl/>
        </w:rPr>
        <w:t xml:space="preserve"> </w:t>
      </w:r>
      <w:r>
        <w:rPr>
          <w:b/>
          <w:bCs/>
          <w:rtl/>
        </w:rPr>
        <w:t xml:space="preserve">“مركز القيادة”</w:t>
      </w:r>
      <w:r>
        <w:rPr>
          <w:b/>
          <w:bCs/>
          <w:rtl/>
        </w:rPr>
        <w:t xml:space="preserve"> </w:t>
      </w:r>
      <w:r>
        <w:rPr>
          <w:b/>
          <w:bCs/>
          <w:rtl/>
        </w:rPr>
        <w:t xml:space="preserve">الذي يوفر وصولاً سريعاً لكافة وظائف النظام وملخصات تنفيذية فورية.</w:t>
      </w:r>
      <w:r>
        <w:rPr>
          <w:rtl/>
        </w:rPr>
        <w:t xml:space="preserve"> </w:t>
      </w:r>
      <w:r>
        <w:rPr>
          <w:rtl/>
        </w:rPr>
        <w:t xml:space="preserve">- **قاعدة البيانات المركزية (ARTICLES): المستودع الرقمي لكافة بيانات الأصناف، حيث يتم تخزين الأكواد، الأسماء، والمؤشرات الحسابية (Q*, ROP, SS) التي يغذيها محرك الـ VBA.</w:t>
      </w:r>
      <w:r>
        <w:rPr>
          <w:b/>
          <w:bCs/>
          <w:rtl/>
        </w:rPr>
        <w:t xml:space="preserve"> </w:t>
      </w:r>
      <w:r>
        <w:rPr>
          <w:b/>
          <w:bCs/>
          <w:rtl/>
        </w:rPr>
        <w:t xml:space="preserve">-</w:t>
      </w:r>
      <w:r>
        <w:rPr>
          <w:b/>
          <w:bCs/>
          <w:rtl/>
        </w:rPr>
        <w:t xml:space="preserve"> </w:t>
      </w:r>
      <w:r>
        <w:rPr>
          <w:rtl/>
        </w:rPr>
        <w:t xml:space="preserve">سجل الحركات الرقمي (MOUVEMENTS): يمثل</w:t>
      </w:r>
      <w:r>
        <w:rPr>
          <w:rtl/>
        </w:rPr>
        <w:t xml:space="preserve"> </w:t>
      </w:r>
      <w:r>
        <w:rPr>
          <w:rtl/>
        </w:rPr>
        <w:t xml:space="preserve">“الذاكرة التاريخية”</w:t>
      </w:r>
      <w:r>
        <w:rPr>
          <w:rtl/>
        </w:rPr>
        <w:t xml:space="preserve"> </w:t>
      </w:r>
      <w:r>
        <w:rPr>
          <w:rtl/>
        </w:rPr>
        <w:t xml:space="preserve">للنظام، حيث تُسجَّل كافة التدفقات الواردة والصادرة كـ Audit Trail غير قابل للتعديل.</w:t>
      </w:r>
      <w:r>
        <w:rPr>
          <w:b/>
          <w:bCs/>
          <w:rtl/>
        </w:rPr>
        <w:t xml:space="preserve"> </w:t>
      </w:r>
      <w:r>
        <w:rPr>
          <w:b/>
          <w:bCs/>
          <w:rtl/>
        </w:rPr>
        <w:t xml:space="preserve">-</w:t>
      </w:r>
      <w:r>
        <w:rPr>
          <w:b/>
          <w:bCs/>
          <w:rtl/>
        </w:rPr>
        <w:t xml:space="preserve"> </w:t>
      </w:r>
      <w:r>
        <w:rPr>
          <w:rtl/>
        </w:rPr>
        <w:t xml:space="preserve">لوحة القيادة الاستراتيجية (TABLEAU DE BORD): تحول البيانات الخام إلى رؤى بصرية عبر رسوم بيانية ومؤشرات أداء (KPIs) تتيح للمسؤول مراقبة حالة المخزن في ثوانٍ.</w:t>
      </w:r>
      <w:r>
        <w:rPr>
          <w:b/>
          <w:bCs/>
          <w:rtl/>
        </w:rPr>
        <w:t xml:space="preserve"> </w:t>
      </w:r>
      <w:r>
        <w:rPr>
          <w:b/>
          <w:bCs/>
          <w:rtl/>
        </w:rPr>
        <w:t xml:space="preserve">-</w:t>
      </w:r>
      <w:r>
        <w:rPr>
          <w:b/>
          <w:bCs/>
          <w:rtl/>
        </w:rPr>
        <w:t xml:space="preserve"> </w:t>
      </w:r>
      <w:r>
        <w:rPr>
          <w:rtl/>
        </w:rPr>
        <w:t xml:space="preserve">وحدة الإعدادات (PARAMETRES):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bookmarkEnd w:id="121"/>
    <w:bookmarkStart w:id="122" w:name="Xc3e868391841f7562f5d5b2b3c4438a8091e2eb"/>
    <w:p>
      <w:pPr>
        <w:pStyle w:val="Heading3"/>
        <w:bidi/>
      </w:pPr>
      <w:r>
        <w:rPr>
          <w:rtl/>
        </w:rPr>
        <w:t xml:space="preserve">المطلب الثاني: نظام التنبيه اللوني والذكاء البصري</w:t>
      </w:r>
    </w:p>
    <w:p>
      <w:pPr>
        <w:bidi/>
      </w:pPr>
      <w:r>
        <w:rPr>
          <w:rtl/>
        </w:rPr>
        <w:t xml:space="preserve">اعتمد النظام لغة بصرية فورية تعتمد على</w:t>
      </w:r>
      <w:r>
        <w:rPr>
          <w:rtl/>
        </w:rPr>
        <w:t xml:space="preserve"> </w:t>
      </w:r>
      <w:r>
        <w:rPr>
          <w:rtl/>
        </w:rPr>
        <w:t xml:space="preserve">“التدرج اللوني الوظيفي”</w:t>
      </w:r>
      <w:r>
        <w:rPr>
          <w:rtl/>
        </w:rPr>
        <w:t xml:space="preserve"> </w:t>
      </w:r>
      <w:r>
        <w:rPr>
          <w:rtl/>
        </w:rPr>
        <w:t xml:space="preserve">(Chromatic Logic)، وهي تقنية تهدف إلى تقليل الجهد الإدراكي للمستخدم وتحويل الرقابة من عملية</w:t>
      </w:r>
      <w:r>
        <w:rPr>
          <w:rtl/>
        </w:rPr>
        <w:t xml:space="preserve"> </w:t>
      </w:r>
      <w:r>
        <w:rPr>
          <w:rtl/>
        </w:rPr>
        <w:t xml:space="preserve">“بحث وتدقيق”</w:t>
      </w:r>
      <w:r>
        <w:rPr>
          <w:rtl/>
        </w:rPr>
        <w:t xml:space="preserve"> </w:t>
      </w:r>
      <w:r>
        <w:rPr>
          <w:rtl/>
        </w:rPr>
        <w:t xml:space="preserve">إلى عملية</w:t>
      </w:r>
      <w:r>
        <w:rPr>
          <w:rtl/>
        </w:rPr>
        <w:t xml:space="preserve"> </w:t>
      </w:r>
      <w:r>
        <w:rPr>
          <w:rtl/>
        </w:rPr>
        <w:t xml:space="preserve">“رؤية واستجابة”</w:t>
      </w:r>
      <w:r>
        <w:rPr>
          <w:rtl/>
        </w:rPr>
        <w:t xml:space="preserve">:</w:t>
      </w:r>
      <w:r>
        <w:rPr>
          <w:rtl/>
        </w:rPr>
        <w:t xml:space="preserve"> </w:t>
      </w:r>
      <w:r>
        <w:rPr>
          <w:rtl/>
        </w:rPr>
        <w:t xml:space="preserve">-</w:t>
      </w:r>
      <w:r>
        <w:rPr>
          <w:rtl/>
        </w:rPr>
        <w:t xml:space="preserve"> </w:t>
      </w:r>
      <w:r>
        <w:rPr>
          <w:b/>
          <w:bCs/>
          <w:rtl/>
        </w:rPr>
        <w:t xml:space="preserve">المستوى الأخضر (Safe Zone): يُفعل عندما يكون الرصيد أعلى من نقطة إعادة الطلب بمساحة آمنة، مما يشير إلى استقرار الوضع اللوجيستي.</w:t>
      </w:r>
      <w:r>
        <w:rPr>
          <w:rtl/>
        </w:rPr>
        <w:t xml:space="preserve"> </w:t>
      </w:r>
      <w:r>
        <w:rPr>
          <w:rtl/>
        </w:rPr>
        <w:t xml:space="preserve">-</w:t>
      </w:r>
      <w:r>
        <w:rPr>
          <w:rtl/>
        </w:rPr>
        <w:t xml:space="preserve"> </w:t>
      </w:r>
      <w:r>
        <w:rPr>
          <w:b/>
          <w:bCs/>
          <w:rtl/>
        </w:rPr>
        <w:t xml:space="preserve">المستوى الأصفر (Warning Zone): يُفعل لحظة ملامسة الرصيد لقيمة ROP، وهو</w:t>
      </w:r>
      <w:r>
        <w:rPr>
          <w:b/>
          <w:bCs/>
          <w:rtl/>
        </w:rPr>
        <w:t xml:space="preserve"> </w:t>
      </w:r>
      <w:r>
        <w:rPr>
          <w:b/>
          <w:bCs/>
          <w:rtl/>
        </w:rPr>
        <w:t xml:space="preserve">“إنذار مبكر”</w:t>
      </w:r>
      <w:r>
        <w:rPr>
          <w:b/>
          <w:bCs/>
          <w:rtl/>
        </w:rPr>
        <w:t xml:space="preserve"> </w:t>
      </w:r>
      <w:r>
        <w:rPr>
          <w:b/>
          <w:bCs/>
          <w:rtl/>
        </w:rPr>
        <w:t xml:space="preserve">يستوجب البدء في إجراءات التموين لمنع الوصول إلى مرحلة الخطر.</w:t>
      </w:r>
      <w:r>
        <w:rPr>
          <w:rtl/>
        </w:rPr>
        <w:t xml:space="preserve"> </w:t>
      </w:r>
      <w:r>
        <w:rPr>
          <w:rtl/>
        </w:rPr>
        <w:t xml:space="preserve">-</w:t>
      </w:r>
      <w:r>
        <w:rPr>
          <w:rtl/>
        </w:rPr>
        <w:t xml:space="preserve"> </w:t>
      </w:r>
      <w:r>
        <w:rPr>
          <w:b/>
          <w:bCs/>
          <w:rtl/>
        </w:rPr>
        <w:t xml:space="preserve">المستوى الأحمر (Danger Zone): يُفعل عند اختراق مخزون الأمان (SS) أو الوصول إلى حالة النفاد، مما يتطلب تدخلاً فورياً وعاجلاً لضمان عدم توقف المرفق التربوي.</w:t>
      </w:r>
    </w:p>
    <w:bookmarkEnd w:id="122"/>
    <w:bookmarkStart w:id="123" w:name="X197816f32b7b7ef5c9c4cb4d12a6ba19ec348d5"/>
    <w:p>
      <w:pPr>
        <w:pStyle w:val="Heading3"/>
        <w:bidi/>
      </w:pPr>
      <w:r>
        <w:rPr>
          <w:rtl/>
        </w:rPr>
        <w:t xml:space="preserve">المطلب الثالث: لوحة القيادة والتحليل الاستراتيجي (Analytics Dashboard)</w:t>
      </w:r>
    </w:p>
    <w:p>
      <w:pPr>
        <w:bidi/>
      </w:pPr>
      <w:r>
        <w:rPr>
          <w:rtl/>
        </w:rPr>
        <w:t xml:space="preserve">تتجاوز لوحة القيادة في النظام وظيفة العرض لتصبح</w:t>
      </w:r>
      <w:r>
        <w:rPr>
          <w:rtl/>
        </w:rPr>
        <w:t xml:space="preserve"> </w:t>
      </w:r>
      <w:r>
        <w:rPr>
          <w:rtl/>
        </w:rPr>
        <w:t xml:space="preserve">“أداة تحليلية”</w:t>
      </w:r>
      <w:r>
        <w:rPr>
          <w:rtl/>
        </w:rPr>
        <w:t xml:space="preserve"> </w:t>
      </w:r>
      <w:r>
        <w:rPr>
          <w:rtl/>
        </w:rPr>
        <w:t xml:space="preserve">تقوم بتجميع وتلخيص البيانات من كافة الوحدات البرمجية لتوفير رؤية شمولية:</w:t>
      </w:r>
      <w:r>
        <w:rPr>
          <w:rtl/>
        </w:rPr>
        <w:t xml:space="preserve"> </w:t>
      </w:r>
      <w:r>
        <w:rPr>
          <w:rtl/>
        </w:rPr>
        <w:t xml:space="preserve">-</w:t>
      </w:r>
      <w:r>
        <w:rPr>
          <w:rtl/>
        </w:rPr>
        <w:t xml:space="preserve"> </w:t>
      </w:r>
      <w:r>
        <w:rPr>
          <w:b/>
          <w:bCs/>
          <w:rtl/>
        </w:rPr>
        <w:t xml:space="preserve">مؤشرات الأداء اللحظية (Real-time KPIs): عرض إجمالي القيمة المالية للمخزون، عدد الأصناف المهددة بالنفاد، ومعدل دوران المخزون العام.</w:t>
      </w:r>
      <w:r>
        <w:rPr>
          <w:rtl/>
        </w:rPr>
        <w:t xml:space="preserve"> </w:t>
      </w:r>
      <w:r>
        <w:rPr>
          <w:rtl/>
        </w:rPr>
        <w:t xml:space="preserve">-</w:t>
      </w:r>
      <w:r>
        <w:rPr>
          <w:rtl/>
        </w:rPr>
        <w:t xml:space="preserve"> </w:t>
      </w:r>
      <w:r>
        <w:rPr>
          <w:b/>
          <w:bCs/>
          <w:rtl/>
        </w:rPr>
        <w:t xml:space="preserve">التحليل الهيكلي (Structural Analysis): توزيع الأصناف وفق مصفوفة ABC-XYZ بصرياً، مما يساعد الإدارة في فهم طبيعة المخزون (استراتيجي، روتيني، أم مخاطر).</w:t>
      </w:r>
      <w:r>
        <w:rPr>
          <w:rtl/>
        </w:rPr>
        <w:t xml:space="preserve"> </w:t>
      </w:r>
      <w:r>
        <w:rPr>
          <w:rtl/>
        </w:rPr>
        <w:t xml:space="preserve">-</w:t>
      </w:r>
      <w:r>
        <w:rPr>
          <w:rtl/>
        </w:rPr>
        <w:t xml:space="preserve"> </w:t>
      </w:r>
      <w:r>
        <w:rPr>
          <w:b/>
          <w:bCs/>
          <w:rtl/>
        </w:rPr>
        <w:t xml:space="preserve">المتابعة الزمنية (Temporal Tracking): توفير ملخصات عن حركة المخزون خلال فترات محددة، مما يدعم عملية تخطيط الميزانية السنوية بناءً على استهلاكات فعلية دقيقة.</w:t>
      </w:r>
    </w:p>
    <w:bookmarkEnd w:id="123"/>
    <w:bookmarkStart w:id="129" w:name="X43f602add9b7058ce87741ac0c8f7096d34eb8c"/>
    <w:p>
      <w:pPr>
        <w:pStyle w:val="Heading3"/>
        <w:bidi/>
      </w:pPr>
      <w:r>
        <w:rPr>
          <w:rtl/>
        </w:rPr>
        <w:t xml:space="preserve">المطلب الرابع: المعايير الجمالية والابتكارات الوظيفية</w:t>
      </w:r>
    </w:p>
    <w:p>
      <w:pPr>
        <w:bidi/>
      </w:pPr>
      <w:r>
        <w:rPr>
          <w:rtl/>
        </w:rPr>
        <w:t xml:space="preserve">لضمان احترافية النظام وتوافقه مع معايير البرمجيات الحديثة، تم دمج لمسات تصميمية ووظيفية مبتكرة:</w:t>
      </w:r>
    </w:p>
    <w:bookmarkStart w:id="124" w:name="أولا-الهوية-البصرية-zinc-emerald-theme"/>
    <w:p>
      <w:pPr>
        <w:pStyle w:val="Heading4"/>
        <w:bidi/>
      </w:pPr>
      <w:r>
        <w:rPr>
          <w:rtl/>
        </w:rPr>
        <w:t xml:space="preserve">أولاً: الهوية البصرية (Zinc &amp; Emerald Theme)</w:t>
      </w:r>
    </w:p>
    <w:p>
      <w:pPr>
        <w:bidi/>
      </w:pPr>
      <w:r>
        <w:rPr>
          <w:b/>
          <w:bCs/>
          <w:rtl/>
        </w:rPr>
        <w:t xml:space="preserve">تم اعتماد لوحة ألوان عصرية تعتمد على اللون Zinc (للخلفيات والحدود) لإعطاء طابع من الرصانة والوضوح، واللون Emerald (للأزرار والمؤشرات الإيجابية) لإضفاء لمسة من الحيوية والاحترافية، مما يقلل من إجهاد العين أثناء الاستخدام الطويل.</w:t>
      </w:r>
    </w:p>
    <w:bookmarkEnd w:id="124"/>
    <w:bookmarkStart w:id="128" w:name="ثانيا-الميزات-الابتكارية-المدمجة"/>
    <w:p>
      <w:pPr>
        <w:pStyle w:val="Heading4"/>
        <w:bidi/>
      </w:pPr>
      <w:r>
        <w:rPr>
          <w:rtl/>
        </w:rPr>
        <w:t xml:space="preserve">ثانياً: الميزات الابتكارية المدمجة</w:t>
      </w:r>
    </w:p>
    <w:p>
      <w:pPr>
        <w:bidi/>
      </w:pPr>
      <w:r>
        <w:rPr>
          <w:b/>
          <w:bCs/>
          <w:rtl/>
        </w:rPr>
        <w:t xml:space="preserve">يتميز نظام دعم القرار v13.3 بمجموعة من الإضافات التي ترفعه من مستوى</w:t>
      </w:r>
      <w:r>
        <w:rPr>
          <w:b/>
          <w:bCs/>
          <w:rtl/>
        </w:rPr>
        <w:t xml:space="preserve"> </w:t>
      </w:r>
      <w:r>
        <w:rPr>
          <w:b/>
          <w:bCs/>
          <w:rtl/>
        </w:rPr>
        <w:t xml:space="preserve">“جدول بيانات”</w:t>
      </w:r>
      <w:r>
        <w:rPr>
          <w:b/>
          <w:bCs/>
          <w:rtl/>
        </w:rPr>
        <w:t xml:space="preserve"> </w:t>
      </w:r>
      <w:r>
        <w:rPr>
          <w:b/>
          <w:bCs/>
          <w:rtl/>
        </w:rPr>
        <w:t xml:space="preserve">إلى</w:t>
      </w:r>
      <w:r>
        <w:rPr>
          <w:b/>
          <w:bCs/>
          <w:rtl/>
        </w:rPr>
        <w:t xml:space="preserve"> </w:t>
      </w:r>
      <w:r>
        <w:rPr>
          <w:b/>
          <w:bCs/>
          <w:rtl/>
        </w:rPr>
        <w:t xml:space="preserve">“نظام خبير”</w:t>
      </w:r>
      <w:r>
        <w:rPr>
          <w:b/>
          <w:bCs/>
          <w:rtl/>
        </w:rPr>
        <w:t xml:space="preserve">:</w:t>
      </w:r>
      <w:r>
        <w:rPr>
          <w:rtl/>
        </w:rPr>
        <w:t xml:space="preserve"> </w:t>
      </w:r>
      <w:r>
        <w:rPr>
          <w:rtl/>
        </w:rPr>
        <w:t xml:space="preserve">-</w:t>
      </w:r>
      <w:r>
        <w:rPr>
          <w:rtl/>
        </w:rPr>
        <w:t xml:space="preserve"> </w:t>
      </w:r>
      <w:r>
        <w:rPr>
          <w:b/>
          <w:bCs/>
          <w:rtl/>
        </w:rPr>
        <w:t xml:space="preserve">التقارير الآلية: توليد وثائق إدارية رسمية (PDF) بضغطة زر، مما يلغي ساعات من العمل اليدوي.</w:t>
      </w:r>
      <w:r>
        <w:rPr>
          <w:rtl/>
        </w:rPr>
        <w:t xml:space="preserve"> </w:t>
      </w:r>
      <w:r>
        <w:rPr>
          <w:rtl/>
        </w:rPr>
        <w:t xml:space="preserve">-</w:t>
      </w:r>
      <w:r>
        <w:rPr>
          <w:rtl/>
        </w:rPr>
        <w:t xml:space="preserve"> </w:t>
      </w:r>
      <w:r>
        <w:rPr>
          <w:b/>
          <w:bCs/>
          <w:rtl/>
        </w:rPr>
        <w:t xml:space="preserve">التحليل التنبؤي البسيط: استخدام البيانات التاريخية لتقدير الاحتياجات المستقبلية وتنبيه المستخدم قبل وقوع الأزمة.</w:t>
      </w:r>
      <w:r>
        <w:rPr>
          <w:rtl/>
        </w:rPr>
        <w:t xml:space="preserve"> </w:t>
      </w:r>
      <w:r>
        <w:rPr>
          <w:rtl/>
        </w:rPr>
        <w:t xml:space="preserve">-</w:t>
      </w:r>
      <w:r>
        <w:rPr>
          <w:rtl/>
        </w:rPr>
        <w:t xml:space="preserve"> </w:t>
      </w:r>
      <w:r>
        <w:rPr>
          <w:b/>
          <w:bCs/>
          <w:rtl/>
        </w:rPr>
        <w:t xml:space="preserve">واجهة تفاعلية بديهية: تصميم يوجه المستخدم من</w:t>
      </w:r>
      <w:r>
        <w:rPr>
          <w:b/>
          <w:bCs/>
          <w:rtl/>
        </w:rPr>
        <w:t xml:space="preserve"> </w:t>
      </w:r>
      <w:r>
        <w:rPr>
          <w:b/>
          <w:bCs/>
          <w:rtl/>
        </w:rPr>
        <w:t xml:space="preserve">“العام”</w:t>
      </w:r>
      <w:r>
        <w:rPr>
          <w:b/>
          <w:bCs/>
          <w:rtl/>
        </w:rPr>
        <w:t xml:space="preserve"> </w:t>
      </w:r>
      <w:r>
        <w:rPr>
          <w:b/>
          <w:bCs/>
          <w:rtl/>
        </w:rPr>
        <w:t xml:space="preserve">(لوحة القيادة) إلى</w:t>
      </w:r>
      <w:r>
        <w:rPr>
          <w:b/>
          <w:bCs/>
          <w:rtl/>
        </w:rPr>
        <w:t xml:space="preserve"> </w:t>
      </w:r>
      <w:r>
        <w:rPr>
          <w:b/>
          <w:bCs/>
          <w:rtl/>
        </w:rPr>
        <w:t xml:space="preserve">“الخاص”</w:t>
      </w:r>
      <w:r>
        <w:rPr>
          <w:b/>
          <w:bCs/>
          <w:rtl/>
        </w:rPr>
        <w:t xml:space="preserve"> </w:t>
      </w:r>
      <w:r>
        <w:rPr>
          <w:b/>
          <w:bCs/>
          <w:rtl/>
        </w:rPr>
        <w:t xml:space="preserve">(تفاصيل الصنف) بسلاسة تامة.</w:t>
      </w:r>
      <w:r>
        <w:rPr>
          <w:rtl/>
        </w:rPr>
        <w:t xml:space="preserve"> </w:t>
      </w:r>
      <w:r>
        <w:rPr>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w:t>
      </w:r>
      <w:r>
        <w:rPr>
          <w:rtl/>
        </w:rPr>
        <w:t xml:space="preserve"> </w:t>
      </w:r>
      <w:r>
        <w:rPr>
          <w:rtl/>
        </w:rPr>
        <w:t xml:space="preserve">“رقمنة التسيير اللوجيستي في القطاع التربوي”</w:t>
      </w:r>
      <w:r>
        <w:rPr>
          <w:rtl/>
        </w:rPr>
        <w:t xml:space="preserve">. الكود المصدري الكامل للنظام متاح في المستودع الرسمي</w:t>
      </w:r>
      <w:r>
        <w:rPr>
          <w:rtl/>
        </w:rPr>
        <w:t xml:space="preserve"> </w:t>
      </w:r>
      <w:r>
        <w:rPr>
          <w:rStyle w:val="FootnoteReference"/>
        </w:rPr>
        <w:footnoteReference w:id="125"/>
      </w:r>
      <w:r>
        <w:rPr>
          <w:rtl/>
        </w:rPr>
        <w:t xml:space="preserve"> </w:t>
      </w:r>
      <w:r>
        <w:rPr>
          <w:rtl/>
        </w:rPr>
        <w:t xml:space="preserve">— نهاية الفصل الثالث —</w:t>
      </w:r>
      <w:r>
        <w:rPr>
          <w:rtl/>
        </w:rPr>
        <w:t xml:space="preserve"> </w:t>
      </w:r>
      <w:r>
        <w:rPr>
          <w:rStyle w:val="FootnoteReference"/>
        </w:rPr>
        <w:footnoteReference w:id="126"/>
      </w:r>
      <w:r>
        <w:rPr>
          <w:rtl/>
        </w:rPr>
        <w:t xml:space="preserve"> </w:t>
      </w:r>
      <w:r>
        <w:rPr>
          <w:rStyle w:val="FootnoteReference"/>
        </w:rPr>
        <w:footnoteReference w:id="127"/>
      </w:r>
    </w:p>
    <w:bookmarkEnd w:id="128"/>
    <w:bookmarkEnd w:id="129"/>
    <w:bookmarkEnd w:id="130"/>
    <w:bookmarkEnd w:id="131"/>
    <w:bookmarkStart w:id="144" w:name="الفصل-الرابع-التجريب-والتحقق-من-النتائج"/>
    <w:p>
      <w:pPr>
        <w:pStyle w:val="Heading1"/>
        <w:bidi/>
      </w:pPr>
      <w:r>
        <w:rPr>
          <w:rtl/>
        </w:rPr>
        <w:t xml:space="preserve">الفصل الرابع: التجريب والتحقق من النتائج</w:t>
      </w:r>
    </w:p>
    <w:bookmarkStart w:id="139" w:name="X772d01764d2cdf10730319436c2b610a5dde5fe"/>
    <w:p>
      <w:pPr>
        <w:pStyle w:val="Heading2"/>
        <w:bidi/>
      </w:pPr>
      <w:r>
        <w:rPr>
          <w:rtl/>
        </w:rPr>
        <w:t xml:space="preserve">المبحث الأول: نتائج التجريب والتحقق من صحة الفرضيات</w:t>
      </w:r>
    </w:p>
    <w:bookmarkStart w:id="132" w:name="مقارنة-مؤشرات-الأداء-قبل-وبعد-التطبيق"/>
    <w:p>
      <w:pPr>
        <w:pStyle w:val="Heading3"/>
        <w:bidi/>
      </w:pPr>
      <w:r>
        <w:rPr>
          <w:rtl/>
        </w:rPr>
        <w:t xml:space="preserve">1. مقارنة مؤشرات الأداء قبل وبعد التطبيق</w:t>
      </w:r>
    </w:p>
    <w:p>
      <w:pPr>
        <w:bidi/>
      </w:pPr>
      <w:r>
        <w:rPr>
          <w:b/>
          <w:bCs/>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084910" w:type="dxa"/>
          </w:tcPr>
          <w:p>
            <w:pPr>
              <w:pStyle w:val="Compact"/>
              <w:bidi/>
            </w:pPr>
            <w:r>
              <w:rPr>
                <w:rtl/>
              </w:rPr>
              <w:t xml:space="preserve">مؤشر الأداء (KPI)</w:t>
            </w:r>
          </w:p>
        </w:tc>
        <w:tc>
          <w:tcPr>
            <w:tcW w:w="1584891" w:type="dxa"/>
          </w:tcPr>
          <w:p>
            <w:pPr>
              <w:pStyle w:val="Compact"/>
              <w:bidi/>
            </w:pPr>
            <w:r>
              <w:rPr>
                <w:rtl/>
              </w:rPr>
              <w:t xml:space="preserve">قبل التطبيق (النظام اليدوي)</w:t>
            </w:r>
          </w:p>
        </w:tc>
        <w:tc>
          <w:tcPr>
            <w:tcW w:w="1516933" w:type="dxa"/>
          </w:tcPr>
          <w:p>
            <w:pPr>
              <w:pStyle w:val="Compact"/>
              <w:bidi/>
            </w:pPr>
            <w:r>
              <w:rPr>
                <w:rtl/>
              </w:rPr>
              <w:t xml:space="preserve">بعد التطبيق (نظام دعم القرار)</w:t>
            </w:r>
          </w:p>
        </w:tc>
        <w:tc>
          <w:tcPr>
            <w:tcW w:w="973264" w:type="dxa"/>
          </w:tcPr>
          <w:p>
            <w:pPr>
              <w:pStyle w:val="Compact"/>
              <w:bidi/>
            </w:pPr>
            <w:r>
              <w:rPr>
                <w:rtl/>
              </w:rPr>
              <w:t xml:space="preserve">نسبة التحسُّن</w:t>
            </w:r>
          </w:p>
        </w:tc>
      </w:tr>
      <w:tr>
        <w:tc>
          <w:tcPr>
            <w:tcW w:w="1084910" w:type="dxa"/>
          </w:tcPr>
          <w:p>
            <w:pPr>
              <w:pStyle w:val="Compact"/>
              <w:bidi/>
            </w:pPr>
            <w:r>
              <w:rPr>
                <w:rtl/>
              </w:rPr>
              <w:t xml:space="preserve">وقت معالجة الطلبية الواحدة</w:t>
            </w:r>
          </w:p>
        </w:tc>
        <w:tc>
          <w:tcPr>
            <w:tcW w:w="1584891" w:type="dxa"/>
          </w:tcPr>
          <w:p>
            <w:pPr>
              <w:pStyle w:val="Compact"/>
              <w:bidi/>
            </w:pPr>
            <w:r>
              <w:rPr>
                <w:rtl/>
              </w:rPr>
              <w:t xml:space="preserve">20 – 30 دقيقة (ورقي متعدد المراحل)</w:t>
            </w:r>
          </w:p>
        </w:tc>
        <w:tc>
          <w:tcPr>
            <w:tcW w:w="1516933" w:type="dxa"/>
          </w:tcPr>
          <w:p>
            <w:pPr>
              <w:pStyle w:val="Compact"/>
              <w:bidi/>
            </w:pPr>
            <w:r>
              <w:rPr>
                <w:rtl/>
              </w:rPr>
              <w:t xml:space="preserve">أقل من 5 ثوانٍ (زر واحد — VBA)</w:t>
            </w:r>
          </w:p>
        </w:tc>
        <w:tc>
          <w:tcPr>
            <w:tcW w:w="973264" w:type="dxa"/>
          </w:tcPr>
          <w:p>
            <w:pPr>
              <w:pStyle w:val="Compact"/>
              <w:bidi/>
            </w:pPr>
            <w:r>
              <w:rPr>
                <w:rtl/>
              </w:rPr>
              <w:t xml:space="preserve">تخفيض 99.7%</w:t>
            </w:r>
          </w:p>
        </w:tc>
      </w:tr>
      <w:tr>
        <w:tc>
          <w:tcPr>
            <w:tcW w:w="1084910" w:type="dxa"/>
          </w:tcPr>
          <w:p>
            <w:pPr>
              <w:pStyle w:val="Compact"/>
              <w:bidi/>
            </w:pPr>
            <w:r>
              <w:rPr>
                <w:rtl/>
              </w:rPr>
              <w:t xml:space="preserve">التنبيه بنقطة إعادة الطلب</w:t>
            </w:r>
          </w:p>
        </w:tc>
        <w:tc>
          <w:tcPr>
            <w:tcW w:w="1584891" w:type="dxa"/>
          </w:tcPr>
          <w:p>
            <w:pPr>
              <w:pStyle w:val="Compact"/>
              <w:bidi/>
            </w:pPr>
            <w:r>
              <w:rPr>
                <w:rtl/>
              </w:rPr>
              <w:t xml:space="preserve">غائب — اكتشاف بالعين المجردة عند النفاد</w:t>
            </w:r>
          </w:p>
        </w:tc>
        <w:tc>
          <w:tcPr>
            <w:tcW w:w="1516933" w:type="dxa"/>
          </w:tcPr>
          <w:p>
            <w:pPr>
              <w:pStyle w:val="Compact"/>
              <w:bidi/>
            </w:pPr>
            <w:r>
              <w:rPr>
                <w:rtl/>
              </w:rPr>
              <w:t xml:space="preserve">تلقائي — تلوين فوري عند الاقتراب من ROP</w:t>
            </w:r>
          </w:p>
        </w:tc>
        <w:tc>
          <w:tcPr>
            <w:tcW w:w="973264" w:type="dxa"/>
          </w:tcPr>
          <w:p>
            <w:pPr>
              <w:pStyle w:val="Compact"/>
              <w:bidi/>
            </w:pPr>
            <w:r>
              <w:rPr>
                <w:rtl/>
              </w:rPr>
              <w:t xml:space="preserve">من صفر إلى 100%</w:t>
            </w:r>
          </w:p>
        </w:tc>
      </w:tr>
      <w:tr>
        <w:tc>
          <w:tcPr>
            <w:tcW w:w="1084910" w:type="dxa"/>
          </w:tcPr>
          <w:p>
            <w:pPr>
              <w:pStyle w:val="Compact"/>
              <w:bidi/>
            </w:pPr>
            <w:r>
              <w:rPr>
                <w:rtl/>
              </w:rPr>
              <w:t xml:space="preserve">مدة إجراء الجرد الفصلي</w:t>
            </w:r>
          </w:p>
        </w:tc>
        <w:tc>
          <w:tcPr>
            <w:tcW w:w="1584891" w:type="dxa"/>
          </w:tcPr>
          <w:p>
            <w:pPr>
              <w:pStyle w:val="Compact"/>
              <w:bidi/>
            </w:pPr>
            <w:r>
              <w:rPr>
                <w:rtl/>
              </w:rPr>
              <w:t xml:space="preserve">7 – 8 ساعات (مطابقة يدوية)</w:t>
            </w:r>
          </w:p>
        </w:tc>
        <w:tc>
          <w:tcPr>
            <w:tcW w:w="1516933" w:type="dxa"/>
          </w:tcPr>
          <w:p>
            <w:pPr>
              <w:pStyle w:val="Compact"/>
              <w:bidi/>
            </w:pPr>
            <w:r>
              <w:rPr>
                <w:rtl/>
              </w:rPr>
              <w:t xml:space="preserve">أقل من 3 ساعات (مقارنة آلية)</w:t>
            </w:r>
          </w:p>
        </w:tc>
        <w:tc>
          <w:tcPr>
            <w:tcW w:w="973264" w:type="dxa"/>
          </w:tcPr>
          <w:p>
            <w:pPr>
              <w:pStyle w:val="Compact"/>
              <w:bidi/>
            </w:pPr>
            <w:r>
              <w:rPr>
                <w:rtl/>
              </w:rPr>
              <w:t xml:space="preserve">تخفيض 60%</w:t>
            </w:r>
          </w:p>
        </w:tc>
      </w:tr>
      <w:tr>
        <w:tc>
          <w:tcPr>
            <w:tcW w:w="1084910" w:type="dxa"/>
          </w:tcPr>
          <w:p>
            <w:pPr>
              <w:pStyle w:val="Compact"/>
              <w:bidi/>
            </w:pPr>
            <w:r>
              <w:rPr>
                <w:rtl/>
              </w:rPr>
              <w:t xml:space="preserve">دقة الرصيد</w:t>
            </w:r>
          </w:p>
        </w:tc>
        <w:tc>
          <w:tcPr>
            <w:tcW w:w="1584891" w:type="dxa"/>
          </w:tcPr>
          <w:p>
            <w:pPr>
              <w:pStyle w:val="Compact"/>
              <w:bidi/>
            </w:pPr>
            <w:r>
              <w:rPr>
                <w:rtl/>
              </w:rPr>
              <w:t xml:space="preserve">خطأ إدخال في 12–15% من العمليات</w:t>
            </w:r>
          </w:p>
        </w:tc>
        <w:tc>
          <w:tcPr>
            <w:tcW w:w="1516933" w:type="dxa"/>
          </w:tcPr>
          <w:p>
            <w:pPr>
              <w:pStyle w:val="Compact"/>
              <w:bidi/>
            </w:pPr>
            <w:r>
              <w:rPr>
                <w:rtl/>
              </w:rPr>
              <w:t xml:space="preserve">التحقق الآلي يمنع الرصيد السالب</w:t>
            </w:r>
          </w:p>
        </w:tc>
        <w:tc>
          <w:tcPr>
            <w:tcW w:w="973264" w:type="dxa"/>
          </w:tcPr>
          <w:p>
            <w:pPr>
              <w:pStyle w:val="Compact"/>
              <w:bidi/>
            </w:pPr>
            <w:r>
              <w:rPr>
                <w:rtl/>
              </w:rPr>
              <w:t xml:space="preserve">تخفيض الأخطاء أكثر من 90%</w:t>
            </w:r>
          </w:p>
        </w:tc>
      </w:tr>
      <w:tr>
        <w:tc>
          <w:tcPr>
            <w:tcW w:w="1084910" w:type="dxa"/>
          </w:tcPr>
          <w:p>
            <w:pPr>
              <w:pStyle w:val="Compact"/>
              <w:bidi/>
            </w:pPr>
            <w:r>
              <w:rPr>
                <w:rtl/>
              </w:rPr>
              <w:t xml:space="preserve">التقارير لرئاسة الإدارة</w:t>
            </w:r>
          </w:p>
        </w:tc>
        <w:tc>
          <w:tcPr>
            <w:tcW w:w="1584891" w:type="dxa"/>
          </w:tcPr>
          <w:p>
            <w:pPr>
              <w:pStyle w:val="Compact"/>
              <w:bidi/>
            </w:pPr>
            <w:r>
              <w:rPr>
                <w:rtl/>
              </w:rPr>
              <w:t xml:space="preserve">يدوية — ساعة أو أكثر</w:t>
            </w:r>
          </w:p>
        </w:tc>
        <w:tc>
          <w:tcPr>
            <w:tcW w:w="1516933" w:type="dxa"/>
          </w:tcPr>
          <w:p>
            <w:pPr>
              <w:pStyle w:val="Compact"/>
              <w:bidi/>
            </w:pPr>
            <w:r>
              <w:rPr>
                <w:rtl/>
              </w:rPr>
              <w:t xml:space="preserve">PDF تلقائي بنقرة واحدة</w:t>
            </w:r>
          </w:p>
        </w:tc>
        <w:tc>
          <w:tcPr>
            <w:tcW w:w="973264" w:type="dxa"/>
          </w:tcPr>
          <w:p>
            <w:pPr>
              <w:pStyle w:val="Compact"/>
              <w:bidi/>
            </w:pPr>
            <w:r>
              <w:rPr>
                <w:rtl/>
              </w:rPr>
              <w:t xml:space="preserve">تخفيض 98%</w:t>
            </w:r>
          </w:p>
        </w:tc>
      </w:tr>
      <w:tr>
        <w:tc>
          <w:tcPr>
            <w:tcW w:w="1084910" w:type="dxa"/>
          </w:tcPr>
          <w:p>
            <w:pPr>
              <w:pStyle w:val="Compact"/>
              <w:bidi/>
            </w:pPr>
            <w:r>
              <w:rPr>
                <w:rtl/>
              </w:rPr>
              <w:t xml:space="preserve">تكلفة التطبيق</w:t>
            </w:r>
          </w:p>
        </w:tc>
        <w:tc>
          <w:tcPr>
            <w:tcW w:w="1584891" w:type="dxa"/>
          </w:tcPr>
          <w:p>
            <w:pPr>
              <w:pStyle w:val="Compact"/>
              <w:bidi/>
            </w:pPr>
            <w:r>
              <w:rPr>
                <w:rtl/>
              </w:rPr>
              <w:t xml:space="preserve">—</w:t>
            </w:r>
          </w:p>
        </w:tc>
        <w:tc>
          <w:tcPr>
            <w:tcW w:w="1516933" w:type="dxa"/>
          </w:tcPr>
          <w:p>
            <w:pPr>
              <w:pStyle w:val="Compact"/>
              <w:bidi/>
            </w:pPr>
            <w:r>
              <w:rPr>
                <w:rtl/>
              </w:rPr>
              <w:t xml:space="preserve">صفر دج (Office موجود مسبقاً)</w:t>
            </w:r>
          </w:p>
        </w:tc>
        <w:tc>
          <w:tcPr>
            <w:tcW w:w="973264" w:type="dxa"/>
          </w:tcPr>
          <w:p>
            <w:pPr>
              <w:pStyle w:val="Compact"/>
              <w:bidi/>
            </w:pPr>
            <w:r>
              <w:rPr>
                <w:rtl/>
              </w:rPr>
              <w:t xml:space="preserve">بدون ميزانية إضافية</w:t>
            </w:r>
          </w:p>
        </w:tc>
      </w:tr>
    </w:tbl>
    <w:p>
      <w:pPr>
        <w:bidi/>
      </w:pPr>
      <w:r>
        <w:rPr>
          <w:rtl/>
        </w:rPr>
        <w:t xml:space="preserve">المصدر: إعداد الطالب — ملاحظة ميدانية مباشرة + قياسات نظام ERP_Académie_v13.3 | فيفري–مارس 2026 تُثبت هذه النتائج أن نظام دعم القرار حقَّق تحسينات ملموسة وقابلة للقياس في كل مؤشرات الأداء التشغيلية المُرصَدة.</w:t>
      </w:r>
    </w:p>
    <w:bookmarkEnd w:id="132"/>
    <w:bookmarkStart w:id="133" w:name="التحقق-من-صحة-فرضيات-البحث"/>
    <w:p>
      <w:pPr>
        <w:pStyle w:val="Heading3"/>
        <w:bidi/>
      </w:pPr>
      <w:r>
        <w:rPr>
          <w:rtl/>
        </w:rPr>
        <w:t xml:space="preserve">2. التحقق من صحة فرضيات البحث</w:t>
      </w:r>
    </w:p>
    <w:p>
      <w:pPr>
        <w:bidi/>
      </w:pPr>
      <w:r>
        <w:rPr>
          <w:rtl/>
        </w:rPr>
        <w:t xml:space="preserve">ترتكز المذكرة على فرضيتين صِيغتا في المقدمة العامة كإجابات مؤقتة للتساؤل الرئيسي. يُقيِّم الجدول أدناه صحة كلٍّ منهما في ضوء المعطيات الميدانية:</w:t>
      </w:r>
      <w:r>
        <w:rPr>
          <w:rtl/>
        </w:rPr>
        <w:t xml:space="preserve"> </w:t>
      </w:r>
      <w:r>
        <w:rPr>
          <w:b/>
          <w:bCs/>
          <w:rtl/>
        </w:rPr>
        <w:t xml:space="preserve">الجدول رقم 07: — نتائج التحقق من فرضيتَي البحث — الدليل الميداني</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991570" w:type="dxa"/>
          </w:tcPr>
          <w:p>
            <w:pPr>
              <w:pStyle w:val="Compact"/>
              <w:bidi/>
            </w:pPr>
            <w:r>
              <w:rPr>
                <w:rtl/>
              </w:rPr>
              <w:t xml:space="preserve">الفرضية</w:t>
            </w:r>
          </w:p>
        </w:tc>
        <w:tc>
          <w:tcPr>
            <w:tcW w:w="1325806" w:type="dxa"/>
          </w:tcPr>
          <w:p>
            <w:pPr>
              <w:pStyle w:val="Compact"/>
              <w:bidi/>
            </w:pPr>
            <w:r>
              <w:rPr>
                <w:rtl/>
              </w:rPr>
              <w:t xml:space="preserve">الصياغة</w:t>
            </w:r>
          </w:p>
        </w:tc>
        <w:tc>
          <w:tcPr>
            <w:tcW w:w="2370607" w:type="dxa"/>
          </w:tcPr>
          <w:p>
            <w:pPr>
              <w:pStyle w:val="Compact"/>
              <w:bidi/>
            </w:pPr>
            <w:r>
              <w:rPr>
                <w:rtl/>
              </w:rPr>
              <w:t xml:space="preserve">الدليل الميداني</w:t>
            </w:r>
          </w:p>
        </w:tc>
        <w:tc>
          <w:tcPr>
            <w:tcW w:w="472015" w:type="dxa"/>
          </w:tcPr>
          <w:p>
            <w:pPr>
              <w:pStyle w:val="Compact"/>
              <w:bidi/>
            </w:pPr>
            <w:r>
              <w:rPr>
                <w:rtl/>
              </w:rPr>
              <w:t xml:space="preserve">النتيجة</w:t>
            </w:r>
          </w:p>
        </w:tc>
      </w:tr>
      <w:tr>
        <w:tc>
          <w:tcPr>
            <w:tcW w:w="991570" w:type="dxa"/>
          </w:tcPr>
          <w:p>
            <w:pPr>
              <w:pStyle w:val="Compact"/>
              <w:bidi/>
            </w:pPr>
            <w:r>
              <w:rPr>
                <w:rtl/>
              </w:rPr>
              <w:t xml:space="preserve">الفرضية الأولى</w:t>
            </w:r>
          </w:p>
        </w:tc>
        <w:tc>
          <w:tcPr>
            <w:tcW w:w="1325806" w:type="dxa"/>
          </w:tcPr>
          <w:p>
            <w:pPr>
              <w:pStyle w:val="Compact"/>
              <w:bidi/>
            </w:pPr>
            <w:r>
              <w:rPr>
                <w:rtl/>
              </w:rPr>
              <w:t xml:space="preserve">غياب آليات التنبيه الآلي هو السبب الجذري لتكرار نفاد المخزون</w:t>
            </w:r>
          </w:p>
        </w:tc>
        <w:tc>
          <w:tcPr>
            <w:tcW w:w="2370607" w:type="dxa"/>
          </w:tcPr>
          <w:p>
            <w:pPr>
              <w:pStyle w:val="Compact"/>
              <w:bidi/>
            </w:pPr>
            <w:r>
              <w:rPr>
                <w:rtl/>
              </w:rPr>
              <w:t xml:space="preserve">نفاد خرطوشة Toner G030 (ART-001) في فيفري 2026 قبيل حاجة ملحّة — بعد التطبيق: تنبيه مُسبَق بأسبوع عبر</w:t>
            </w:r>
            <w:r>
              <w:rPr>
                <w:rtl/>
              </w:rPr>
              <w:t xml:space="preserve"> </w:t>
            </w:r>
            <w:r>
              <w:rPr>
                <w:rtl/>
              </w:rPr>
              <w:t xml:space="preserve">‘COMMANDER’</w:t>
            </w:r>
          </w:p>
        </w:tc>
        <w:tc>
          <w:tcPr>
            <w:tcW w:w="472015" w:type="dxa"/>
          </w:tcPr>
          <w:p>
            <w:pPr>
              <w:pStyle w:val="Compact"/>
              <w:bidi/>
            </w:pPr>
            <w:r>
              <w:rPr>
                <w:rtl/>
              </w:rPr>
              <w:t xml:space="preserve">✓ مُثبَتة</w:t>
            </w:r>
          </w:p>
        </w:tc>
      </w:tr>
      <w:tr>
        <w:tc>
          <w:tcPr>
            <w:tcW w:w="991570" w:type="dxa"/>
          </w:tcPr>
          <w:p>
            <w:pPr>
              <w:pStyle w:val="Compact"/>
              <w:bidi/>
            </w:pPr>
            <w:r>
              <w:rPr>
                <w:rtl/>
              </w:rPr>
              <w:t xml:space="preserve">الفرضية الثانية</w:t>
            </w:r>
          </w:p>
        </w:tc>
        <w:tc>
          <w:tcPr>
            <w:tcW w:w="1325806" w:type="dxa"/>
          </w:tcPr>
          <w:p>
            <w:pPr>
              <w:pStyle w:val="Compact"/>
              <w:bidi/>
            </w:pPr>
            <w:r>
              <w:rPr>
                <w:rtl/>
              </w:rPr>
              <w:t xml:space="preserve">نظام دعم القرار يُحسِّن دقة التتبع ويُقلِّص وقت معالجة الطلبيات</w:t>
            </w:r>
          </w:p>
        </w:tc>
        <w:tc>
          <w:tcPr>
            <w:tcW w:w="2370607" w:type="dxa"/>
          </w:tcPr>
          <w:p>
            <w:pPr>
              <w:pStyle w:val="Compact"/>
              <w:bidi/>
            </w:pPr>
            <w:r>
              <w:rPr>
                <w:rtl/>
              </w:rPr>
              <w:t xml:space="preserve">تخفيض وقت معالجة الطلبية بأكثر من 99.7%، وتقليص مدة الجرد بأكثر من 60%، وإلغاء 6 تنبيهات خاطئة من 7 بعد تصحيح ROP الفردي</w:t>
            </w:r>
          </w:p>
        </w:tc>
        <w:tc>
          <w:tcPr>
            <w:tcW w:w="472015" w:type="dxa"/>
          </w:tcPr>
          <w:p>
            <w:pPr>
              <w:pStyle w:val="Compact"/>
              <w:bidi/>
            </w:pPr>
            <w:r>
              <w:rPr>
                <w:rtl/>
              </w:rPr>
              <w:t xml:space="preserve">✓ مُثبَتة</w:t>
            </w:r>
          </w:p>
        </w:tc>
      </w:tr>
      <w:tr>
        <w:tc>
          <w:tcPr>
            <w:tcW w:w="991570" w:type="dxa"/>
          </w:tcPr>
          <w:p>
            <w:pPr>
              <w:pStyle w:val="Compact"/>
              <w:bidi/>
            </w:pPr>
            <w:r>
              <w:rPr>
                <w:rtl/>
              </w:rPr>
              <w:t xml:space="preserve">*المصدر: إعداد الطالب — تحليل بيانات ERP_Académie_v13.3</w:t>
            </w:r>
          </w:p>
        </w:tc>
        <w:tc>
          <w:tcPr>
            <w:tcW w:w="1325806" w:type="dxa"/>
          </w:tcPr>
          <w:p>
            <w:pPr>
              <w:pStyle w:val="Compact"/>
              <w:bidi/>
            </w:pPr>
            <w:r>
              <w:rPr>
                <w:rtl/>
              </w:rPr>
              <w:t xml:space="preserve">مارس 2026*</w:t>
            </w:r>
          </w:p>
        </w:tc>
        <w:tc>
          <w:tcPr>
            <w:tcW w:w="2370607" w:type="dxa"/>
          </w:tcPr>
          <w:p>
            <w:pPr>
              <w:pStyle w:val="Compact"/>
            </w:pPr>
          </w:p>
        </w:tc>
        <w:tc>
          <w:tcPr>
            <w:tcW w:w="472015" w:type="dxa"/>
          </w:tcPr>
          <w:p>
            <w:pPr>
              <w:pStyle w:val="Compact"/>
            </w:pPr>
          </w:p>
        </w:tc>
      </w:tr>
    </w:tbl>
    <w:bookmarkEnd w:id="133"/>
    <w:bookmarkStart w:id="134" w:name="التحليل-التفصيلي-لمؤشرات-الأداء"/>
    <w:p>
      <w:pPr>
        <w:pStyle w:val="Heading3"/>
        <w:bidi/>
      </w:pPr>
      <w:r>
        <w:rPr>
          <w:rtl/>
        </w:rPr>
        <w:t xml:space="preserve">3. التحليل التفصيلي لمؤشرات الأداء</w:t>
      </w:r>
    </w:p>
    <w:p>
      <w:pPr>
        <w:bidi/>
      </w:pPr>
      <w:r>
        <w:rPr>
          <w:rtl/>
        </w:rPr>
        <w:t xml:space="preserve">بناءً على البيانات الواردة في الجدول رقم (06)، يمكن تحليل الأثر النوعي لكل مؤشر على النحو التالي:</w:t>
      </w:r>
      <w:r>
        <w:rPr>
          <w:rtl/>
        </w:rPr>
        <w:t xml:space="preserve"> </w:t>
      </w:r>
      <w:r>
        <w:rPr>
          <w:rtl/>
        </w:rPr>
        <w:t xml:space="preserve">-</w:t>
      </w:r>
      <w:r>
        <w:rPr>
          <w:rtl/>
        </w:rPr>
        <w:t xml:space="preserve"> </w:t>
      </w:r>
      <w:r>
        <w:rPr>
          <w:b/>
          <w:bCs/>
          <w:rtl/>
        </w:rPr>
        <w:t xml:space="preserve">كفاءة الوقت: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r>
        <w:rPr>
          <w:rtl/>
        </w:rPr>
        <w:t xml:space="preserve"> </w:t>
      </w:r>
      <w:r>
        <w:rPr>
          <w:rtl/>
        </w:rPr>
        <w:t xml:space="preserve">-</w:t>
      </w:r>
      <w:r>
        <w:rPr>
          <w:rtl/>
        </w:rPr>
        <w:t xml:space="preserve"> </w:t>
      </w:r>
      <w:r>
        <w:rPr>
          <w:b/>
          <w:bCs/>
          <w:rtl/>
        </w:rPr>
        <w:t xml:space="preserve">الاستجابة الاستباقية: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r>
        <w:rPr>
          <w:rtl/>
        </w:rPr>
        <w:t xml:space="preserve"> </w:t>
      </w:r>
      <w:r>
        <w:rPr>
          <w:rtl/>
        </w:rPr>
        <w:t xml:space="preserve">-</w:t>
      </w:r>
      <w:r>
        <w:rPr>
          <w:rtl/>
        </w:rPr>
        <w:t xml:space="preserve"> </w:t>
      </w:r>
      <w:r>
        <w:rPr>
          <w:b/>
          <w:bCs/>
          <w:rtl/>
        </w:rPr>
        <w:t xml:space="preserve">دقة البيانات والرقابة: بفضل آليات التحقق في محرك VBA، تم تقليص أخطاء الإدخال بنسبة تتجاوز 90%، مما جعل التقارير المستخرجة مرجعاً موثوقاً لاتخاذ القرارات المالية.</w:t>
      </w:r>
      <w:r>
        <w:rPr>
          <w:rtl/>
        </w:rPr>
        <w:t xml:space="preserve"> </w:t>
      </w:r>
      <w:r>
        <w:rPr>
          <w:rtl/>
        </w:rPr>
        <w:t xml:space="preserve">-</w:t>
      </w:r>
      <w:r>
        <w:rPr>
          <w:rtl/>
        </w:rPr>
        <w:t xml:space="preserve"> </w:t>
      </w:r>
      <w:r>
        <w:rPr>
          <w:b/>
          <w:bCs/>
          <w:rtl/>
        </w:rPr>
        <w:t xml:space="preserve">التكلفة والجدوى: أثبتت النتائج أن الرقمنة لم تتطلب أي استثمارات رأسمالية جديدة، حيث تم استغلال البنية التحتية الموجودة، مما يحقق أعلى عائد على الاستثمار.</w:t>
      </w:r>
    </w:p>
    <w:bookmarkEnd w:id="134"/>
    <w:bookmarkStart w:id="135" w:name="التقييم-الإحصائي-لمؤشرات-الأداء"/>
    <w:p>
      <w:pPr>
        <w:pStyle w:val="Heading3"/>
        <w:bidi/>
      </w:pPr>
      <w:r>
        <w:rPr>
          <w:rtl/>
        </w:rPr>
        <w:t xml:space="preserve">4. التقييم الإحصائي لمؤشرات الأداء</w:t>
      </w:r>
    </w:p>
    <w:p>
      <w:pPr>
        <w:bidi/>
      </w:pPr>
      <w:r>
        <w:rPr>
          <w:rtl/>
        </w:rPr>
        <w:t xml:space="preserve">لإعطاء صورة أكثر دقة عن حجم التحسُّن، يُقدِّم الجدول أدناه مقارنة عددية مباشرة بين الوضعين السابق واللاحق:</w:t>
      </w:r>
      <w:r>
        <w:rPr>
          <w:rtl/>
        </w:rPr>
        <w:t xml:space="preserve"> </w:t>
      </w:r>
      <w:r>
        <w:rPr>
          <w:b/>
          <w:bCs/>
          <w:rtl/>
        </w:rPr>
        <w:t xml:space="preserve">الجدول رقم 08: — مقارنة عددية مباشرة قبل وبعد التطبيق</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2792579" w:type="dxa"/>
          </w:tcPr>
          <w:p>
            <w:pPr>
              <w:pStyle w:val="Compact"/>
              <w:bidi/>
            </w:pPr>
            <w:r>
              <w:rPr>
                <w:rtl/>
              </w:rPr>
              <w:t xml:space="preserve">مؤشر الأداء</w:t>
            </w:r>
          </w:p>
        </w:tc>
        <w:tc>
          <w:tcPr>
            <w:tcW w:w="672910" w:type="dxa"/>
          </w:tcPr>
          <w:p>
            <w:pPr>
              <w:pStyle w:val="Compact"/>
              <w:bidi/>
            </w:pPr>
            <w:r>
              <w:rPr>
                <w:rtl/>
              </w:rPr>
              <w:t xml:space="preserve">قبل التطبيق</w:t>
            </w:r>
          </w:p>
        </w:tc>
        <w:tc>
          <w:tcPr>
            <w:tcW w:w="997131" w:type="dxa"/>
          </w:tcPr>
          <w:p>
            <w:pPr>
              <w:pStyle w:val="Compact"/>
              <w:bidi/>
            </w:pPr>
            <w:r>
              <w:rPr>
                <w:rtl/>
              </w:rPr>
              <w:t xml:space="preserve">بعد التطبيق</w:t>
            </w:r>
          </w:p>
        </w:tc>
        <w:tc>
          <w:tcPr>
            <w:tcW w:w="697379" w:type="dxa"/>
          </w:tcPr>
          <w:p>
            <w:pPr>
              <w:pStyle w:val="Compact"/>
              <w:bidi/>
            </w:pPr>
            <w:r>
              <w:rPr>
                <w:rtl/>
              </w:rPr>
              <w:t xml:space="preserve">نسبة التحسُّن</w:t>
            </w:r>
          </w:p>
        </w:tc>
      </w:tr>
      <w:tr>
        <w:tc>
          <w:tcPr>
            <w:tcW w:w="2792579" w:type="dxa"/>
          </w:tcPr>
          <w:p>
            <w:pPr>
              <w:pStyle w:val="Compact"/>
              <w:bidi/>
            </w:pPr>
            <w:r>
              <w:rPr>
                <w:rtl/>
              </w:rPr>
              <w:t xml:space="preserve">زمن معالجة الطلبية الواحدة</w:t>
            </w:r>
          </w:p>
        </w:tc>
        <w:tc>
          <w:tcPr>
            <w:tcW w:w="672910" w:type="dxa"/>
          </w:tcPr>
          <w:p>
            <w:pPr>
              <w:pStyle w:val="Compact"/>
              <w:bidi/>
            </w:pPr>
            <w:r>
              <w:rPr>
                <w:rtl/>
              </w:rPr>
              <w:t xml:space="preserve">20–30 دقيقة</w:t>
            </w:r>
          </w:p>
        </w:tc>
        <w:tc>
          <w:tcPr>
            <w:tcW w:w="997131" w:type="dxa"/>
          </w:tcPr>
          <w:p>
            <w:pPr>
              <w:pStyle w:val="Compact"/>
              <w:bidi/>
            </w:pPr>
            <w:r>
              <w:rPr>
                <w:rtl/>
              </w:rPr>
              <w:t xml:space="preserve">أقل من 5 ثوانٍ</w:t>
            </w:r>
          </w:p>
        </w:tc>
        <w:tc>
          <w:tcPr>
            <w:tcW w:w="697379" w:type="dxa"/>
          </w:tcPr>
          <w:p>
            <w:pPr>
              <w:pStyle w:val="Compact"/>
              <w:bidi/>
            </w:pPr>
            <w:r>
              <w:rPr>
                <w:rtl/>
              </w:rPr>
              <w:t xml:space="preserve">99.7%</w:t>
            </w:r>
          </w:p>
        </w:tc>
      </w:tr>
      <w:tr>
        <w:tc>
          <w:tcPr>
            <w:tcW w:w="2792579" w:type="dxa"/>
          </w:tcPr>
          <w:p>
            <w:pPr>
              <w:pStyle w:val="Compact"/>
              <w:bidi/>
            </w:pPr>
            <w:r>
              <w:rPr>
                <w:rtl/>
              </w:rPr>
              <w:t xml:space="preserve">مدة الجرد الفصلي</w:t>
            </w:r>
          </w:p>
        </w:tc>
        <w:tc>
          <w:tcPr>
            <w:tcW w:w="672910" w:type="dxa"/>
          </w:tcPr>
          <w:p>
            <w:pPr>
              <w:pStyle w:val="Compact"/>
              <w:bidi/>
            </w:pPr>
            <w:r>
              <w:rPr>
                <w:rtl/>
              </w:rPr>
              <w:t xml:space="preserve">4 أيام</w:t>
            </w:r>
          </w:p>
        </w:tc>
        <w:tc>
          <w:tcPr>
            <w:tcW w:w="997131" w:type="dxa"/>
          </w:tcPr>
          <w:p>
            <w:pPr>
              <w:pStyle w:val="Compact"/>
              <w:bidi/>
            </w:pPr>
            <w:r>
              <w:rPr>
                <w:rtl/>
              </w:rPr>
              <w:t xml:space="preserve">1.5 يوم</w:t>
            </w:r>
          </w:p>
        </w:tc>
        <w:tc>
          <w:tcPr>
            <w:tcW w:w="697379" w:type="dxa"/>
          </w:tcPr>
          <w:p>
            <w:pPr>
              <w:pStyle w:val="Compact"/>
              <w:bidi/>
            </w:pPr>
            <w:r>
              <w:rPr>
                <w:rtl/>
              </w:rPr>
              <w:t xml:space="preserve">62.5%</w:t>
            </w:r>
          </w:p>
        </w:tc>
      </w:tr>
      <w:tr>
        <w:tc>
          <w:tcPr>
            <w:tcW w:w="2792579" w:type="dxa"/>
          </w:tcPr>
          <w:p>
            <w:pPr>
              <w:pStyle w:val="Compact"/>
              <w:bidi/>
            </w:pPr>
            <w:r>
              <w:rPr>
                <w:rtl/>
              </w:rPr>
              <w:t xml:space="preserve">سرعة اكتشاف النفاد</w:t>
            </w:r>
          </w:p>
        </w:tc>
        <w:tc>
          <w:tcPr>
            <w:tcW w:w="672910" w:type="dxa"/>
          </w:tcPr>
          <w:p>
            <w:pPr>
              <w:pStyle w:val="Compact"/>
              <w:bidi/>
            </w:pPr>
            <w:r>
              <w:rPr>
                <w:rtl/>
              </w:rPr>
              <w:t xml:space="preserve">عند حدوثه فقط</w:t>
            </w:r>
          </w:p>
        </w:tc>
        <w:tc>
          <w:tcPr>
            <w:tcW w:w="997131" w:type="dxa"/>
          </w:tcPr>
          <w:p>
            <w:pPr>
              <w:pStyle w:val="Compact"/>
              <w:bidi/>
            </w:pPr>
            <w:r>
              <w:rPr>
                <w:rtl/>
              </w:rPr>
              <w:t xml:space="preserve">قبل أسبوع من حدوثه</w:t>
            </w:r>
          </w:p>
        </w:tc>
        <w:tc>
          <w:tcPr>
            <w:tcW w:w="697379" w:type="dxa"/>
          </w:tcPr>
          <w:p>
            <w:pPr>
              <w:pStyle w:val="Compact"/>
              <w:bidi/>
            </w:pPr>
            <w:r>
              <w:rPr>
                <w:rtl/>
              </w:rPr>
              <w:t xml:space="preserve">—</w:t>
            </w:r>
          </w:p>
        </w:tc>
      </w:tr>
      <w:tr>
        <w:tc>
          <w:tcPr>
            <w:tcW w:w="2792579" w:type="dxa"/>
          </w:tcPr>
          <w:p>
            <w:pPr>
              <w:pStyle w:val="Compact"/>
              <w:bidi/>
            </w:pPr>
            <w:r>
              <w:rPr>
                <w:rtl/>
              </w:rPr>
              <w:t xml:space="preserve">دقة المطابقة (دفتري/فيزيائي)</w:t>
            </w:r>
          </w:p>
        </w:tc>
        <w:tc>
          <w:tcPr>
            <w:tcW w:w="672910" w:type="dxa"/>
          </w:tcPr>
          <w:p>
            <w:pPr>
              <w:pStyle w:val="Compact"/>
              <w:bidi/>
            </w:pPr>
            <w:r>
              <w:rPr>
                <w:rtl/>
              </w:rPr>
              <w:t xml:space="preserve">~85%</w:t>
            </w:r>
          </w:p>
        </w:tc>
        <w:tc>
          <w:tcPr>
            <w:tcW w:w="997131" w:type="dxa"/>
          </w:tcPr>
          <w:p>
            <w:pPr>
              <w:pStyle w:val="Compact"/>
              <w:bidi/>
            </w:pPr>
            <w:r>
              <w:rPr>
                <w:rtl/>
              </w:rPr>
              <w:t xml:space="preserve">~99.7%</w:t>
            </w:r>
          </w:p>
        </w:tc>
        <w:tc>
          <w:tcPr>
            <w:tcW w:w="697379" w:type="dxa"/>
          </w:tcPr>
          <w:p>
            <w:pPr>
              <w:pStyle w:val="Compact"/>
              <w:bidi/>
            </w:pPr>
            <w:r>
              <w:rPr>
                <w:rtl/>
              </w:rPr>
              <w:t xml:space="preserve">14.7 نقطة مئوية</w:t>
            </w:r>
          </w:p>
        </w:tc>
      </w:tr>
      <w:tr>
        <w:tc>
          <w:tcPr>
            <w:tcW w:w="2792579" w:type="dxa"/>
          </w:tcPr>
          <w:p>
            <w:pPr>
              <w:pStyle w:val="Compact"/>
              <w:bidi/>
            </w:pPr>
            <w:r>
              <w:rPr>
                <w:rtl/>
              </w:rPr>
              <w:t xml:space="preserve">عدد التنبيهات الخاطئة شهرياً</w:t>
            </w:r>
          </w:p>
        </w:tc>
        <w:tc>
          <w:tcPr>
            <w:tcW w:w="672910" w:type="dxa"/>
          </w:tcPr>
          <w:p>
            <w:pPr>
              <w:pStyle w:val="Compact"/>
              <w:bidi/>
            </w:pPr>
            <w:r>
              <w:rPr>
                <w:rtl/>
              </w:rPr>
              <w:t xml:space="preserve">7</w:t>
            </w:r>
          </w:p>
        </w:tc>
        <w:tc>
          <w:tcPr>
            <w:tcW w:w="997131" w:type="dxa"/>
          </w:tcPr>
          <w:p>
            <w:pPr>
              <w:pStyle w:val="Compact"/>
              <w:bidi/>
            </w:pPr>
            <w:r>
              <w:rPr>
                <w:rtl/>
              </w:rPr>
              <w:t xml:space="preserve">1 (بعد ضبط ROP الفردي)</w:t>
            </w:r>
          </w:p>
        </w:tc>
        <w:tc>
          <w:tcPr>
            <w:tcW w:w="697379" w:type="dxa"/>
          </w:tcPr>
          <w:p>
            <w:pPr>
              <w:pStyle w:val="Compact"/>
              <w:bidi/>
            </w:pPr>
            <w:r>
              <w:rPr>
                <w:rtl/>
              </w:rPr>
              <w:t xml:space="preserve">85.7%</w:t>
            </w:r>
          </w:p>
        </w:tc>
      </w:tr>
      <w:tr>
        <w:tc>
          <w:tcPr>
            <w:tcW w:w="2792579" w:type="dxa"/>
          </w:tcPr>
          <w:p>
            <w:pPr>
              <w:pStyle w:val="Compact"/>
              <w:bidi/>
            </w:pPr>
            <w:r>
              <w:rPr>
                <w:rtl/>
              </w:rPr>
              <w:t xml:space="preserve">زمن البحث عن حركة تاريخية</w:t>
            </w:r>
          </w:p>
        </w:tc>
        <w:tc>
          <w:tcPr>
            <w:tcW w:w="672910" w:type="dxa"/>
          </w:tcPr>
          <w:p>
            <w:pPr>
              <w:pStyle w:val="Compact"/>
              <w:bidi/>
            </w:pPr>
            <w:r>
              <w:rPr>
                <w:rtl/>
              </w:rPr>
              <w:t xml:space="preserve">30-45 دقيقة</w:t>
            </w:r>
          </w:p>
        </w:tc>
        <w:tc>
          <w:tcPr>
            <w:tcW w:w="997131" w:type="dxa"/>
          </w:tcPr>
          <w:p>
            <w:pPr>
              <w:pStyle w:val="Compact"/>
              <w:bidi/>
            </w:pPr>
            <w:r>
              <w:rPr>
                <w:rtl/>
              </w:rPr>
              <w:t xml:space="preserve">&lt; 1 دقيقة</w:t>
            </w:r>
          </w:p>
        </w:tc>
        <w:tc>
          <w:tcPr>
            <w:tcW w:w="697379" w:type="dxa"/>
          </w:tcPr>
          <w:p>
            <w:pPr>
              <w:pStyle w:val="Compact"/>
              <w:bidi/>
            </w:pPr>
            <w:r>
              <w:rPr>
                <w:rtl/>
              </w:rPr>
              <w:t xml:space="preserve">97%</w:t>
            </w:r>
          </w:p>
        </w:tc>
      </w:tr>
      <w:tr>
        <w:tc>
          <w:tcPr>
            <w:tcW w:w="2792579" w:type="dxa"/>
          </w:tcPr>
          <w:p>
            <w:pPr>
              <w:pStyle w:val="Compact"/>
              <w:bidi/>
            </w:pPr>
            <w:r>
              <w:rPr>
                <w:rtl/>
              </w:rPr>
              <w:t xml:space="preserve">عدد حالات النفاد السنوي (المواد A)</w:t>
            </w:r>
          </w:p>
        </w:tc>
        <w:tc>
          <w:tcPr>
            <w:tcW w:w="672910" w:type="dxa"/>
          </w:tcPr>
          <w:p>
            <w:pPr>
              <w:pStyle w:val="Compact"/>
              <w:bidi/>
            </w:pPr>
            <w:r>
              <w:rPr>
                <w:rtl/>
              </w:rPr>
              <w:t xml:space="preserve">3-5 حالات</w:t>
            </w:r>
          </w:p>
        </w:tc>
        <w:tc>
          <w:tcPr>
            <w:tcW w:w="997131" w:type="dxa"/>
          </w:tcPr>
          <w:p>
            <w:pPr>
              <w:pStyle w:val="Compact"/>
              <w:bidi/>
            </w:pPr>
            <w:r>
              <w:rPr>
                <w:rtl/>
              </w:rPr>
              <w:t xml:space="preserve">0</w:t>
            </w:r>
          </w:p>
        </w:tc>
        <w:tc>
          <w:tcPr>
            <w:tcW w:w="697379" w:type="dxa"/>
          </w:tcPr>
          <w:p>
            <w:pPr>
              <w:pStyle w:val="Compact"/>
              <w:bidi/>
            </w:pPr>
            <w:r>
              <w:rPr>
                <w:rtl/>
              </w:rPr>
              <w:t xml:space="preserve">100%</w:t>
            </w:r>
          </w:p>
        </w:tc>
      </w:tr>
      <w:tr>
        <w:tc>
          <w:tcPr>
            <w:tcW w:w="2792579" w:type="dxa"/>
          </w:tcPr>
          <w:p>
            <w:pPr>
              <w:pStyle w:val="Compact"/>
              <w:bidi/>
            </w:pPr>
            <w:r>
              <w:rPr>
                <w:rtl/>
              </w:rPr>
              <w:t xml:space="preserve">*المصدر: إعداد الطالب — قياسات ميدانية قبل وبعد التطبيق</w:t>
            </w:r>
          </w:p>
        </w:tc>
        <w:tc>
          <w:tcPr>
            <w:tcW w:w="672910" w:type="dxa"/>
          </w:tcPr>
          <w:p>
            <w:pPr>
              <w:pStyle w:val="Compact"/>
              <w:bidi/>
            </w:pPr>
            <w:r>
              <w:rPr>
                <w:rtl/>
              </w:rPr>
              <w:t xml:space="preserve">2025/2026*</w:t>
            </w:r>
          </w:p>
        </w:tc>
        <w:tc>
          <w:tcPr>
            <w:tcW w:w="997131" w:type="dxa"/>
          </w:tcPr>
          <w:p>
            <w:pPr>
              <w:pStyle w:val="Compact"/>
            </w:pPr>
          </w:p>
        </w:tc>
        <w:tc>
          <w:tcPr>
            <w:tcW w:w="697379" w:type="dxa"/>
          </w:tcPr>
          <w:p>
            <w:pPr>
              <w:pStyle w:val="Compact"/>
            </w:pPr>
          </w:p>
        </w:tc>
      </w:tr>
    </w:tbl>
    <w:p>
      <w:pPr>
        <w:bidi/>
      </w:pPr>
      <w:r>
        <w:rPr>
          <w:rtl/>
        </w:rPr>
        <w:t xml:space="preserve">يُظهر هذا التقييم الإحصائي أن التحسُّن لم يقتصر على مؤشر واحد، بل شمل كل حلقات دورة التخزين، مما يؤكد التأثير الشامل (Systemic Impact) للحل الرقمي المقترح.</w:t>
      </w:r>
    </w:p>
    <w:bookmarkEnd w:id="135"/>
    <w:bookmarkStart w:id="136" w:name="التحقق-التجريبي-والمصداقية"/>
    <w:p>
      <w:pPr>
        <w:pStyle w:val="Heading3"/>
        <w:bidi/>
      </w:pPr>
      <w:r>
        <w:rPr>
          <w:rtl/>
        </w:rPr>
        <w:t xml:space="preserve">5. التحقق التجريبي والمصداقية</w:t>
      </w:r>
    </w:p>
    <w:p>
      <w:pPr>
        <w:bidi/>
      </w:pPr>
      <w:r>
        <w:rPr>
          <w:rtl/>
        </w:rPr>
        <w:t xml:space="preserve">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bookmarkEnd w:id="136"/>
    <w:bookmarkStart w:id="137" w:name="Xccbafbc0047bdc7ec988da040ea92c932dd07e4"/>
    <w:p>
      <w:pPr>
        <w:pStyle w:val="Heading3"/>
        <w:bidi/>
      </w:pPr>
      <w:r>
        <w:rPr>
          <w:rtl/>
        </w:rPr>
        <w:t xml:space="preserve">6. أمن البيانات والسلامة (Data Security &amp; Integrity)</w:t>
      </w:r>
    </w:p>
    <w:p>
      <w:pPr>
        <w:bidi/>
      </w:pPr>
      <w:r>
        <w:rPr>
          <w:rtl/>
        </w:rPr>
        <w:t xml:space="preserve">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bookmarkEnd w:id="137"/>
    <w:bookmarkStart w:id="138" w:name="الأثر-التشغيلي-العام-operational-impact"/>
    <w:p>
      <w:pPr>
        <w:pStyle w:val="Heading3"/>
        <w:bidi/>
      </w:pPr>
      <w:r>
        <w:rPr>
          <w:rtl/>
        </w:rPr>
        <w:t xml:space="preserve">7. الأثر التشغيلي العام (Operational Impact)</w:t>
      </w:r>
    </w:p>
    <w:p>
      <w:pPr>
        <w:bidi/>
      </w:pPr>
      <w:r>
        <w:rPr>
          <w:rtl/>
        </w:rPr>
        <w:t xml:space="preserve">ختاماً، أحدث تطبيق النظام تحولاً جذرياً في</w:t>
      </w:r>
      <w:r>
        <w:rPr>
          <w:rtl/>
        </w:rPr>
        <w:t xml:space="preserve"> </w:t>
      </w:r>
      <w:r>
        <w:rPr>
          <w:rtl/>
        </w:rPr>
        <w:t xml:space="preserve">“المناخ الإداري”</w:t>
      </w:r>
      <w:r>
        <w:rPr>
          <w:rtl/>
        </w:rPr>
        <w:t xml:space="preserve"> </w:t>
      </w:r>
      <w:r>
        <w:rPr>
          <w:rtl/>
        </w:rPr>
        <w:t xml:space="preserve">لمصلحة المخازن؛ حيث انتقلت المؤسسة من بيئة تعتمد على الذاكرة والاجتهادات الشخصية والمخاطر العالية للنفاد، إلى بيئة تعتمد على</w:t>
      </w:r>
      <w:r>
        <w:rPr>
          <w:rtl/>
        </w:rPr>
        <w:t xml:space="preserve"> </w:t>
      </w:r>
      <w:r>
        <w:rPr>
          <w:rtl/>
        </w:rPr>
        <w:t xml:space="preserve">“الحقيقة الرقمية”</w:t>
      </w:r>
      <w:r>
        <w:rPr>
          <w:rtl/>
        </w:rPr>
        <w:t xml:space="preserve"> </w:t>
      </w:r>
      <w:r>
        <w:rPr>
          <w:rtl/>
        </w:rPr>
        <w:t xml:space="preserve">والشفافية المطلقة. هذا التحول هو الخطوة الأولى والأساسية نحو بناء منظومة لوجيستية رقمية متكاملة تخدم أهداف العملية التربوية بكفاءة واقتدار.</w:t>
      </w:r>
    </w:p>
    <w:bookmarkEnd w:id="138"/>
    <w:bookmarkEnd w:id="139"/>
    <w:bookmarkStart w:id="143" w:name="المبحث-الثاني-التوصيات-وآفاق-البحث"/>
    <w:p>
      <w:pPr>
        <w:pStyle w:val="Heading2"/>
        <w:bidi/>
      </w:pPr>
      <w:r>
        <w:rPr>
          <w:rtl/>
        </w:rPr>
        <w:t xml:space="preserve">المبحث الثاني: التوصيات وآفاق البحث</w:t>
      </w:r>
    </w:p>
    <w:bookmarkStart w:id="140" w:name="التوصيات-المقدمة-لمصلحة-المخازن-والإدارة"/>
    <w:p>
      <w:pPr>
        <w:pStyle w:val="Heading3"/>
        <w:bidi/>
      </w:pPr>
      <w:r>
        <w:rPr>
          <w:rtl/>
        </w:rPr>
        <w:t xml:space="preserve">1. التوصيات المقدَّمة لمصلحة المخازن والإدارة</w:t>
      </w:r>
    </w:p>
    <w:p>
      <w:pPr>
        <w:bidi/>
      </w:pPr>
      <w:r>
        <w:rPr>
          <w:rtl/>
        </w:rPr>
        <w:t xml:space="preserve">بناءً على نتائج الدراسة وتجربة التطبيق الميداني، نُقدِّم التوصيات الأربع الآتية مُصنَّفةً حسب الأفق الزمني:</w:t>
      </w:r>
      <w:r>
        <w:rPr>
          <w:rtl/>
        </w:rPr>
        <w:t xml:space="preserve"> </w:t>
      </w:r>
      <w:r>
        <w:rPr>
          <w:b/>
          <w:bCs/>
          <w:rtl/>
        </w:rPr>
        <w:t xml:space="preserve">الجدول رقم 09: — التوصيات المقدَّمة لمديرية التربية لولاية البيض</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4"/>
        <w:gridCol w:w="1584"/>
        <w:gridCol w:w="1584"/>
        <w:gridCol w:w="1584"/>
        <w:gridCol w:w="1584"/>
      </w:tblGrid>
      <w:tr>
        <w:trPr>
          <w:tblHeader w:val="on"/>
        </w:trPr>
        <w:tc>
          <w:tcPr>
            <w:tcW w:w="1437072" w:type="dxa"/>
          </w:tcPr>
          <w:p>
            <w:pPr>
              <w:pStyle w:val="Compact"/>
              <w:bidi/>
            </w:pPr>
            <w:r>
              <w:rPr>
                <w:rtl/>
              </w:rPr>
              <w:t xml:space="preserve">#</w:t>
            </w:r>
          </w:p>
        </w:tc>
        <w:tc>
          <w:tcPr>
            <w:tcW w:w="1341671" w:type="dxa"/>
          </w:tcPr>
          <w:p>
            <w:pPr>
              <w:pStyle w:val="Compact"/>
              <w:bidi/>
            </w:pPr>
            <w:r>
              <w:rPr>
                <w:rtl/>
              </w:rPr>
              <w:t xml:space="preserve">التوصية</w:t>
            </w:r>
          </w:p>
        </w:tc>
        <w:tc>
          <w:tcPr>
            <w:tcW w:w="488294" w:type="dxa"/>
          </w:tcPr>
          <w:p>
            <w:pPr>
              <w:pStyle w:val="Compact"/>
              <w:bidi/>
            </w:pPr>
            <w:r>
              <w:rPr>
                <w:rtl/>
              </w:rPr>
              <w:t xml:space="preserve">الجهة المعنية</w:t>
            </w:r>
          </w:p>
        </w:tc>
        <w:tc>
          <w:tcPr>
            <w:tcW w:w="569376" w:type="dxa"/>
          </w:tcPr>
          <w:p>
            <w:pPr>
              <w:pStyle w:val="Compact"/>
              <w:bidi/>
            </w:pPr>
            <w:r>
              <w:rPr>
                <w:rtl/>
              </w:rPr>
              <w:t xml:space="preserve">الأفق الزمني</w:t>
            </w:r>
          </w:p>
        </w:tc>
        <w:tc>
          <w:tcPr>
            <w:tcW w:w="1173584" w:type="dxa"/>
          </w:tcPr>
          <w:p>
            <w:pPr>
              <w:pStyle w:val="Compact"/>
              <w:bidi/>
            </w:pPr>
            <w:r>
              <w:rPr>
                <w:rtl/>
              </w:rPr>
              <w:t xml:space="preserve">ملاحظات التنفيذ</w:t>
            </w:r>
          </w:p>
        </w:tc>
      </w:tr>
      <w:tr>
        <w:tc>
          <w:tcPr>
            <w:tcW w:w="1437072" w:type="dxa"/>
          </w:tcPr>
          <w:p>
            <w:pPr>
              <w:pStyle w:val="Compact"/>
              <w:bidi/>
            </w:pPr>
            <w:r>
              <w:rPr>
                <w:rtl/>
              </w:rPr>
              <w:t xml:space="preserve">01</w:t>
            </w:r>
          </w:p>
        </w:tc>
        <w:tc>
          <w:tcPr>
            <w:tcW w:w="1341671" w:type="dxa"/>
          </w:tcPr>
          <w:p>
            <w:pPr>
              <w:pStyle w:val="Compact"/>
              <w:bidi/>
            </w:pPr>
            <w:r>
              <w:rPr>
                <w:rtl/>
              </w:rPr>
              <w:t xml:space="preserve">اعتماد ملف مصلحة المخازن + ERP_Académie_v13.3 رسمياً</w:t>
            </w:r>
          </w:p>
        </w:tc>
        <w:tc>
          <w:tcPr>
            <w:tcW w:w="488294" w:type="dxa"/>
          </w:tcPr>
          <w:p>
            <w:pPr>
              <w:pStyle w:val="Compact"/>
              <w:bidi/>
            </w:pPr>
            <w:r>
              <w:rPr>
                <w:rtl/>
              </w:rPr>
              <w:t xml:space="preserve">المدير</w:t>
            </w:r>
          </w:p>
        </w:tc>
        <w:tc>
          <w:tcPr>
            <w:tcW w:w="569376" w:type="dxa"/>
          </w:tcPr>
          <w:p>
            <w:pPr>
              <w:pStyle w:val="Compact"/>
              <w:bidi/>
            </w:pPr>
            <w:r>
              <w:rPr>
                <w:rtl/>
              </w:rPr>
              <w:t xml:space="preserve">فوري (عند الموافقة)</w:t>
            </w:r>
          </w:p>
        </w:tc>
        <w:tc>
          <w:tcPr>
            <w:tcW w:w="1173584" w:type="dxa"/>
          </w:tcPr>
          <w:p>
            <w:pPr>
              <w:pStyle w:val="Compact"/>
              <w:bidi/>
            </w:pPr>
            <w:r>
              <w:rPr>
                <w:rtl/>
              </w:rPr>
              <w:t xml:space="preserve">يومان تدريب كافيان</w:t>
            </w:r>
          </w:p>
        </w:tc>
      </w:tr>
      <w:tr>
        <w:tc>
          <w:tcPr>
            <w:tcW w:w="1437072" w:type="dxa"/>
          </w:tcPr>
          <w:p>
            <w:pPr>
              <w:pStyle w:val="Compact"/>
              <w:bidi/>
            </w:pPr>
            <w:r>
              <w:rPr>
                <w:rtl/>
              </w:rPr>
              <w:t xml:space="preserve">02</w:t>
            </w:r>
          </w:p>
        </w:tc>
        <w:tc>
          <w:tcPr>
            <w:tcW w:w="1341671" w:type="dxa"/>
          </w:tcPr>
          <w:p>
            <w:pPr>
              <w:pStyle w:val="Compact"/>
              <w:bidi/>
            </w:pPr>
            <w:r>
              <w:rPr>
                <w:rtl/>
              </w:rPr>
              <w:t xml:space="preserve">مراجعة معاملات ويلسون سنوياً</w:t>
            </w:r>
          </w:p>
        </w:tc>
        <w:tc>
          <w:tcPr>
            <w:tcW w:w="488294" w:type="dxa"/>
          </w:tcPr>
          <w:p>
            <w:pPr>
              <w:pStyle w:val="Compact"/>
              <w:bidi/>
            </w:pPr>
            <w:r>
              <w:rPr>
                <w:rtl/>
              </w:rPr>
              <w:t xml:space="preserve">مسؤول المخزن</w:t>
            </w:r>
          </w:p>
        </w:tc>
        <w:tc>
          <w:tcPr>
            <w:tcW w:w="569376" w:type="dxa"/>
          </w:tcPr>
          <w:p>
            <w:pPr>
              <w:pStyle w:val="Compact"/>
              <w:bidi/>
            </w:pPr>
            <w:r>
              <w:rPr>
                <w:rtl/>
              </w:rPr>
              <w:t xml:space="preserve">نهاية كل سنة دراسية</w:t>
            </w:r>
          </w:p>
        </w:tc>
        <w:tc>
          <w:tcPr>
            <w:tcW w:w="1173584" w:type="dxa"/>
          </w:tcPr>
          <w:p>
            <w:pPr>
              <w:pStyle w:val="Compact"/>
              <w:bidi/>
            </w:pPr>
            <w:r>
              <w:rPr>
                <w:rtl/>
              </w:rPr>
              <w:t xml:space="preserve">تحديث D من سجل الحركات الفعلي</w:t>
            </w:r>
          </w:p>
        </w:tc>
      </w:tr>
      <w:tr>
        <w:tc>
          <w:tcPr>
            <w:tcW w:w="1437072" w:type="dxa"/>
          </w:tcPr>
          <w:p>
            <w:pPr>
              <w:pStyle w:val="Compact"/>
              <w:bidi/>
            </w:pPr>
            <w:r>
              <w:rPr>
                <w:rtl/>
              </w:rPr>
              <w:t xml:space="preserve">03</w:t>
            </w:r>
          </w:p>
        </w:tc>
        <w:tc>
          <w:tcPr>
            <w:tcW w:w="1341671" w:type="dxa"/>
          </w:tcPr>
          <w:p>
            <w:pPr>
              <w:pStyle w:val="Compact"/>
              <w:bidi/>
            </w:pPr>
            <w:r>
              <w:rPr>
                <w:rtl/>
              </w:rPr>
              <w:t xml:space="preserve">إنشاء قاعدة بيانات موردين موثَّقة</w:t>
            </w:r>
          </w:p>
        </w:tc>
        <w:tc>
          <w:tcPr>
            <w:tcW w:w="488294" w:type="dxa"/>
          </w:tcPr>
          <w:p>
            <w:pPr>
              <w:pStyle w:val="Compact"/>
              <w:bidi/>
            </w:pPr>
            <w:r>
              <w:rPr>
                <w:rtl/>
              </w:rPr>
              <w:t xml:space="preserve">مصلحة المخازن</w:t>
            </w:r>
          </w:p>
        </w:tc>
        <w:tc>
          <w:tcPr>
            <w:tcW w:w="569376" w:type="dxa"/>
          </w:tcPr>
          <w:p>
            <w:pPr>
              <w:pStyle w:val="Compact"/>
              <w:bidi/>
            </w:pPr>
            <w:r>
              <w:rPr>
                <w:rtl/>
              </w:rPr>
              <w:t xml:space="preserve">خلال 3 أشهر</w:t>
            </w:r>
          </w:p>
        </w:tc>
        <w:tc>
          <w:tcPr>
            <w:tcW w:w="1173584" w:type="dxa"/>
          </w:tcPr>
          <w:p>
            <w:pPr>
              <w:pStyle w:val="Compact"/>
              <w:bidi/>
            </w:pPr>
            <w:r>
              <w:rPr>
                <w:rtl/>
              </w:rPr>
              <w:t xml:space="preserve">تقييم نصف سنوي بنظام التنقيط المُدرج في ERP</w:t>
            </w:r>
          </w:p>
        </w:tc>
      </w:tr>
      <w:tr>
        <w:tc>
          <w:tcPr>
            <w:tcW w:w="1437072" w:type="dxa"/>
          </w:tcPr>
          <w:p>
            <w:pPr>
              <w:pStyle w:val="Compact"/>
              <w:bidi/>
            </w:pPr>
            <w:r>
              <w:rPr>
                <w:rtl/>
              </w:rPr>
              <w:t xml:space="preserve">04</w:t>
            </w:r>
          </w:p>
        </w:tc>
        <w:tc>
          <w:tcPr>
            <w:tcW w:w="1341671" w:type="dxa"/>
          </w:tcPr>
          <w:p>
            <w:pPr>
              <w:pStyle w:val="Compact"/>
              <w:bidi/>
            </w:pPr>
            <w:r>
              <w:rPr>
                <w:rtl/>
              </w:rPr>
              <w:t xml:space="preserve">الانتقال نحو الإدارة العامة (قاعدة بيانات Access أو Odoo)</w:t>
            </w:r>
          </w:p>
        </w:tc>
        <w:tc>
          <w:tcPr>
            <w:tcW w:w="488294" w:type="dxa"/>
          </w:tcPr>
          <w:p>
            <w:pPr>
              <w:pStyle w:val="Compact"/>
              <w:bidi/>
            </w:pPr>
            <w:r>
              <w:rPr>
                <w:rtl/>
              </w:rPr>
              <w:t xml:space="preserve">الإدارة العامة</w:t>
            </w:r>
          </w:p>
        </w:tc>
        <w:tc>
          <w:tcPr>
            <w:tcW w:w="569376" w:type="dxa"/>
          </w:tcPr>
          <w:p>
            <w:pPr>
              <w:pStyle w:val="Compact"/>
              <w:bidi/>
            </w:pPr>
            <w:r>
              <w:rPr>
                <w:rtl/>
              </w:rPr>
              <w:t xml:space="preserve">المدى البعيد (3–5 سنوات)</w:t>
            </w:r>
          </w:p>
        </w:tc>
        <w:tc>
          <w:tcPr>
            <w:tcW w:w="1173584" w:type="dxa"/>
          </w:tcPr>
          <w:p>
            <w:pPr>
              <w:pStyle w:val="Compact"/>
              <w:bidi/>
            </w:pPr>
            <w:r>
              <w:rPr>
                <w:rtl/>
              </w:rPr>
              <w:t xml:space="preserve">استيعاب النمو وتوسيع النطاق للولايات المجاورة</w:t>
            </w:r>
          </w:p>
        </w:tc>
      </w:tr>
      <w:tr>
        <w:tc>
          <w:tcPr>
            <w:tcW w:w="1437072" w:type="dxa"/>
          </w:tcPr>
          <w:p>
            <w:pPr>
              <w:pStyle w:val="Compact"/>
              <w:bidi/>
            </w:pPr>
            <w:r>
              <w:rPr>
                <w:rtl/>
              </w:rPr>
              <w:t xml:space="preserve">*المصدر: إعداد الطالب — مبنيٌّ على نتائج التطبيق الميداني</w:t>
            </w:r>
          </w:p>
        </w:tc>
        <w:tc>
          <w:tcPr>
            <w:tcW w:w="1341671" w:type="dxa"/>
          </w:tcPr>
          <w:p>
            <w:pPr>
              <w:pStyle w:val="Compact"/>
              <w:bidi/>
            </w:pPr>
            <w:r>
              <w:rPr>
                <w:rtl/>
              </w:rPr>
              <w:t xml:space="preserve">مارس 2026*</w:t>
            </w:r>
          </w:p>
        </w:tc>
        <w:tc>
          <w:tcPr>
            <w:tcW w:w="488294" w:type="dxa"/>
          </w:tcPr>
          <w:p>
            <w:pPr>
              <w:pStyle w:val="Compact"/>
            </w:pPr>
          </w:p>
        </w:tc>
        <w:tc>
          <w:tcPr>
            <w:tcW w:w="569376" w:type="dxa"/>
          </w:tcPr>
          <w:p>
            <w:pPr>
              <w:pStyle w:val="Compact"/>
            </w:pPr>
          </w:p>
        </w:tc>
        <w:tc>
          <w:tcPr>
            <w:tcW w:w="1173584" w:type="dxa"/>
          </w:tcPr>
          <w:p>
            <w:pPr>
              <w:pStyle w:val="Compact"/>
            </w:pPr>
          </w:p>
        </w:tc>
      </w:tr>
    </w:tbl>
    <w:bookmarkEnd w:id="140"/>
    <w:bookmarkStart w:id="142" w:name="آفاق-البحث"/>
    <w:p>
      <w:pPr>
        <w:pStyle w:val="Heading3"/>
        <w:bidi/>
      </w:pPr>
      <w:r>
        <w:rPr>
          <w:rtl/>
        </w:rPr>
        <w:t xml:space="preserve">2. آفاق البحث</w:t>
      </w:r>
    </w:p>
    <w:p>
      <w:pPr>
        <w:bidi/>
      </w:pPr>
      <w:r>
        <w:rPr>
          <w:rtl/>
        </w:rPr>
        <w:t xml:space="preserve">تفتح نتائج هذه الدراسة أمام الباحثين ومتخذي القرار في قطاع التربية آفاقاً بحثية عدة يمكن تناولها في أعمال مستقبلية:</w:t>
      </w:r>
      <w:r>
        <w:rPr>
          <w:rtl/>
        </w:rPr>
        <w:t xml:space="preserve"> </w:t>
      </w:r>
      <w:r>
        <w:rPr>
          <w:rtl/>
        </w:rPr>
        <w:t xml:space="preserve">-</w:t>
      </w:r>
      <w:r>
        <w:rPr>
          <w:rtl/>
        </w:rPr>
        <w:t xml:space="preserve"> </w:t>
      </w:r>
      <w:r>
        <w:rPr>
          <w:b/>
          <w:bCs/>
          <w:rtl/>
        </w:rPr>
        <w:t xml:space="preserve">تعميم التجربة: تطبيق النموذج على مديريات التربية في الولايات المجاورة لبناء نموذج معياري مُوحَّد قابل للاعتماد الوطني.</w:t>
      </w:r>
      <w:r>
        <w:rPr>
          <w:rtl/>
        </w:rPr>
        <w:t xml:space="preserve"> </w:t>
      </w:r>
      <w:r>
        <w:rPr>
          <w:rtl/>
        </w:rPr>
        <w:t xml:space="preserve">-</w:t>
      </w:r>
      <w:r>
        <w:rPr>
          <w:rtl/>
        </w:rPr>
        <w:t xml:space="preserve"> </w:t>
      </w:r>
      <w:r>
        <w:rPr>
          <w:b/>
          <w:bCs/>
          <w:rtl/>
        </w:rPr>
        <w:t xml:space="preserve">التكامل الرقمي الكامل: ربط نظام المخزون بمنصة استدعاء إلكتروني للمؤسسات التعليمية، للتخلص التام من الوثائق الورقية وتحقيق التكامل الرقمي في سلسلة التوريد التربوية.</w:t>
      </w:r>
      <w:r>
        <w:rPr>
          <w:rtl/>
        </w:rPr>
        <w:t xml:space="preserve"> </w:t>
      </w:r>
      <w:r>
        <w:rPr>
          <w:rtl/>
        </w:rPr>
        <w:t xml:space="preserve">-</w:t>
      </w:r>
      <w:r>
        <w:rPr>
          <w:rtl/>
        </w:rPr>
        <w:t xml:space="preserve"> </w:t>
      </w:r>
      <w:r>
        <w:rPr>
          <w:b/>
          <w:bCs/>
          <w:rtl/>
        </w:rPr>
        <w:t xml:space="preserve">دراسات مقارنة: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b/>
          <w:bCs/>
          <w:rtl/>
        </w:rPr>
        <w:t xml:space="preserve"> </w:t>
      </w:r>
      <w:r>
        <w:rPr>
          <w:rStyle w:val="FootnoteReference"/>
        </w:rPr>
        <w:footnoteReference w:id="141"/>
      </w:r>
      <w:r>
        <w:rPr>
          <w:rtl/>
        </w:rPr>
        <w:t xml:space="preserve"> </w:t>
      </w:r>
      <w:r>
        <w:rPr>
          <w:rtl/>
        </w:rPr>
        <w:t xml:space="preserve">— نهاية الفصل الرابع —</w:t>
      </w:r>
    </w:p>
    <w:p>
      <w:pPr>
        <w:bidi/>
        <w:sectPr>
          <w:pgNumType w:fmt="lowerRoman" w:start="1"/>
          <w:footnotePr>
            <w:numRestart w:val="eachSect"/>
          </w:footnotePr>
          <w:pgSz w:h="16838" w:w="11906"/>
          <w:pgMar w:bottom="1417" w:left="1417" w:right="1417" w:top="1417"/>
        </w:sectPr>
      </w:pPr>
      <w:r>
        <w:rPr>
          <w:b/>
          <w:bCs/>
          <w:rtl/>
        </w:rPr>
        <w:t xml:space="preserve">الخاتمة العامة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ويلسون ، والمتوسط المرجح — وأنتجت جميعها معطيات تشغيلية مباشرة موثَّقة في الجداول من 04 إلى 09. أما الحل المقترح، فهو نظام ERP_Académie_v13.3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r>
        <w:rPr>
          <w:rtl/>
        </w:rPr>
        <w:t xml:space="preserve"> </w:t>
      </w:r>
      <w:r>
        <w:rPr>
          <w:rtl/>
        </w:rPr>
        <w:t xml:space="preserve">-</w:t>
      </w:r>
      <w:r>
        <w:rPr>
          <w:rtl/>
        </w:rPr>
        <w:t xml:space="preserve"> </w:t>
      </w:r>
      <w:r>
        <w:rPr>
          <w:b/>
          <w:bCs/>
          <w:rtl/>
        </w:rPr>
        <w:t xml:space="preserve">الفرضية الأولى مُثبَتة: غياب آليات التنبيه الآلي هو السبب الجذري لتكرار نفاد المواد الاستراتيجية.</w:t>
      </w:r>
      <w:r>
        <w:rPr>
          <w:rtl/>
        </w:rPr>
        <w:t xml:space="preserve"> </w:t>
      </w:r>
      <w:r>
        <w:rPr>
          <w:rtl/>
        </w:rPr>
        <w:t xml:space="preserve">-</w:t>
      </w:r>
      <w:r>
        <w:rPr>
          <w:rtl/>
        </w:rPr>
        <w:t xml:space="preserve"> </w:t>
      </w:r>
      <w:r>
        <w:rPr>
          <w:b/>
          <w:bCs/>
          <w:rtl/>
        </w:rPr>
        <w:t xml:space="preserve">الفرضية الثانية مُثبَتة: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bookmarkEnd w:id="142"/>
    <w:bookmarkEnd w:id="143"/>
    <w:bookmarkEnd w:id="144"/>
    <w:bookmarkStart w:id="152" w:name="قائمة-المصادر-والمراجع"/>
    <w:p>
      <w:pPr>
        <w:pStyle w:val="Heading1"/>
        <w:bidi/>
      </w:pPr>
      <w:r>
        <w:rPr>
          <w:rtl/>
        </w:rPr>
        <w:t xml:space="preserve">قائمة المصادر والمراجع</w:t>
      </w:r>
    </w:p>
    <w:bookmarkStart w:id="145" w:name="أولا-الكتب-والمراجع-العلمية"/>
    <w:p>
      <w:pPr>
        <w:pStyle w:val="Heading2"/>
        <w:bidi/>
      </w:pPr>
      <w:r>
        <w:rPr>
          <w:rtl/>
        </w:rPr>
        <w:t xml:space="preserve">أولاً: الكتب والمراجع العلمية</w:t>
      </w:r>
    </w:p>
    <w:p>
      <w:pPr>
        <w:pStyle w:val="Compact"/>
        <w:numPr>
          <w:ilvl w:val="0"/>
          <w:numId w:val="1004"/>
        </w:numPr>
        <w:bidi/>
      </w:pPr>
      <w:r>
        <w:rPr>
          <w:b/>
          <w:bCs/>
          <w:rtl/>
        </w:rPr>
        <w:t xml:space="preserve">Chopra, S., &amp; Meindl, P. (2019). Supply Chain Management: Strategy, Planning, and Operation (7th ed.). Pearson.</w:t>
      </w:r>
    </w:p>
    <w:p>
      <w:pPr>
        <w:pStyle w:val="Compact"/>
        <w:numPr>
          <w:ilvl w:val="0"/>
          <w:numId w:val="1004"/>
        </w:numPr>
        <w:bidi/>
      </w:pPr>
      <w:r>
        <w:rPr>
          <w:b/>
          <w:bCs/>
          <w:rtl/>
        </w:rPr>
        <w:t xml:space="preserve">Cooper, M. C., Lambert, D. M., &amp; Pagh, J. D. (1997). Supply Chain Management: More Than a New Name for Logistics. The International Journal of Logistics Management, 8(1), 1–14.</w:t>
      </w:r>
    </w:p>
    <w:p>
      <w:pPr>
        <w:pStyle w:val="Compact"/>
        <w:numPr>
          <w:ilvl w:val="0"/>
          <w:numId w:val="1004"/>
        </w:numPr>
        <w:bidi/>
      </w:pPr>
      <w:r>
        <w:rPr>
          <w:b/>
          <w:bCs/>
          <w:rtl/>
        </w:rPr>
        <w:t xml:space="preserve">Lambert, D. M., &amp; Stock, J. R. (1993). Strategic Logistics Management (3rd ed.). Irwin.</w:t>
      </w:r>
    </w:p>
    <w:p>
      <w:pPr>
        <w:pStyle w:val="Compact"/>
        <w:numPr>
          <w:ilvl w:val="0"/>
          <w:numId w:val="1004"/>
        </w:numPr>
        <w:bidi/>
      </w:pPr>
      <w:r>
        <w:rPr>
          <w:b/>
          <w:bCs/>
          <w:rtl/>
        </w:rPr>
        <w:t xml:space="preserve">Harris, F. W. (1913). How Many Parts to Make at Once. Factory, The Magazine of Management, 10(2), 135–136, 152.</w:t>
      </w:r>
    </w:p>
    <w:p>
      <w:pPr>
        <w:pStyle w:val="Compact"/>
        <w:numPr>
          <w:ilvl w:val="0"/>
          <w:numId w:val="1004"/>
        </w:numPr>
        <w:bidi/>
      </w:pPr>
      <w:r>
        <w:rPr>
          <w:b/>
          <w:bCs/>
          <w:rtl/>
        </w:rPr>
        <w:t xml:space="preserve">Silver, E. A., Pyke, D. F., &amp; Thomas, D. J. (2017). Inventory and Production Management in Supply Chains (4th ed.). Springer.</w:t>
      </w:r>
    </w:p>
    <w:p>
      <w:pPr>
        <w:pStyle w:val="Compact"/>
        <w:numPr>
          <w:ilvl w:val="0"/>
          <w:numId w:val="1004"/>
        </w:numPr>
        <w:bidi/>
      </w:pPr>
      <w:r>
        <w:rPr>
          <w:b/>
          <w:bCs/>
          <w:rtl/>
        </w:rPr>
        <w:t xml:space="preserve">Stock, J. R., &amp; Lambert, D. M. (2001). Strategic Logistics Management (4th ed.). McGraw-Hill.</w:t>
      </w:r>
    </w:p>
    <w:p>
      <w:pPr>
        <w:pStyle w:val="Compact"/>
        <w:numPr>
          <w:ilvl w:val="0"/>
          <w:numId w:val="1004"/>
        </w:numPr>
        <w:bidi/>
      </w:pPr>
      <w:r>
        <w:rPr>
          <w:b/>
          <w:bCs/>
          <w:rtl/>
        </w:rPr>
        <w:t xml:space="preserve">Van Weele, A. J. (2010). Purchasing and Supply Chain Management: Analysis, Strategy, Planning and Practice (5th ed.). Cengage Learning.</w:t>
      </w:r>
    </w:p>
    <w:p>
      <w:pPr>
        <w:pStyle w:val="Compact"/>
        <w:numPr>
          <w:ilvl w:val="0"/>
          <w:numId w:val="1004"/>
        </w:numPr>
        <w:bidi/>
      </w:pPr>
      <w:r>
        <w:rPr>
          <w:b/>
          <w:bCs/>
          <w:rtl/>
        </w:rPr>
        <w:t xml:space="preserve">Vollmann, T. E., Berry, W. L., Whybark, D. C., &amp; Jacobs, F. R. (2005). Manufacturing Planning and Control for Supply Chain Management (5th ed.). McGraw-Hill.</w:t>
      </w:r>
    </w:p>
    <w:p>
      <w:pPr>
        <w:pStyle w:val="Compact"/>
        <w:numPr>
          <w:ilvl w:val="0"/>
          <w:numId w:val="1004"/>
        </w:numPr>
        <w:bidi/>
      </w:pPr>
      <w:r>
        <w:rPr>
          <w:b/>
          <w:bCs/>
          <w:rtl/>
        </w:rPr>
        <w:t xml:space="preserve">Wilson, R. H. (1934). A Scientific Routine for Stock Control. Harvard Business Review, 13(1), 116–128.</w:t>
      </w:r>
    </w:p>
    <w:p>
      <w:pPr>
        <w:pStyle w:val="Compact"/>
        <w:numPr>
          <w:ilvl w:val="0"/>
          <w:numId w:val="1004"/>
        </w:numPr>
        <w:bidi/>
      </w:pPr>
      <w:r>
        <w:rPr>
          <w:b/>
          <w:bCs/>
          <w:rtl/>
        </w:rPr>
        <w:t xml:space="preserve">Zipkin, P. H. (2000). Foundations of Inventory Management. McGraw-Hill.</w:t>
      </w:r>
    </w:p>
    <w:bookmarkEnd w:id="145"/>
    <w:bookmarkStart w:id="146" w:name="ثانيا-الإطار-القانوني-والتنظيمي-الجزائري"/>
    <w:p>
      <w:pPr>
        <w:pStyle w:val="Heading2"/>
        <w:bidi/>
      </w:pPr>
      <w:r>
        <w:rPr>
          <w:rtl/>
        </w:rPr>
        <w:t xml:space="preserve">ثانياً: الإطار القانوني والتنظيمي الجزائري</w:t>
      </w:r>
    </w:p>
    <w:p>
      <w:pPr>
        <w:pStyle w:val="Compact"/>
        <w:numPr>
          <w:ilvl w:val="0"/>
          <w:numId w:val="1005"/>
        </w:numPr>
        <w:bidi/>
      </w:pPr>
      <w:r>
        <w:rPr>
          <w:b/>
          <w:bCs/>
          <w:rtl/>
        </w:rPr>
        <w:t xml:space="preserve">الجمهورية الجزائرية الديمقراطية الشعبية. (2003). الأمر رقم 03-07 المؤرخ في 19 جمادى الأولى 1424 الموافق 19 يوليو 2003 المتعلق ببراءات الاختراع. الجريدة الرسمية.</w:t>
      </w:r>
    </w:p>
    <w:p>
      <w:pPr>
        <w:pStyle w:val="Compact"/>
        <w:numPr>
          <w:ilvl w:val="0"/>
          <w:numId w:val="1005"/>
        </w:numPr>
        <w:bidi/>
      </w:pPr>
      <w:r>
        <w:rPr>
          <w:b/>
          <w:bCs/>
          <w:rtl/>
        </w:rPr>
        <w:t xml:space="preserve">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p>
      <w:pPr>
        <w:pStyle w:val="Compact"/>
        <w:numPr>
          <w:ilvl w:val="0"/>
          <w:numId w:val="1005"/>
        </w:numPr>
        <w:bidi/>
      </w:pPr>
      <w:r>
        <w:rPr>
          <w:b/>
          <w:bCs/>
          <w:rtl/>
        </w:rPr>
        <w:t xml:space="preserve">الجمهورية الجزائرية الديمقراطية الشعبية. (2015). المرسوم الرئاسي رقم 15-247 المؤرخ في 16 سبتمبر 2015 المتعلق بتنظيم الصفقات العمومية وتسييرها. الجريدة الرسمية.</w:t>
      </w:r>
    </w:p>
    <w:p>
      <w:pPr>
        <w:pStyle w:val="Compact"/>
        <w:numPr>
          <w:ilvl w:val="0"/>
          <w:numId w:val="1005"/>
        </w:numPr>
        <w:bidi/>
      </w:pPr>
      <w:r>
        <w:rPr>
          <w:b/>
          <w:bCs/>
          <w:rtl/>
        </w:rPr>
        <w:t xml:space="preserve">الجمهورية الجزائرية الديمقراطية الشعبية. (2020). المرسوم التنفيذي رقم 20-270 المتعلق بتنظيم الميزانية والمحاسبة العمومية. الجريدة الرسمية.</w:t>
      </w:r>
    </w:p>
    <w:p>
      <w:pPr>
        <w:pStyle w:val="Compact"/>
        <w:numPr>
          <w:ilvl w:val="0"/>
          <w:numId w:val="1005"/>
        </w:numPr>
        <w:bidi/>
      </w:pPr>
      <w:r>
        <w:rPr>
          <w:b/>
          <w:bCs/>
          <w:rtl/>
        </w:rPr>
        <w:t xml:space="preserve">وزارة المالية ووزارة التربية الوطنية. (2023). المنشور الوزاري المشترك المتعلق بتسيير المستودعات في المؤسسات التربوية. وثيقة داخلية.</w:t>
      </w:r>
    </w:p>
    <w:p>
      <w:pPr>
        <w:pStyle w:val="Compact"/>
        <w:numPr>
          <w:ilvl w:val="0"/>
          <w:numId w:val="1005"/>
        </w:numPr>
        <w:bidi/>
      </w:pPr>
      <w:r>
        <w:rPr>
          <w:b/>
          <w:bCs/>
          <w:rtl/>
        </w:rPr>
        <w:t xml:space="preserve">قانون المالية. (سنوي). القانون المتضمن قانون المالية للسنة المعنية. الجريدة الرسمية.</w:t>
      </w:r>
    </w:p>
    <w:bookmarkEnd w:id="146"/>
    <w:bookmarkStart w:id="147" w:name="ثالثا-المنهاج-الدراسي-bts-gsl-tag1801"/>
    <w:p>
      <w:pPr>
        <w:pStyle w:val="Heading2"/>
        <w:bidi/>
      </w:pPr>
      <w:r>
        <w:rPr>
          <w:rtl/>
        </w:rPr>
        <w:t xml:space="preserve">ثالثاً: المنهاج الدراسي BTS GSL (TAG1801)</w:t>
      </w:r>
    </w:p>
    <w:p>
      <w:pPr>
        <w:pStyle w:val="Compact"/>
        <w:numPr>
          <w:ilvl w:val="0"/>
          <w:numId w:val="1006"/>
        </w:numPr>
        <w:bidi/>
      </w:pPr>
      <w:r>
        <w:rPr>
          <w:b/>
          <w:bCs/>
          <w:rtl/>
        </w:rPr>
        <w:t xml:space="preserve">وزارة التربية الوطنية، الديوان الوطني للامتحانات والمسابقات. (2020). المنهاج الدراسي لشهادة التقني السامي في تسيير المخزونات واللوجستيك — TAG1801.</w:t>
      </w:r>
    </w:p>
    <w:p>
      <w:pPr>
        <w:pStyle w:val="Compact"/>
        <w:numPr>
          <w:ilvl w:val="0"/>
          <w:numId w:val="1006"/>
        </w:numPr>
        <w:bidi/>
      </w:pPr>
      <w:r>
        <w:rPr>
          <w:b/>
          <w:bCs/>
          <w:rtl/>
        </w:rPr>
        <w:t xml:space="preserve">تحديد وجمع المعلومات الداخلية والخارجية (Identification et Collecte des Informations Internes et Externes). (2024). مقياس BTS GSL، الفصل الدراسي الأول.</w:t>
      </w:r>
    </w:p>
    <w:p>
      <w:pPr>
        <w:pStyle w:val="Compact"/>
        <w:numPr>
          <w:ilvl w:val="0"/>
          <w:numId w:val="1006"/>
        </w:numPr>
        <w:bidi/>
      </w:pPr>
      <w:r>
        <w:rPr>
          <w:b/>
          <w:bCs/>
          <w:rtl/>
        </w:rPr>
        <w:t xml:space="preserve">دراسة الأسعار وشروط التفاوض (Études des Prix et les Conditions de Négociation). (2024). مقياس BTS GSL، الفصل الدراسي الأول.</w:t>
      </w:r>
    </w:p>
    <w:p>
      <w:pPr>
        <w:pStyle w:val="Compact"/>
        <w:numPr>
          <w:ilvl w:val="0"/>
          <w:numId w:val="1006"/>
        </w:numPr>
        <w:bidi/>
      </w:pPr>
      <w:r>
        <w:rPr>
          <w:b/>
          <w:bCs/>
          <w:rtl/>
        </w:rPr>
        <w:t xml:space="preserve">القانون الاجتماعي (Droit Social). (2024). مقياس BTS GSL، الفصل الدراسي الأول.</w:t>
      </w:r>
    </w:p>
    <w:p>
      <w:pPr>
        <w:pStyle w:val="Compact"/>
        <w:numPr>
          <w:ilvl w:val="0"/>
          <w:numId w:val="1006"/>
        </w:numPr>
        <w:bidi/>
      </w:pPr>
      <w:r>
        <w:rPr>
          <w:b/>
          <w:bCs/>
          <w:rtl/>
        </w:rPr>
        <w:t xml:space="preserve">الإعلام الآلي (Informatique). (2024). مقياس BTS GSL، الفصل الدراسي الأول.</w:t>
      </w:r>
    </w:p>
    <w:p>
      <w:pPr>
        <w:pStyle w:val="Compact"/>
        <w:numPr>
          <w:ilvl w:val="0"/>
          <w:numId w:val="1006"/>
        </w:numPr>
        <w:bidi/>
      </w:pPr>
      <w:r>
        <w:rPr>
          <w:b/>
          <w:bCs/>
          <w:rtl/>
        </w:rPr>
        <w:t xml:space="preserve">الرياضيات العامة (Mathématiques Générales). (2024). مقياس BTS GSL، الفصل الدراسي الأول.</w:t>
      </w:r>
    </w:p>
    <w:p>
      <w:pPr>
        <w:pStyle w:val="Compact"/>
        <w:numPr>
          <w:ilvl w:val="0"/>
          <w:numId w:val="1006"/>
        </w:numPr>
        <w:bidi/>
      </w:pPr>
      <w:r>
        <w:rPr>
          <w:b/>
          <w:bCs/>
          <w:rtl/>
        </w:rPr>
        <w:t xml:space="preserve">البحث واختيار الموردين (Recherche et Sélection des Fournisseurs). (2024). مقياس BTS GSL، الفصل الدراسي الثاني.</w:t>
      </w:r>
    </w:p>
    <w:p>
      <w:pPr>
        <w:pStyle w:val="Compact"/>
        <w:numPr>
          <w:ilvl w:val="0"/>
          <w:numId w:val="1006"/>
        </w:numPr>
        <w:bidi/>
      </w:pPr>
      <w:r>
        <w:rPr>
          <w:b/>
          <w:bCs/>
          <w:rtl/>
        </w:rPr>
        <w:t xml:space="preserve">إعداد ومراقبة أمر الشراء (Établissement et Contrôle de la Commande d’Achat). (2024). مقياس BTS GSL، الفصل الدراسي الثاني.</w:t>
      </w:r>
    </w:p>
    <w:p>
      <w:pPr>
        <w:pStyle w:val="Compact"/>
        <w:numPr>
          <w:ilvl w:val="0"/>
          <w:numId w:val="1006"/>
        </w:numPr>
        <w:bidi/>
      </w:pPr>
      <w:r>
        <w:rPr>
          <w:b/>
          <w:bCs/>
          <w:rtl/>
        </w:rPr>
        <w:t xml:space="preserve">الحساب التجاري (Arithmétique Commerciale). (2024). مقياس BTS GSL، الفصل الدراسي الثاني.</w:t>
      </w:r>
    </w:p>
    <w:p>
      <w:pPr>
        <w:pStyle w:val="Compact"/>
        <w:numPr>
          <w:ilvl w:val="0"/>
          <w:numId w:val="1006"/>
        </w:numPr>
        <w:bidi/>
      </w:pPr>
      <w:r>
        <w:rPr>
          <w:b/>
          <w:bCs/>
          <w:rtl/>
        </w:rPr>
        <w:t xml:space="preserve">تطبيق قواعد الصحة والأمن والبيئة (Application des Règles d’Hygiène Sécurité et Environnement). (2024). مقياس BTS GSL، الفصل الدراسي الثاني.</w:t>
      </w:r>
    </w:p>
    <w:p>
      <w:pPr>
        <w:pStyle w:val="Compact"/>
        <w:numPr>
          <w:ilvl w:val="0"/>
          <w:numId w:val="1006"/>
        </w:numPr>
        <w:bidi/>
      </w:pPr>
      <w:r>
        <w:rPr>
          <w:b/>
          <w:bCs/>
          <w:rtl/>
        </w:rPr>
        <w:t xml:space="preserve">القانون التجاري (Droit Commercial). (2024). مقياس BTS GSL، الفصل الدراسي الثاني.</w:t>
      </w:r>
    </w:p>
    <w:p>
      <w:pPr>
        <w:pStyle w:val="Compact"/>
        <w:numPr>
          <w:ilvl w:val="0"/>
          <w:numId w:val="1006"/>
        </w:numPr>
        <w:bidi/>
      </w:pPr>
      <w:r>
        <w:rPr>
          <w:b/>
          <w:bCs/>
          <w:rtl/>
        </w:rPr>
        <w:t xml:space="preserve">الوثائق التجارية (Documents Commerciaux). (2024). مقياس BTS GSL، الفصل الدراسي الثاني.</w:t>
      </w:r>
    </w:p>
    <w:p>
      <w:pPr>
        <w:pStyle w:val="Compact"/>
        <w:numPr>
          <w:ilvl w:val="0"/>
          <w:numId w:val="1006"/>
        </w:numPr>
        <w:bidi/>
      </w:pPr>
      <w:r>
        <w:rPr>
          <w:b/>
          <w:bCs/>
          <w:rtl/>
        </w:rPr>
        <w:t xml:space="preserve">تسجيل ومراقبة التوريدات (Enregistrement Comptable et Contrôle des Approvisionnements). (2024). مقياس BTS GSL، الفصل الدراسي الثالث.</w:t>
      </w:r>
    </w:p>
    <w:p>
      <w:pPr>
        <w:pStyle w:val="Compact"/>
        <w:numPr>
          <w:ilvl w:val="0"/>
          <w:numId w:val="1006"/>
        </w:numPr>
        <w:bidi/>
      </w:pPr>
      <w:r>
        <w:rPr>
          <w:b/>
          <w:bCs/>
          <w:rtl/>
        </w:rPr>
        <w:t xml:space="preserve">إجراء الجرد الفعلي (Réalisation de l’Inventaire Physique). (2024). مقياس BTS GSL، الفصل الدراسي الثالث.</w:t>
      </w:r>
    </w:p>
    <w:p>
      <w:pPr>
        <w:pStyle w:val="Compact"/>
        <w:numPr>
          <w:ilvl w:val="0"/>
          <w:numId w:val="1006"/>
        </w:numPr>
        <w:bidi/>
      </w:pPr>
      <w:r>
        <w:rPr>
          <w:b/>
          <w:bCs/>
          <w:rtl/>
        </w:rPr>
        <w:t xml:space="preserve">إجراء الجرد المحاسبي (Réalisation de l’Inventaire Comptable). (2024). مقياس BTS GSL، الفصل الدراسي الثالث.</w:t>
      </w:r>
    </w:p>
    <w:p>
      <w:pPr>
        <w:pStyle w:val="Compact"/>
        <w:numPr>
          <w:ilvl w:val="0"/>
          <w:numId w:val="1006"/>
        </w:numPr>
        <w:bidi/>
      </w:pPr>
      <w:r>
        <w:rPr>
          <w:b/>
          <w:bCs/>
          <w:rtl/>
        </w:rPr>
        <w:t xml:space="preserve">إجراء دراسة وسائل النقل (Réalisation d’une Étude des Moyens de Transport). (2024). مقياس BTS GSL، الفصل الدراسي الثالث.</w:t>
      </w:r>
    </w:p>
    <w:p>
      <w:pPr>
        <w:pStyle w:val="Compact"/>
        <w:numPr>
          <w:ilvl w:val="0"/>
          <w:numId w:val="1006"/>
        </w:numPr>
        <w:bidi/>
      </w:pPr>
      <w:r>
        <w:rPr>
          <w:b/>
          <w:bCs/>
          <w:rtl/>
        </w:rPr>
        <w:t xml:space="preserve">تحديد الاحتياجات وعناصر برنامج التوريد (Détermination des Besoins et les Éléments Constitutifs du Programme d’Approvisionnement). (2024). مقياس BTS GSL، الفصل الدراسي الثالث.</w:t>
      </w:r>
    </w:p>
    <w:p>
      <w:pPr>
        <w:pStyle w:val="Compact"/>
        <w:numPr>
          <w:ilvl w:val="0"/>
          <w:numId w:val="1006"/>
        </w:numPr>
        <w:bidi/>
      </w:pPr>
      <w:r>
        <w:rPr>
          <w:b/>
          <w:bCs/>
          <w:rtl/>
        </w:rPr>
        <w:t xml:space="preserve">الإدارة الفعالة للتوريدات (Gestion Efficace des Approvisionnements). (2024). مقياس BTS GSL، الفصل الدراسي الثالث.</w:t>
      </w:r>
    </w:p>
    <w:p>
      <w:pPr>
        <w:pStyle w:val="Compact"/>
        <w:numPr>
          <w:ilvl w:val="0"/>
          <w:numId w:val="1006"/>
        </w:numPr>
        <w:bidi/>
      </w:pPr>
      <w:r>
        <w:rPr>
          <w:b/>
          <w:bCs/>
          <w:rtl/>
        </w:rPr>
        <w:t xml:space="preserve">تقنيات التعبير والتواصل (Techniques d’Expression et de Communication). (2024). مقياس BTS GSL، الفصل الدراسي الثالث.</w:t>
      </w:r>
    </w:p>
    <w:p>
      <w:pPr>
        <w:pStyle w:val="Compact"/>
        <w:numPr>
          <w:ilvl w:val="0"/>
          <w:numId w:val="1006"/>
        </w:numPr>
        <w:bidi/>
      </w:pPr>
      <w:r>
        <w:rPr>
          <w:b/>
          <w:bCs/>
          <w:rtl/>
        </w:rPr>
        <w:t xml:space="preserve">اقتصاد المؤسسة (Économie de l’Entreprise). (2024). مقياس BTS GSL، الفصل الدراسي الثالث.</w:t>
      </w:r>
    </w:p>
    <w:p>
      <w:pPr>
        <w:pStyle w:val="Compact"/>
        <w:numPr>
          <w:ilvl w:val="0"/>
          <w:numId w:val="1006"/>
        </w:numPr>
        <w:bidi/>
      </w:pPr>
      <w:r>
        <w:rPr>
          <w:b/>
          <w:bCs/>
          <w:rtl/>
        </w:rPr>
        <w:t xml:space="preserve">الإحصاء الوصفي (Statistiques Descriptives). (2024). مقياس BTS GSL، الفصل الدراسي الثالث.</w:t>
      </w:r>
    </w:p>
    <w:p>
      <w:pPr>
        <w:pStyle w:val="Compact"/>
        <w:numPr>
          <w:ilvl w:val="0"/>
          <w:numId w:val="1006"/>
        </w:numPr>
        <w:bidi/>
      </w:pPr>
      <w:r>
        <w:rPr>
          <w:b/>
          <w:bCs/>
          <w:rtl/>
        </w:rPr>
        <w:t xml:space="preserve">التخطيط الاستراتيجي للوجستيك (Planification Stratégique de la Logistique). (2024). مقياس BTS GSL، الفصل الدراسي الرابع.</w:t>
      </w:r>
    </w:p>
    <w:p>
      <w:pPr>
        <w:pStyle w:val="Compact"/>
        <w:numPr>
          <w:ilvl w:val="0"/>
          <w:numId w:val="1006"/>
        </w:numPr>
        <w:bidi/>
      </w:pPr>
      <w:r>
        <w:rPr>
          <w:b/>
          <w:bCs/>
          <w:rtl/>
        </w:rPr>
        <w:t xml:space="preserve">التخطيط الاستراتيجي (Planification Stratégique). (2024). مقياس BTS GSL، الفصل الدراسي الرابع.</w:t>
      </w:r>
    </w:p>
    <w:p>
      <w:pPr>
        <w:pStyle w:val="Compact"/>
        <w:numPr>
          <w:ilvl w:val="0"/>
          <w:numId w:val="1006"/>
        </w:numPr>
        <w:bidi/>
      </w:pPr>
      <w:r>
        <w:rPr>
          <w:b/>
          <w:bCs/>
          <w:rtl/>
        </w:rPr>
        <w:t xml:space="preserve">تجديد الأمر (Renouvellement de la Commande). (2024). مقياس BTS GSL، الفصل الدراسي الرابع.</w:t>
      </w:r>
    </w:p>
    <w:p>
      <w:pPr>
        <w:pStyle w:val="Compact"/>
        <w:numPr>
          <w:ilvl w:val="0"/>
          <w:numId w:val="1006"/>
        </w:numPr>
        <w:bidi/>
      </w:pPr>
      <w:r>
        <w:rPr>
          <w:b/>
          <w:bCs/>
          <w:rtl/>
        </w:rPr>
        <w:t xml:space="preserve">المتابعة والتحكم في المواد المسلَّمة (Suivi et Contrôle des Articles Livrés). (2024). مقياس BTS GSL، الفصل الدراسي الرابع.</w:t>
      </w:r>
    </w:p>
    <w:p>
      <w:pPr>
        <w:pStyle w:val="Compact"/>
        <w:numPr>
          <w:ilvl w:val="0"/>
          <w:numId w:val="1006"/>
        </w:numPr>
        <w:bidi/>
      </w:pPr>
      <w:r>
        <w:rPr>
          <w:b/>
          <w:bCs/>
          <w:rtl/>
        </w:rPr>
        <w:t xml:space="preserve">تنظيم الوسائل اللوجستيكية (Organisation des Moyens Logistiques). (2024). مقياس BTS GSL، الفصل الدراسي الرابع.</w:t>
      </w:r>
    </w:p>
    <w:p>
      <w:pPr>
        <w:pStyle w:val="Compact"/>
        <w:numPr>
          <w:ilvl w:val="0"/>
          <w:numId w:val="1006"/>
        </w:numPr>
        <w:bidi/>
      </w:pPr>
      <w:r>
        <w:rPr>
          <w:b/>
          <w:bCs/>
          <w:rtl/>
        </w:rPr>
        <w:t xml:space="preserve">التسيير الميزانياتي (Gestion Budgétaire). (2024). مقياس BTS GSL، الفصل الدراسي الرابع.</w:t>
      </w:r>
    </w:p>
    <w:p>
      <w:pPr>
        <w:pStyle w:val="Compact"/>
        <w:numPr>
          <w:ilvl w:val="0"/>
          <w:numId w:val="1006"/>
        </w:numPr>
        <w:bidi/>
      </w:pPr>
      <w:r>
        <w:rPr>
          <w:b/>
          <w:bCs/>
          <w:rtl/>
        </w:rPr>
        <w:t xml:space="preserve">الإنجليزية التجارية (Anglais Commercial). (2024). مقياس BTS GSL، الفصل الدراسي الرابع.</w:t>
      </w:r>
    </w:p>
    <w:p>
      <w:pPr>
        <w:pStyle w:val="Compact"/>
        <w:numPr>
          <w:ilvl w:val="0"/>
          <w:numId w:val="1006"/>
        </w:numPr>
        <w:bidi/>
      </w:pPr>
      <w:r>
        <w:rPr>
          <w:b/>
          <w:bCs/>
          <w:rtl/>
        </w:rPr>
        <w:t xml:space="preserve">تنظيم المواد (Organisation du Matériel). (2024). مقياس BTS GSL، الفصل الدراسي الرابع.</w:t>
      </w:r>
    </w:p>
    <w:p>
      <w:pPr>
        <w:pStyle w:val="Compact"/>
        <w:numPr>
          <w:ilvl w:val="0"/>
          <w:numId w:val="1006"/>
        </w:numPr>
        <w:bidi/>
      </w:pPr>
      <w:r>
        <w:rPr>
          <w:b/>
          <w:bCs/>
          <w:rtl/>
        </w:rPr>
        <w:t xml:space="preserve">المنهجية (Méthodologie). (2024). مقياس BTS GSL، الفصل الدراسي الرابع.</w:t>
      </w:r>
    </w:p>
    <w:p>
      <w:pPr>
        <w:pStyle w:val="Compact"/>
        <w:numPr>
          <w:ilvl w:val="0"/>
          <w:numId w:val="1006"/>
        </w:numPr>
        <w:bidi/>
      </w:pPr>
      <w:r>
        <w:rPr>
          <w:b/>
          <w:bCs/>
          <w:rtl/>
        </w:rPr>
        <w:t xml:space="preserve">المعجم اللوجستيكي (Glossaire). (2024). مقياس BTS GSL، الفصل الدراسي الرابع.</w:t>
      </w:r>
    </w:p>
    <w:bookmarkEnd w:id="147"/>
    <w:bookmarkStart w:id="148" w:name="رابعا-المراجع-التقنية"/>
    <w:p>
      <w:pPr>
        <w:pStyle w:val="Heading2"/>
        <w:bidi/>
      </w:pPr>
      <w:r>
        <w:rPr>
          <w:rtl/>
        </w:rPr>
        <w:t xml:space="preserve">رابعاً: المراجع التقنية</w:t>
      </w:r>
    </w:p>
    <w:p>
      <w:pPr>
        <w:pStyle w:val="Compact"/>
        <w:numPr>
          <w:ilvl w:val="0"/>
          <w:numId w:val="1007"/>
        </w:numPr>
        <w:bidi/>
      </w:pPr>
      <w:r>
        <w:rPr>
          <w:b/>
          <w:bCs/>
          <w:rtl/>
        </w:rPr>
        <w:t xml:space="preserve">Microsoft Corporation. (2023). VBA Reference — Visual Basic for Applications. Microsoft Docs.</w:t>
      </w:r>
    </w:p>
    <w:p>
      <w:pPr>
        <w:pStyle w:val="Compact"/>
        <w:numPr>
          <w:ilvl w:val="0"/>
          <w:numId w:val="1007"/>
        </w:numPr>
        <w:bidi/>
      </w:pPr>
      <w:r>
        <w:rPr>
          <w:b/>
          <w:bCs/>
          <w:rtl/>
        </w:rPr>
        <w:t xml:space="preserve">Microsoft Corporation. (2019). Excel Object Model Overview. Microsoft Docs.</w:t>
      </w:r>
    </w:p>
    <w:bookmarkEnd w:id="148"/>
    <w:bookmarkStart w:id="149" w:name="خامسا-مشاريع-وأطروحات-موازية"/>
    <w:p>
      <w:pPr>
        <w:pStyle w:val="Heading2"/>
        <w:bidi/>
      </w:pPr>
      <w:r>
        <w:rPr>
          <w:rtl/>
        </w:rPr>
        <w:t xml:space="preserve">خامساً: مشاريع وأطروحات موازية</w:t>
      </w:r>
    </w:p>
    <w:p>
      <w:pPr>
        <w:pStyle w:val="Compact"/>
        <w:numPr>
          <w:ilvl w:val="0"/>
          <w:numId w:val="1008"/>
        </w:numPr>
        <w:bidi/>
      </w:pPr>
      <w:r>
        <w:rPr>
          <w:b/>
          <w:bCs/>
          <w:rtl/>
        </w:rPr>
        <w:t xml:space="preserve">Bouchahlata, M. (2021). Contribution à l’amélioration du lead time de la chaîne logistique en combinant une solution VBA et la business intelligence : application Ericsson Algérie. Mémoire de Projet de Fin d’Études, École Nationale Polytechnique d’Alger.</w:t>
      </w:r>
    </w:p>
    <w:p>
      <w:pPr>
        <w:pStyle w:val="Compact"/>
        <w:numPr>
          <w:ilvl w:val="0"/>
          <w:numId w:val="1008"/>
        </w:numPr>
        <w:bidi/>
      </w:pPr>
      <w:r>
        <w:rPr>
          <w:b/>
          <w:bCs/>
          <w:rtl/>
        </w:rPr>
        <w:t xml:space="preserve">Sebti, A. (1993). Élaboration d’un outil d’aide à la décision pour la gestion des stocks basé sur l’étude prévisionnelle. Mémoire de Projet de Fin d’Études, École Nationale Polytechnique d’Alger.</w:t>
      </w:r>
    </w:p>
    <w:p>
      <w:pPr>
        <w:pStyle w:val="Compact"/>
        <w:numPr>
          <w:ilvl w:val="0"/>
          <w:numId w:val="1008"/>
        </w:numPr>
        <w:bidi/>
      </w:pPr>
      <w:r>
        <w:rPr>
          <w:b/>
          <w:bCs/>
          <w:rtl/>
        </w:rPr>
        <w:t xml:space="preserve">Yahi, A. (1992). Élaboration d’un logiciel de gestion de stocks de pièces de rechange. Mémoire de Projet de Fin d’Études, École Nationale Polytechnique d’Alger.</w:t>
      </w:r>
    </w:p>
    <w:p>
      <w:pPr>
        <w:pStyle w:val="Compact"/>
        <w:numPr>
          <w:ilvl w:val="0"/>
          <w:numId w:val="1008"/>
        </w:numPr>
        <w:bidi/>
      </w:pPr>
      <w:r>
        <w:rPr>
          <w:b/>
          <w:bCs/>
          <w:rtl/>
        </w:rPr>
        <w:t xml:space="preserve">Belhadi, M. E. A. (2015). Modélisation et optimisation de la gestion de stocks des pièces de rechange : application SASACE-Algérie. Mémoire de Projet de Fin d’Études, École Nationale Polytechnique d’Alger.</w:t>
      </w:r>
    </w:p>
    <w:bookmarkEnd w:id="149"/>
    <w:bookmarkStart w:id="150" w:name="سادسا-مصادر-البيانات-الميدانية"/>
    <w:p>
      <w:pPr>
        <w:pStyle w:val="Heading2"/>
        <w:bidi/>
      </w:pPr>
      <w:r>
        <w:rPr>
          <w:rtl/>
        </w:rPr>
        <w:t xml:space="preserve">سادساً: مصادر البيانات الميدانية</w:t>
      </w:r>
    </w:p>
    <w:p>
      <w:pPr>
        <w:pStyle w:val="Compact"/>
        <w:numPr>
          <w:ilvl w:val="0"/>
          <w:numId w:val="1009"/>
        </w:numPr>
        <w:bidi/>
      </w:pPr>
      <w:r>
        <w:rPr>
          <w:b/>
          <w:bCs/>
          <w:rtl/>
        </w:rPr>
        <w:t xml:space="preserve">مديرية التربية لولاية البيض — مصلحة المخازن. (2025). السجلات السنوية لحركة المخزون (الفصلية). وثائق داخلية غير منشورة.</w:t>
      </w:r>
    </w:p>
    <w:p>
      <w:pPr>
        <w:pStyle w:val="Compact"/>
        <w:numPr>
          <w:ilvl w:val="0"/>
          <w:numId w:val="1009"/>
        </w:numPr>
        <w:bidi/>
      </w:pPr>
      <w:r>
        <w:rPr>
          <w:b/>
          <w:bCs/>
          <w:rtl/>
        </w:rPr>
        <w:t xml:space="preserve">مديرية التربية لولاية البيض — مصلحة الميزانية. (2025). بيانات تكاليف الطلب والاحتفاظ. وثائق داخلية غير منشورة.</w:t>
      </w:r>
    </w:p>
    <w:bookmarkEnd w:id="150"/>
    <w:bookmarkStart w:id="151" w:name="سابعا-المراجع-البرمجية"/>
    <w:p>
      <w:pPr>
        <w:pStyle w:val="Heading2"/>
        <w:bidi/>
      </w:pPr>
      <w:r>
        <w:rPr>
          <w:rtl/>
        </w:rPr>
        <w:t xml:space="preserve">سابعاً: المراجع البرمجية</w:t>
      </w:r>
    </w:p>
    <w:p>
      <w:pPr>
        <w:pStyle w:val="Compact"/>
        <w:numPr>
          <w:ilvl w:val="0"/>
          <w:numId w:val="1010"/>
        </w:numPr>
        <w:bidi/>
      </w:pPr>
      <w:r>
        <w:rPr>
          <w:b/>
          <w:bCs/>
          <w:rtl/>
        </w:rPr>
        <w:t xml:space="preserve">Kamel, M. (2026). ERP_Académie v13.3 — Système d’Aide à la Décision pour la Gestion des Stocks. GitHub. https://github.com/kamelmh/lsm-vba-core.</w:t>
      </w:r>
    </w:p>
    <w:bookmarkEnd w:id="151"/>
    <w:bookmarkEnd w:id="152"/>
    <w:bookmarkStart w:id="153" w:name="جدول-المختصرات-والرموز-التقنية"/>
    <w:p>
      <w:pPr>
        <w:pStyle w:val="Heading1"/>
        <w:bidi/>
      </w:pPr>
      <w:r>
        <w:rPr>
          <w:rtl/>
        </w:rPr>
        <w:t xml:space="preserve">جدول المختصرات والرموز التقنية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625216" w:type="dxa"/>
          </w:tcPr>
          <w:p>
            <w:pPr>
              <w:pStyle w:val="Compact"/>
              <w:bidi/>
            </w:pPr>
            <w:r>
              <w:rPr>
                <w:rtl/>
              </w:rPr>
              <w:t xml:space="preserve">الاختصار</w:t>
            </w:r>
          </w:p>
        </w:tc>
        <w:tc>
          <w:tcPr>
            <w:tcW w:w="2053663" w:type="dxa"/>
          </w:tcPr>
          <w:p>
            <w:pPr>
              <w:pStyle w:val="Compact"/>
              <w:bidi/>
            </w:pPr>
            <w:r>
              <w:rPr>
                <w:rtl/>
              </w:rPr>
              <w:t xml:space="preserve">المعنى بالفرنسية/الإنجليزية</w:t>
            </w:r>
          </w:p>
        </w:tc>
        <w:tc>
          <w:tcPr>
            <w:tcW w:w="2631120" w:type="dxa"/>
          </w:tcPr>
          <w:p>
            <w:pPr>
              <w:pStyle w:val="Compact"/>
              <w:bidi/>
            </w:pPr>
            <w:r>
              <w:rPr>
                <w:rtl/>
              </w:rPr>
              <w:t xml:space="preserve">المعنى بالعربية</w:t>
            </w:r>
          </w:p>
        </w:tc>
      </w:tr>
      <w:tr>
        <w:tc>
          <w:tcPr>
            <w:tcW w:w="625216" w:type="dxa"/>
          </w:tcPr>
          <w:p>
            <w:pPr>
              <w:pStyle w:val="Compact"/>
              <w:bidi/>
            </w:pPr>
            <w:r>
              <w:rPr>
                <w:rtl/>
              </w:rPr>
              <w:t xml:space="preserve">ERP</w:t>
            </w:r>
          </w:p>
        </w:tc>
        <w:tc>
          <w:tcPr>
            <w:tcW w:w="2053663" w:type="dxa"/>
          </w:tcPr>
          <w:p>
            <w:pPr>
              <w:pStyle w:val="Compact"/>
              <w:bidi/>
            </w:pPr>
            <w:r>
              <w:rPr>
                <w:rtl/>
              </w:rPr>
              <w:t xml:space="preserve">Enterprise Resource Planning</w:t>
            </w:r>
          </w:p>
        </w:tc>
        <w:tc>
          <w:tcPr>
            <w:tcW w:w="2631120" w:type="dxa"/>
          </w:tcPr>
          <w:p>
            <w:pPr>
              <w:pStyle w:val="Compact"/>
              <w:bidi/>
            </w:pPr>
            <w:r>
              <w:rPr>
                <w:rtl/>
              </w:rPr>
              <w:t xml:space="preserve">نظام تخطيط موارد المؤسسة</w:t>
            </w:r>
          </w:p>
        </w:tc>
      </w:tr>
      <w:tr>
        <w:tc>
          <w:tcPr>
            <w:tcW w:w="625216" w:type="dxa"/>
          </w:tcPr>
          <w:p>
            <w:pPr>
              <w:pStyle w:val="Compact"/>
              <w:bidi/>
            </w:pPr>
            <w:r>
              <w:rPr>
                <w:rtl/>
              </w:rPr>
              <w:t xml:space="preserve">VBA</w:t>
            </w:r>
          </w:p>
        </w:tc>
        <w:tc>
          <w:tcPr>
            <w:tcW w:w="2053663" w:type="dxa"/>
          </w:tcPr>
          <w:p>
            <w:pPr>
              <w:pStyle w:val="Compact"/>
              <w:bidi/>
            </w:pPr>
            <w:r>
              <w:rPr>
                <w:rtl/>
              </w:rPr>
              <w:t xml:space="preserve">Visual Basic for Applications</w:t>
            </w:r>
          </w:p>
        </w:tc>
        <w:tc>
          <w:tcPr>
            <w:tcW w:w="2631120" w:type="dxa"/>
          </w:tcPr>
          <w:p>
            <w:pPr>
              <w:pStyle w:val="Compact"/>
              <w:bidi/>
            </w:pPr>
            <w:r>
              <w:rPr>
                <w:rtl/>
              </w:rPr>
              <w:t xml:space="preserve">لغة الأتمتة في Microsoft Office</w:t>
            </w:r>
          </w:p>
        </w:tc>
      </w:tr>
      <w:tr>
        <w:tc>
          <w:tcPr>
            <w:tcW w:w="625216" w:type="dxa"/>
          </w:tcPr>
          <w:p>
            <w:pPr>
              <w:pStyle w:val="Compact"/>
              <w:bidi/>
            </w:pPr>
            <w:r>
              <w:rPr>
                <w:rtl/>
              </w:rPr>
              <w:t xml:space="preserve">EOQ / Q*</w:t>
            </w:r>
          </w:p>
        </w:tc>
        <w:tc>
          <w:tcPr>
            <w:tcW w:w="2053663" w:type="dxa"/>
          </w:tcPr>
          <w:p>
            <w:pPr>
              <w:pStyle w:val="Compact"/>
              <w:bidi/>
            </w:pPr>
            <w:r>
              <w:rPr>
                <w:rtl/>
              </w:rPr>
              <w:t xml:space="preserve">Economic Order Quantity</w:t>
            </w:r>
          </w:p>
        </w:tc>
        <w:tc>
          <w:tcPr>
            <w:tcW w:w="2631120" w:type="dxa"/>
          </w:tcPr>
          <w:p>
            <w:pPr>
              <w:pStyle w:val="Compact"/>
              <w:bidi/>
            </w:pPr>
            <w:r>
              <w:rPr>
                <w:rtl/>
              </w:rPr>
              <w:t xml:space="preserve">الكمية الاقتصادية المثلى للطلب</w:t>
            </w:r>
          </w:p>
        </w:tc>
      </w:tr>
      <w:tr>
        <w:tc>
          <w:tcPr>
            <w:tcW w:w="625216" w:type="dxa"/>
          </w:tcPr>
          <w:p>
            <w:pPr>
              <w:pStyle w:val="Compact"/>
              <w:bidi/>
            </w:pPr>
            <w:r>
              <w:rPr>
                <w:rtl/>
              </w:rPr>
              <w:t xml:space="preserve">ROP</w:t>
            </w:r>
          </w:p>
        </w:tc>
        <w:tc>
          <w:tcPr>
            <w:tcW w:w="2053663" w:type="dxa"/>
          </w:tcPr>
          <w:p>
            <w:pPr>
              <w:pStyle w:val="Compact"/>
              <w:bidi/>
            </w:pPr>
            <w:r>
              <w:rPr>
                <w:rtl/>
              </w:rPr>
              <w:t xml:space="preserve">Reorder Point</w:t>
            </w:r>
          </w:p>
        </w:tc>
        <w:tc>
          <w:tcPr>
            <w:tcW w:w="2631120" w:type="dxa"/>
          </w:tcPr>
          <w:p>
            <w:pPr>
              <w:pStyle w:val="Compact"/>
              <w:bidi/>
            </w:pPr>
            <w:r>
              <w:rPr>
                <w:rtl/>
              </w:rPr>
              <w:t xml:space="preserve">نقطة إعادة الطلب</w:t>
            </w:r>
          </w:p>
        </w:tc>
      </w:tr>
      <w:tr>
        <w:tc>
          <w:tcPr>
            <w:tcW w:w="625216" w:type="dxa"/>
          </w:tcPr>
          <w:p>
            <w:pPr>
              <w:pStyle w:val="Compact"/>
              <w:bidi/>
            </w:pPr>
            <w:r>
              <w:rPr>
                <w:rtl/>
              </w:rPr>
              <w:t xml:space="preserve">SS</w:t>
            </w:r>
          </w:p>
        </w:tc>
        <w:tc>
          <w:tcPr>
            <w:tcW w:w="2053663" w:type="dxa"/>
          </w:tcPr>
          <w:p>
            <w:pPr>
              <w:pStyle w:val="Compact"/>
              <w:bidi/>
            </w:pPr>
            <w:r>
              <w:rPr>
                <w:rtl/>
              </w:rPr>
              <w:t xml:space="preserve">Safety Stock</w:t>
            </w:r>
          </w:p>
        </w:tc>
        <w:tc>
          <w:tcPr>
            <w:tcW w:w="2631120" w:type="dxa"/>
          </w:tcPr>
          <w:p>
            <w:pPr>
              <w:pStyle w:val="Compact"/>
              <w:bidi/>
            </w:pPr>
            <w:r>
              <w:rPr>
                <w:rtl/>
              </w:rPr>
              <w:t xml:space="preserve">مخزون الأمان</w:t>
            </w:r>
          </w:p>
        </w:tc>
      </w:tr>
      <w:tr>
        <w:tc>
          <w:tcPr>
            <w:tcW w:w="625216" w:type="dxa"/>
          </w:tcPr>
          <w:p>
            <w:pPr>
              <w:pStyle w:val="Compact"/>
              <w:bidi/>
            </w:pPr>
            <w:r>
              <w:rPr>
                <w:rtl/>
              </w:rPr>
              <w:t xml:space="preserve">FIFO</w:t>
            </w:r>
          </w:p>
        </w:tc>
        <w:tc>
          <w:tcPr>
            <w:tcW w:w="2053663" w:type="dxa"/>
          </w:tcPr>
          <w:p>
            <w:pPr>
              <w:pStyle w:val="Compact"/>
              <w:bidi/>
            </w:pPr>
            <w:r>
              <w:rPr>
                <w:rtl/>
              </w:rPr>
              <w:t xml:space="preserve">First In, First Out</w:t>
            </w:r>
          </w:p>
        </w:tc>
        <w:tc>
          <w:tcPr>
            <w:tcW w:w="2631120" w:type="dxa"/>
          </w:tcPr>
          <w:p>
            <w:pPr>
              <w:pStyle w:val="Compact"/>
              <w:bidi/>
            </w:pPr>
            <w:r>
              <w:rPr>
                <w:rtl/>
              </w:rPr>
              <w:t xml:space="preserve">أول دخول أول خروج</w:t>
            </w:r>
          </w:p>
        </w:tc>
      </w:tr>
      <w:tr>
        <w:tc>
          <w:tcPr>
            <w:tcW w:w="625216" w:type="dxa"/>
          </w:tcPr>
          <w:p>
            <w:pPr>
              <w:pStyle w:val="Compact"/>
              <w:bidi/>
            </w:pPr>
            <w:r>
              <w:rPr>
                <w:rtl/>
              </w:rPr>
              <w:t xml:space="preserve">CMUP</w:t>
            </w:r>
          </w:p>
        </w:tc>
        <w:tc>
          <w:tcPr>
            <w:tcW w:w="2053663" w:type="dxa"/>
          </w:tcPr>
          <w:p>
            <w:pPr>
              <w:pStyle w:val="Compact"/>
              <w:bidi/>
            </w:pPr>
            <w:r>
              <w:rPr>
                <w:rtl/>
              </w:rPr>
              <w:t xml:space="preserve">Coût Moyen Unitaire Pondéré</w:t>
            </w:r>
          </w:p>
        </w:tc>
        <w:tc>
          <w:tcPr>
            <w:tcW w:w="2631120" w:type="dxa"/>
          </w:tcPr>
          <w:p>
            <w:pPr>
              <w:pStyle w:val="Compact"/>
              <w:bidi/>
            </w:pPr>
            <w:r>
              <w:rPr>
                <w:rtl/>
              </w:rPr>
              <w:t xml:space="preserve">المتوسط المرجَّح للتكلفة الوحدوية</w:t>
            </w:r>
          </w:p>
        </w:tc>
      </w:tr>
      <w:tr>
        <w:tc>
          <w:tcPr>
            <w:tcW w:w="625216" w:type="dxa"/>
          </w:tcPr>
          <w:p>
            <w:pPr>
              <w:pStyle w:val="Compact"/>
              <w:bidi/>
            </w:pPr>
            <w:r>
              <w:rPr>
                <w:rtl/>
              </w:rPr>
              <w:t xml:space="preserve">CVT</w:t>
            </w:r>
          </w:p>
        </w:tc>
        <w:tc>
          <w:tcPr>
            <w:tcW w:w="2053663" w:type="dxa"/>
          </w:tcPr>
          <w:p>
            <w:pPr>
              <w:pStyle w:val="Compact"/>
              <w:bidi/>
            </w:pPr>
            <w:r>
              <w:rPr>
                <w:rtl/>
              </w:rPr>
              <w:t xml:space="preserve">Coût Variable Total</w:t>
            </w:r>
          </w:p>
        </w:tc>
        <w:tc>
          <w:tcPr>
            <w:tcW w:w="2631120" w:type="dxa"/>
          </w:tcPr>
          <w:p>
            <w:pPr>
              <w:pStyle w:val="Compact"/>
              <w:bidi/>
            </w:pPr>
            <w:r>
              <w:rPr>
                <w:rtl/>
              </w:rPr>
              <w:t xml:space="preserve">إجمالي التكاليف المتغيرة</w:t>
            </w:r>
          </w:p>
        </w:tc>
      </w:tr>
      <w:tr>
        <w:tc>
          <w:tcPr>
            <w:tcW w:w="625216" w:type="dxa"/>
          </w:tcPr>
          <w:p>
            <w:pPr>
              <w:pStyle w:val="Compact"/>
              <w:bidi/>
            </w:pPr>
            <w:r>
              <w:rPr>
                <w:rtl/>
              </w:rPr>
              <w:t xml:space="preserve">KPI</w:t>
            </w:r>
          </w:p>
        </w:tc>
        <w:tc>
          <w:tcPr>
            <w:tcW w:w="2053663" w:type="dxa"/>
          </w:tcPr>
          <w:p>
            <w:pPr>
              <w:pStyle w:val="Compact"/>
              <w:bidi/>
            </w:pPr>
            <w:r>
              <w:rPr>
                <w:rtl/>
              </w:rPr>
              <w:t xml:space="preserve">Key Performance Indicator</w:t>
            </w:r>
          </w:p>
        </w:tc>
        <w:tc>
          <w:tcPr>
            <w:tcW w:w="2631120" w:type="dxa"/>
          </w:tcPr>
          <w:p>
            <w:pPr>
              <w:pStyle w:val="Compact"/>
              <w:bidi/>
            </w:pPr>
            <w:r>
              <w:rPr>
                <w:rtl/>
              </w:rPr>
              <w:t xml:space="preserve">مؤشر الأداء الرئيسي</w:t>
            </w:r>
          </w:p>
        </w:tc>
      </w:tr>
      <w:tr>
        <w:tc>
          <w:tcPr>
            <w:tcW w:w="625216" w:type="dxa"/>
          </w:tcPr>
          <w:p>
            <w:pPr>
              <w:pStyle w:val="Compact"/>
              <w:bidi/>
            </w:pPr>
            <w:r>
              <w:rPr>
                <w:rtl/>
              </w:rPr>
              <w:t xml:space="preserve">ABC</w:t>
            </w:r>
          </w:p>
        </w:tc>
        <w:tc>
          <w:tcPr>
            <w:tcW w:w="2053663" w:type="dxa"/>
          </w:tcPr>
          <w:p>
            <w:pPr>
              <w:pStyle w:val="Compact"/>
              <w:bidi/>
            </w:pPr>
            <w:r>
              <w:rPr>
                <w:rtl/>
              </w:rPr>
              <w:t xml:space="preserve">Analyse ABC (Pareto)</w:t>
            </w:r>
          </w:p>
        </w:tc>
        <w:tc>
          <w:tcPr>
            <w:tcW w:w="2631120" w:type="dxa"/>
          </w:tcPr>
          <w:p>
            <w:pPr>
              <w:pStyle w:val="Compact"/>
              <w:bidi/>
            </w:pPr>
            <w:r>
              <w:rPr>
                <w:rtl/>
              </w:rPr>
              <w:t xml:space="preserve">تصنيف باريتو الثلاثي</w:t>
            </w:r>
          </w:p>
        </w:tc>
      </w:tr>
      <w:tr>
        <w:tc>
          <w:tcPr>
            <w:tcW w:w="625216" w:type="dxa"/>
          </w:tcPr>
          <w:p>
            <w:pPr>
              <w:pStyle w:val="Compact"/>
              <w:bidi/>
            </w:pPr>
            <w:r>
              <w:rPr>
                <w:rtl/>
              </w:rPr>
              <w:t xml:space="preserve">DA</w:t>
            </w:r>
          </w:p>
        </w:tc>
        <w:tc>
          <w:tcPr>
            <w:tcW w:w="2053663" w:type="dxa"/>
          </w:tcPr>
          <w:p>
            <w:pPr>
              <w:pStyle w:val="Compact"/>
              <w:bidi/>
            </w:pPr>
            <w:r>
              <w:rPr>
                <w:rtl/>
              </w:rPr>
              <w:t xml:space="preserve">Demande d’Achat</w:t>
            </w:r>
          </w:p>
        </w:tc>
        <w:tc>
          <w:tcPr>
            <w:tcW w:w="2631120" w:type="dxa"/>
          </w:tcPr>
          <w:p>
            <w:pPr>
              <w:pStyle w:val="Compact"/>
              <w:bidi/>
            </w:pPr>
            <w:r>
              <w:rPr>
                <w:rtl/>
              </w:rPr>
              <w:t xml:space="preserve">طلب الشراء الداخلي</w:t>
            </w:r>
          </w:p>
        </w:tc>
      </w:tr>
      <w:tr>
        <w:tc>
          <w:tcPr>
            <w:tcW w:w="625216" w:type="dxa"/>
          </w:tcPr>
          <w:p>
            <w:pPr>
              <w:pStyle w:val="Compact"/>
              <w:bidi/>
            </w:pPr>
            <w:r>
              <w:rPr>
                <w:rtl/>
              </w:rPr>
              <w:t xml:space="preserve">BC</w:t>
            </w:r>
          </w:p>
        </w:tc>
        <w:tc>
          <w:tcPr>
            <w:tcW w:w="2053663" w:type="dxa"/>
          </w:tcPr>
          <w:p>
            <w:pPr>
              <w:pStyle w:val="Compact"/>
              <w:bidi/>
            </w:pPr>
            <w:r>
              <w:rPr>
                <w:rtl/>
              </w:rPr>
              <w:t xml:space="preserve">Bon de Commande</w:t>
            </w:r>
          </w:p>
        </w:tc>
        <w:tc>
          <w:tcPr>
            <w:tcW w:w="2631120" w:type="dxa"/>
          </w:tcPr>
          <w:p>
            <w:pPr>
              <w:pStyle w:val="Compact"/>
              <w:bidi/>
            </w:pPr>
            <w:r>
              <w:rPr>
                <w:rtl/>
              </w:rPr>
              <w:t xml:space="preserve">أمر الشراء</w:t>
            </w:r>
          </w:p>
        </w:tc>
      </w:tr>
      <w:tr>
        <w:tc>
          <w:tcPr>
            <w:tcW w:w="625216" w:type="dxa"/>
          </w:tcPr>
          <w:p>
            <w:pPr>
              <w:pStyle w:val="Compact"/>
              <w:bidi/>
            </w:pPr>
            <w:r>
              <w:rPr>
                <w:rtl/>
              </w:rPr>
              <w:t xml:space="preserve">BR</w:t>
            </w:r>
          </w:p>
        </w:tc>
        <w:tc>
          <w:tcPr>
            <w:tcW w:w="2053663" w:type="dxa"/>
          </w:tcPr>
          <w:p>
            <w:pPr>
              <w:pStyle w:val="Compact"/>
              <w:bidi/>
            </w:pPr>
            <w:r>
              <w:rPr>
                <w:rtl/>
              </w:rPr>
              <w:t xml:space="preserve">Bon de Réception</w:t>
            </w:r>
          </w:p>
        </w:tc>
        <w:tc>
          <w:tcPr>
            <w:tcW w:w="2631120" w:type="dxa"/>
          </w:tcPr>
          <w:p>
            <w:pPr>
              <w:pStyle w:val="Compact"/>
              <w:bidi/>
            </w:pPr>
            <w:r>
              <w:rPr>
                <w:rtl/>
              </w:rPr>
              <w:t xml:space="preserve">وصل الاستلام</w:t>
            </w:r>
          </w:p>
        </w:tc>
      </w:tr>
      <w:tr>
        <w:tc>
          <w:tcPr>
            <w:tcW w:w="625216" w:type="dxa"/>
          </w:tcPr>
          <w:p>
            <w:pPr>
              <w:pStyle w:val="Compact"/>
              <w:bidi/>
            </w:pPr>
            <w:r>
              <w:rPr>
                <w:rtl/>
              </w:rPr>
              <w:t xml:space="preserve">BS</w:t>
            </w:r>
          </w:p>
        </w:tc>
        <w:tc>
          <w:tcPr>
            <w:tcW w:w="2053663" w:type="dxa"/>
          </w:tcPr>
          <w:p>
            <w:pPr>
              <w:pStyle w:val="Compact"/>
              <w:bidi/>
            </w:pPr>
            <w:r>
              <w:rPr>
                <w:rtl/>
              </w:rPr>
              <w:t xml:space="preserve">Bon de Sortie</w:t>
            </w:r>
          </w:p>
        </w:tc>
        <w:tc>
          <w:tcPr>
            <w:tcW w:w="2631120" w:type="dxa"/>
          </w:tcPr>
          <w:p>
            <w:pPr>
              <w:pStyle w:val="Compact"/>
              <w:bidi/>
            </w:pPr>
            <w:r>
              <w:rPr>
                <w:rtl/>
              </w:rPr>
              <w:t xml:space="preserve">وصل الإخراج</w:t>
            </w:r>
          </w:p>
        </w:tc>
      </w:tr>
      <w:tr>
        <w:tc>
          <w:tcPr>
            <w:tcW w:w="625216" w:type="dxa"/>
          </w:tcPr>
          <w:p>
            <w:pPr>
              <w:pStyle w:val="Compact"/>
              <w:bidi/>
            </w:pPr>
            <w:r>
              <w:rPr>
                <w:rtl/>
              </w:rPr>
              <w:t xml:space="preserve">LT</w:t>
            </w:r>
          </w:p>
        </w:tc>
        <w:tc>
          <w:tcPr>
            <w:tcW w:w="2053663" w:type="dxa"/>
          </w:tcPr>
          <w:p>
            <w:pPr>
              <w:pStyle w:val="Compact"/>
              <w:bidi/>
            </w:pPr>
            <w:r>
              <w:rPr>
                <w:rtl/>
              </w:rPr>
              <w:t xml:space="preserve">Lead Time</w:t>
            </w:r>
          </w:p>
        </w:tc>
        <w:tc>
          <w:tcPr>
            <w:tcW w:w="2631120" w:type="dxa"/>
          </w:tcPr>
          <w:p>
            <w:pPr>
              <w:pStyle w:val="Compact"/>
              <w:bidi/>
            </w:pPr>
            <w:r>
              <w:rPr>
                <w:rtl/>
              </w:rPr>
              <w:t xml:space="preserve">أجل التسليم</w:t>
            </w:r>
          </w:p>
        </w:tc>
      </w:tr>
      <w:tr>
        <w:tc>
          <w:tcPr>
            <w:tcW w:w="625216" w:type="dxa"/>
          </w:tcPr>
          <w:p>
            <w:pPr>
              <w:pStyle w:val="Compact"/>
              <w:bidi/>
            </w:pPr>
            <w:r>
              <w:rPr>
                <w:rtl/>
              </w:rPr>
              <w:t xml:space="preserve">D</w:t>
            </w:r>
          </w:p>
        </w:tc>
        <w:tc>
          <w:tcPr>
            <w:tcW w:w="2053663" w:type="dxa"/>
          </w:tcPr>
          <w:p>
            <w:pPr>
              <w:pStyle w:val="Compact"/>
              <w:bidi/>
            </w:pPr>
            <w:r>
              <w:rPr>
                <w:rtl/>
              </w:rPr>
              <w:t xml:space="preserve">Demande Annuelle</w:t>
            </w:r>
          </w:p>
        </w:tc>
        <w:tc>
          <w:tcPr>
            <w:tcW w:w="2631120" w:type="dxa"/>
          </w:tcPr>
          <w:p>
            <w:pPr>
              <w:pStyle w:val="Compact"/>
              <w:bidi/>
            </w:pPr>
            <w:r>
              <w:rPr>
                <w:rtl/>
              </w:rPr>
              <w:t xml:space="preserve">الطلب السنوي</w:t>
            </w:r>
          </w:p>
        </w:tc>
      </w:tr>
      <w:tr>
        <w:tc>
          <w:tcPr>
            <w:tcW w:w="625216" w:type="dxa"/>
          </w:tcPr>
          <w:p>
            <w:pPr>
              <w:pStyle w:val="Compact"/>
              <w:bidi/>
            </w:pPr>
            <w:r>
              <w:rPr>
                <w:rtl/>
              </w:rPr>
              <w:t xml:space="preserve">CoV</w:t>
            </w:r>
          </w:p>
        </w:tc>
        <w:tc>
          <w:tcPr>
            <w:tcW w:w="2053663" w:type="dxa"/>
          </w:tcPr>
          <w:p>
            <w:pPr>
              <w:pStyle w:val="Compact"/>
              <w:bidi/>
            </w:pPr>
            <w:r>
              <w:rPr>
                <w:rtl/>
              </w:rPr>
              <w:t xml:space="preserve">Coefficient of Variation</w:t>
            </w:r>
          </w:p>
        </w:tc>
        <w:tc>
          <w:tcPr>
            <w:tcW w:w="2631120" w:type="dxa"/>
          </w:tcPr>
          <w:p>
            <w:pPr>
              <w:pStyle w:val="Compact"/>
              <w:bidi/>
            </w:pPr>
            <w:r>
              <w:rPr>
                <w:rtl/>
              </w:rPr>
              <w:t xml:space="preserve">معامل التباين</w:t>
            </w:r>
          </w:p>
        </w:tc>
      </w:tr>
      <w:tr>
        <w:tc>
          <w:tcPr>
            <w:tcW w:w="625216" w:type="dxa"/>
          </w:tcPr>
          <w:p>
            <w:pPr>
              <w:pStyle w:val="Compact"/>
              <w:bidi/>
            </w:pPr>
            <w:r>
              <w:rPr>
                <w:rtl/>
              </w:rPr>
              <w:t xml:space="preserve">I</w:t>
            </w:r>
          </w:p>
        </w:tc>
        <w:tc>
          <w:tcPr>
            <w:tcW w:w="2053663" w:type="dxa"/>
          </w:tcPr>
          <w:p>
            <w:pPr>
              <w:pStyle w:val="Compact"/>
              <w:bidi/>
            </w:pPr>
            <w:r>
              <w:rPr>
                <w:rtl/>
              </w:rPr>
              <w:t xml:space="preserve">Taux de Possession</w:t>
            </w:r>
          </w:p>
        </w:tc>
        <w:tc>
          <w:tcPr>
            <w:tcW w:w="2631120" w:type="dxa"/>
          </w:tcPr>
          <w:p>
            <w:pPr>
              <w:pStyle w:val="Compact"/>
              <w:bidi/>
            </w:pPr>
            <w:r>
              <w:rPr>
                <w:rtl/>
              </w:rPr>
              <w:t xml:space="preserve">معدل حامل التكلفة (20% - CNEPD)</w:t>
            </w:r>
          </w:p>
        </w:tc>
      </w:tr>
      <w:tr>
        <w:tc>
          <w:tcPr>
            <w:tcW w:w="625216" w:type="dxa"/>
          </w:tcPr>
          <w:p>
            <w:pPr>
              <w:pStyle w:val="Compact"/>
              <w:bidi/>
            </w:pPr>
            <w:r>
              <w:rPr>
                <w:rtl/>
              </w:rPr>
              <w:t xml:space="preserve">SCO</w:t>
            </w:r>
          </w:p>
        </w:tc>
        <w:tc>
          <w:tcPr>
            <w:tcW w:w="2053663" w:type="dxa"/>
          </w:tcPr>
          <w:p>
            <w:pPr>
              <w:pStyle w:val="Compact"/>
              <w:bidi/>
            </w:pPr>
            <w:r>
              <w:rPr>
                <w:rtl/>
              </w:rPr>
              <w:t xml:space="preserve">Système Comptable des Organismes publics</w:t>
            </w:r>
          </w:p>
        </w:tc>
        <w:tc>
          <w:tcPr>
            <w:tcW w:w="2631120" w:type="dxa"/>
          </w:tcPr>
          <w:p>
            <w:pPr>
              <w:pStyle w:val="Compact"/>
              <w:bidi/>
            </w:pPr>
            <w:r>
              <w:rPr>
                <w:rtl/>
              </w:rPr>
              <w:t xml:space="preserve">النظام المحاسبي للهيئات العمومية</w:t>
            </w:r>
          </w:p>
        </w:tc>
      </w:tr>
      <w:tr>
        <w:tc>
          <w:tcPr>
            <w:tcW w:w="625216" w:type="dxa"/>
          </w:tcPr>
          <w:p>
            <w:pPr>
              <w:pStyle w:val="Compact"/>
              <w:bidi/>
            </w:pPr>
            <w:r>
              <w:rPr>
                <w:rtl/>
              </w:rPr>
              <w:t xml:space="preserve">TAG1801</w:t>
            </w:r>
          </w:p>
        </w:tc>
        <w:tc>
          <w:tcPr>
            <w:tcW w:w="2053663" w:type="dxa"/>
          </w:tcPr>
          <w:p>
            <w:pPr>
              <w:pStyle w:val="Compact"/>
              <w:bidi/>
            </w:pPr>
            <w:r>
              <w:rPr>
                <w:rtl/>
              </w:rPr>
              <w:t xml:space="preserve">Tag Formation CNEPD</w:t>
            </w:r>
          </w:p>
        </w:tc>
        <w:tc>
          <w:tcPr>
            <w:tcW w:w="2631120" w:type="dxa"/>
          </w:tcPr>
          <w:p>
            <w:pPr>
              <w:pStyle w:val="Compact"/>
              <w:bidi/>
            </w:pPr>
            <w:r>
              <w:rPr>
                <w:rtl/>
              </w:rPr>
              <w:t xml:space="preserve">رمز المنهاج التكويني (تسيير المخازن)</w:t>
            </w:r>
          </w:p>
        </w:tc>
      </w:tr>
      <w:tr>
        <w:tc>
          <w:tcPr>
            <w:tcW w:w="625216" w:type="dxa"/>
          </w:tcPr>
          <w:p>
            <w:pPr>
              <w:pStyle w:val="Compact"/>
              <w:bidi/>
            </w:pPr>
            <w:r>
              <w:rPr>
                <w:rtl/>
              </w:rPr>
              <w:t xml:space="preserve">SIGLE</w:t>
            </w:r>
          </w:p>
        </w:tc>
        <w:tc>
          <w:tcPr>
            <w:tcW w:w="2053663" w:type="dxa"/>
          </w:tcPr>
          <w:p>
            <w:pPr>
              <w:pStyle w:val="Compact"/>
              <w:bidi/>
            </w:pPr>
            <w:r>
              <w:rPr>
                <w:rtl/>
              </w:rPr>
              <w:t xml:space="preserve">Système Intégré de Gestion de la Logistique</w:t>
            </w:r>
          </w:p>
        </w:tc>
        <w:tc>
          <w:tcPr>
            <w:tcW w:w="2631120" w:type="dxa"/>
          </w:tcPr>
          <w:p>
            <w:pPr>
              <w:pStyle w:val="Compact"/>
              <w:bidi/>
            </w:pPr>
            <w:r>
              <w:rPr>
                <w:rtl/>
              </w:rPr>
              <w:t xml:space="preserve">منظومة المحاسبة العمومية الجزائرية</w:t>
            </w:r>
          </w:p>
        </w:tc>
      </w:tr>
      <w:tr>
        <w:tc>
          <w:tcPr>
            <w:tcW w:w="625216" w:type="dxa"/>
          </w:tcPr>
          <w:p>
            <w:pPr>
              <w:pStyle w:val="Compact"/>
              <w:bidi/>
            </w:pPr>
            <w:r>
              <w:rPr>
                <w:rtl/>
              </w:rPr>
              <w:t xml:space="preserve">DSS</w:t>
            </w:r>
          </w:p>
        </w:tc>
        <w:tc>
          <w:tcPr>
            <w:tcW w:w="2053663" w:type="dxa"/>
          </w:tcPr>
          <w:p>
            <w:pPr>
              <w:pStyle w:val="Compact"/>
              <w:bidi/>
            </w:pPr>
            <w:r>
              <w:rPr>
                <w:rtl/>
              </w:rPr>
              <w:t xml:space="preserve">Decision Support System</w:t>
            </w:r>
          </w:p>
        </w:tc>
        <w:tc>
          <w:tcPr>
            <w:tcW w:w="2631120" w:type="dxa"/>
          </w:tcPr>
          <w:p>
            <w:pPr>
              <w:pStyle w:val="Compact"/>
              <w:bidi/>
            </w:pPr>
            <w:r>
              <w:rPr>
                <w:rtl/>
              </w:rPr>
              <w:t xml:space="preserve">نظام دعم القرار لتسيير المخزون</w:t>
            </w:r>
          </w:p>
        </w:tc>
      </w:tr>
    </w:tbl>
    <w:bookmarkEnd w:id="153"/>
    <w:bookmarkStart w:id="160" w:name="قائمة-المصطلحات"/>
    <w:p>
      <w:pPr>
        <w:pStyle w:val="Heading1"/>
        <w:bidi/>
      </w:pPr>
      <w:r>
        <w:rPr>
          <w:rtl/>
        </w:rPr>
        <w:t xml:space="preserve">قائمة المصطلحات</w:t>
      </w:r>
    </w:p>
    <w:bookmarkStart w:id="154" w:name="المصطلحات-اللوجستية-والتسييرية"/>
    <w:p>
      <w:pPr>
        <w:pStyle w:val="Heading2"/>
        <w:bidi/>
      </w:pPr>
      <w:r>
        <w:rPr>
          <w:rtl/>
        </w:rPr>
        <w:t xml:space="preserve">المصطلحات اللوجستية والتسييرية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002495" w:type="dxa"/>
          </w:tcPr>
          <w:p>
            <w:pPr>
              <w:pStyle w:val="Compact"/>
              <w:bidi/>
            </w:pPr>
            <w:r>
              <w:rPr>
                <w:rtl/>
              </w:rPr>
              <w:t xml:space="preserve">العربية</w:t>
            </w:r>
          </w:p>
        </w:tc>
        <w:tc>
          <w:tcPr>
            <w:tcW w:w="1032670" w:type="dxa"/>
          </w:tcPr>
          <w:p>
            <w:pPr>
              <w:pStyle w:val="Compact"/>
              <w:bidi/>
            </w:pPr>
            <w:r>
              <w:rPr>
                <w:rtl/>
              </w:rPr>
              <w:t xml:space="preserve">الفرنسية</w:t>
            </w:r>
          </w:p>
        </w:tc>
        <w:tc>
          <w:tcPr>
            <w:tcW w:w="1069551" w:type="dxa"/>
          </w:tcPr>
          <w:p>
            <w:pPr>
              <w:pStyle w:val="Compact"/>
              <w:bidi/>
            </w:pPr>
            <w:r>
              <w:rPr>
                <w:rtl/>
              </w:rPr>
              <w:t xml:space="preserve">الإنجليزية</w:t>
            </w:r>
          </w:p>
        </w:tc>
        <w:tc>
          <w:tcPr>
            <w:tcW w:w="2055282" w:type="dxa"/>
          </w:tcPr>
          <w:p>
            <w:pPr>
              <w:pStyle w:val="Compact"/>
              <w:bidi/>
            </w:pPr>
            <w:r>
              <w:rPr>
                <w:rtl/>
              </w:rPr>
              <w:t xml:space="preserve">التعريف</w:t>
            </w:r>
          </w:p>
        </w:tc>
      </w:tr>
      <w:tr>
        <w:tc>
          <w:tcPr>
            <w:tcW w:w="1002495" w:type="dxa"/>
          </w:tcPr>
          <w:p>
            <w:pPr>
              <w:pStyle w:val="Compact"/>
              <w:bidi/>
            </w:pPr>
            <w:r>
              <w:rPr>
                <w:rtl/>
              </w:rPr>
              <w:t xml:space="preserve">تسيير المخازن</w:t>
            </w:r>
          </w:p>
        </w:tc>
        <w:tc>
          <w:tcPr>
            <w:tcW w:w="1032670" w:type="dxa"/>
          </w:tcPr>
          <w:p>
            <w:pPr>
              <w:pStyle w:val="Compact"/>
              <w:bidi/>
            </w:pPr>
            <w:r>
              <w:rPr>
                <w:rtl/>
              </w:rPr>
              <w:t xml:space="preserve">Gestion des stocks</w:t>
            </w:r>
          </w:p>
        </w:tc>
        <w:tc>
          <w:tcPr>
            <w:tcW w:w="1069551" w:type="dxa"/>
          </w:tcPr>
          <w:p>
            <w:pPr>
              <w:pStyle w:val="Compact"/>
              <w:bidi/>
            </w:pPr>
            <w:r>
              <w:rPr>
                <w:rtl/>
              </w:rPr>
              <w:t xml:space="preserve">Inventory Management</w:t>
            </w:r>
          </w:p>
        </w:tc>
        <w:tc>
          <w:tcPr>
            <w:tcW w:w="2055282" w:type="dxa"/>
          </w:tcPr>
          <w:p>
            <w:pPr>
              <w:pStyle w:val="Compact"/>
              <w:bidi/>
            </w:pPr>
            <w:r>
              <w:rPr>
                <w:rtl/>
              </w:rPr>
              <w:t xml:space="preserve">عملية مراقبة وتدفق المواد</w:t>
            </w:r>
          </w:p>
        </w:tc>
      </w:tr>
      <w:tr>
        <w:tc>
          <w:tcPr>
            <w:tcW w:w="1002495" w:type="dxa"/>
          </w:tcPr>
          <w:p>
            <w:pPr>
              <w:pStyle w:val="Compact"/>
              <w:bidi/>
            </w:pPr>
            <w:r>
              <w:rPr>
                <w:rtl/>
              </w:rPr>
              <w:t xml:space="preserve">المخزون</w:t>
            </w:r>
          </w:p>
        </w:tc>
        <w:tc>
          <w:tcPr>
            <w:tcW w:w="1032670" w:type="dxa"/>
          </w:tcPr>
          <w:p>
            <w:pPr>
              <w:pStyle w:val="Compact"/>
              <w:bidi/>
            </w:pPr>
            <w:r>
              <w:rPr>
                <w:rtl/>
              </w:rPr>
              <w:t xml:space="preserve">Stock</w:t>
            </w:r>
          </w:p>
        </w:tc>
        <w:tc>
          <w:tcPr>
            <w:tcW w:w="1069551" w:type="dxa"/>
          </w:tcPr>
          <w:p>
            <w:pPr>
              <w:pStyle w:val="Compact"/>
              <w:bidi/>
            </w:pPr>
            <w:r>
              <w:rPr>
                <w:rtl/>
              </w:rPr>
              <w:t xml:space="preserve">Inventory</w:t>
            </w:r>
          </w:p>
        </w:tc>
        <w:tc>
          <w:tcPr>
            <w:tcW w:w="2055282" w:type="dxa"/>
          </w:tcPr>
          <w:p>
            <w:pPr>
              <w:pStyle w:val="Compact"/>
              <w:bidi/>
            </w:pPr>
            <w:r>
              <w:rPr>
                <w:rtl/>
              </w:rPr>
              <w:t xml:space="preserve">المواد المخزنة للاستخدام</w:t>
            </w:r>
          </w:p>
        </w:tc>
      </w:tr>
      <w:tr>
        <w:tc>
          <w:tcPr>
            <w:tcW w:w="1002495" w:type="dxa"/>
          </w:tcPr>
          <w:p>
            <w:pPr>
              <w:pStyle w:val="Compact"/>
              <w:bidi/>
            </w:pPr>
            <w:r>
              <w:rPr>
                <w:rtl/>
              </w:rPr>
              <w:t xml:space="preserve">مخزون الأمان</w:t>
            </w:r>
          </w:p>
        </w:tc>
        <w:tc>
          <w:tcPr>
            <w:tcW w:w="1032670" w:type="dxa"/>
          </w:tcPr>
          <w:p>
            <w:pPr>
              <w:pStyle w:val="Compact"/>
              <w:bidi/>
            </w:pPr>
            <w:r>
              <w:rPr>
                <w:rtl/>
              </w:rPr>
              <w:t xml:space="preserve">Stock de sécurité</w:t>
            </w:r>
          </w:p>
        </w:tc>
        <w:tc>
          <w:tcPr>
            <w:tcW w:w="1069551" w:type="dxa"/>
          </w:tcPr>
          <w:p>
            <w:pPr>
              <w:pStyle w:val="Compact"/>
              <w:bidi/>
            </w:pPr>
            <w:r>
              <w:rPr>
                <w:rtl/>
              </w:rPr>
              <w:t xml:space="preserve">Safety Stock</w:t>
            </w:r>
          </w:p>
        </w:tc>
        <w:tc>
          <w:tcPr>
            <w:tcW w:w="2055282" w:type="dxa"/>
          </w:tcPr>
          <w:p>
            <w:pPr>
              <w:pStyle w:val="Compact"/>
              <w:bidi/>
            </w:pPr>
            <w:r>
              <w:rPr>
                <w:rtl/>
              </w:rPr>
              <w:t xml:space="preserve">رصيد احتياطي للحماية من نفاد المخزون</w:t>
            </w:r>
          </w:p>
        </w:tc>
      </w:tr>
      <w:tr>
        <w:tc>
          <w:tcPr>
            <w:tcW w:w="1002495" w:type="dxa"/>
          </w:tcPr>
          <w:p>
            <w:pPr>
              <w:pStyle w:val="Compact"/>
              <w:bidi/>
            </w:pPr>
            <w:r>
              <w:rPr>
                <w:rtl/>
              </w:rPr>
              <w:t xml:space="preserve">نقطة إعادة الطلب</w:t>
            </w:r>
          </w:p>
        </w:tc>
        <w:tc>
          <w:tcPr>
            <w:tcW w:w="1032670" w:type="dxa"/>
          </w:tcPr>
          <w:p>
            <w:pPr>
              <w:pStyle w:val="Compact"/>
              <w:bidi/>
            </w:pPr>
            <w:r>
              <w:rPr>
                <w:rtl/>
              </w:rPr>
              <w:t xml:space="preserve">Point de réapprovisionnement</w:t>
            </w:r>
          </w:p>
        </w:tc>
        <w:tc>
          <w:tcPr>
            <w:tcW w:w="1069551" w:type="dxa"/>
          </w:tcPr>
          <w:p>
            <w:pPr>
              <w:pStyle w:val="Compact"/>
              <w:bidi/>
            </w:pPr>
            <w:r>
              <w:rPr>
                <w:rtl/>
              </w:rPr>
              <w:t xml:space="preserve">Reorder Point (ROP)</w:t>
            </w:r>
          </w:p>
        </w:tc>
        <w:tc>
          <w:tcPr>
            <w:tcW w:w="2055282" w:type="dxa"/>
          </w:tcPr>
          <w:p>
            <w:pPr>
              <w:pStyle w:val="Compact"/>
              <w:bidi/>
            </w:pPr>
            <w:r>
              <w:rPr>
                <w:rtl/>
              </w:rPr>
              <w:t xml:space="preserve">مستوى المخزون الذي يُطلق أمر الشراء</w:t>
            </w:r>
          </w:p>
        </w:tc>
      </w:tr>
      <w:tr>
        <w:tc>
          <w:tcPr>
            <w:tcW w:w="1002495" w:type="dxa"/>
          </w:tcPr>
          <w:p>
            <w:pPr>
              <w:pStyle w:val="Compact"/>
              <w:bidi/>
            </w:pPr>
            <w:r>
              <w:rPr>
                <w:rtl/>
              </w:rPr>
              <w:t xml:space="preserve">الكمية الاقتصادية</w:t>
            </w:r>
          </w:p>
        </w:tc>
        <w:tc>
          <w:tcPr>
            <w:tcW w:w="1032670" w:type="dxa"/>
          </w:tcPr>
          <w:p>
            <w:pPr>
              <w:pStyle w:val="Compact"/>
              <w:bidi/>
            </w:pPr>
            <w:r>
              <w:rPr>
                <w:rtl/>
              </w:rPr>
              <w:t xml:space="preserve">Quantité économique</w:t>
            </w:r>
          </w:p>
        </w:tc>
        <w:tc>
          <w:tcPr>
            <w:tcW w:w="1069551" w:type="dxa"/>
          </w:tcPr>
          <w:p>
            <w:pPr>
              <w:pStyle w:val="Compact"/>
              <w:bidi/>
            </w:pPr>
            <w:r>
              <w:rPr>
                <w:rtl/>
              </w:rPr>
              <w:t xml:space="preserve">Economic Order Quantity (EOQ)</w:t>
            </w:r>
          </w:p>
        </w:tc>
        <w:tc>
          <w:tcPr>
            <w:tcW w:w="2055282" w:type="dxa"/>
          </w:tcPr>
          <w:p>
            <w:pPr>
              <w:pStyle w:val="Compact"/>
              <w:bidi/>
            </w:pPr>
            <w:r>
              <w:rPr>
                <w:rtl/>
              </w:rPr>
              <w:t xml:space="preserve">الحجم الأمثل للطلب</w:t>
            </w:r>
          </w:p>
        </w:tc>
      </w:tr>
      <w:tr>
        <w:tc>
          <w:tcPr>
            <w:tcW w:w="1002495" w:type="dxa"/>
          </w:tcPr>
          <w:p>
            <w:pPr>
              <w:pStyle w:val="Compact"/>
              <w:bidi/>
            </w:pPr>
            <w:r>
              <w:rPr>
                <w:rtl/>
              </w:rPr>
              <w:t xml:space="preserve">الجرد الدائم</w:t>
            </w:r>
          </w:p>
        </w:tc>
        <w:tc>
          <w:tcPr>
            <w:tcW w:w="1032670" w:type="dxa"/>
          </w:tcPr>
          <w:p>
            <w:pPr>
              <w:pStyle w:val="Compact"/>
              <w:bidi/>
            </w:pPr>
            <w:r>
              <w:rPr>
                <w:rtl/>
              </w:rPr>
              <w:t xml:space="preserve">Inventaire permanent</w:t>
            </w:r>
          </w:p>
        </w:tc>
        <w:tc>
          <w:tcPr>
            <w:tcW w:w="1069551" w:type="dxa"/>
          </w:tcPr>
          <w:p>
            <w:pPr>
              <w:pStyle w:val="Compact"/>
              <w:bidi/>
            </w:pPr>
            <w:r>
              <w:rPr>
                <w:rtl/>
              </w:rPr>
              <w:t xml:space="preserve">Perpetual Inventory</w:t>
            </w:r>
          </w:p>
        </w:tc>
        <w:tc>
          <w:tcPr>
            <w:tcW w:w="2055282" w:type="dxa"/>
          </w:tcPr>
          <w:p>
            <w:pPr>
              <w:pStyle w:val="Compact"/>
              <w:bidi/>
            </w:pPr>
            <w:r>
              <w:rPr>
                <w:rtl/>
              </w:rPr>
              <w:t xml:space="preserve">تحديث مستمر للرصيد</w:t>
            </w:r>
          </w:p>
        </w:tc>
      </w:tr>
      <w:tr>
        <w:tc>
          <w:tcPr>
            <w:tcW w:w="1002495" w:type="dxa"/>
          </w:tcPr>
          <w:p>
            <w:pPr>
              <w:pStyle w:val="Compact"/>
              <w:bidi/>
            </w:pPr>
            <w:r>
              <w:rPr>
                <w:rtl/>
              </w:rPr>
              <w:t xml:space="preserve">الجرد الدوري</w:t>
            </w:r>
          </w:p>
        </w:tc>
        <w:tc>
          <w:tcPr>
            <w:tcW w:w="1032670" w:type="dxa"/>
          </w:tcPr>
          <w:p>
            <w:pPr>
              <w:pStyle w:val="Compact"/>
              <w:bidi/>
            </w:pPr>
            <w:r>
              <w:rPr>
                <w:rtl/>
              </w:rPr>
              <w:t xml:space="preserve">Inventaire périodique</w:t>
            </w:r>
          </w:p>
        </w:tc>
        <w:tc>
          <w:tcPr>
            <w:tcW w:w="1069551" w:type="dxa"/>
          </w:tcPr>
          <w:p>
            <w:pPr>
              <w:pStyle w:val="Compact"/>
              <w:bidi/>
            </w:pPr>
            <w:r>
              <w:rPr>
                <w:rtl/>
              </w:rPr>
              <w:t xml:space="preserve">Periodic Inventory</w:t>
            </w:r>
          </w:p>
        </w:tc>
        <w:tc>
          <w:tcPr>
            <w:tcW w:w="2055282" w:type="dxa"/>
          </w:tcPr>
          <w:p>
            <w:pPr>
              <w:pStyle w:val="Compact"/>
              <w:bidi/>
            </w:pPr>
            <w:r>
              <w:rPr>
                <w:rtl/>
              </w:rPr>
              <w:t xml:space="preserve">جرد موسمي</w:t>
            </w:r>
          </w:p>
        </w:tc>
      </w:tr>
      <w:tr>
        <w:tc>
          <w:tcPr>
            <w:tcW w:w="1002495" w:type="dxa"/>
          </w:tcPr>
          <w:p>
            <w:pPr>
              <w:pStyle w:val="Compact"/>
              <w:bidi/>
            </w:pPr>
            <w:r>
              <w:rPr>
                <w:rtl/>
              </w:rPr>
              <w:t xml:space="preserve">تصنيف ABC</w:t>
            </w:r>
          </w:p>
        </w:tc>
        <w:tc>
          <w:tcPr>
            <w:tcW w:w="1032670" w:type="dxa"/>
          </w:tcPr>
          <w:p>
            <w:pPr>
              <w:pStyle w:val="Compact"/>
              <w:bidi/>
            </w:pPr>
            <w:r>
              <w:rPr>
                <w:rtl/>
              </w:rPr>
              <w:t xml:space="preserve">Classification ABC</w:t>
            </w:r>
          </w:p>
        </w:tc>
        <w:tc>
          <w:tcPr>
            <w:tcW w:w="1069551" w:type="dxa"/>
          </w:tcPr>
          <w:p>
            <w:pPr>
              <w:pStyle w:val="Compact"/>
              <w:bidi/>
            </w:pPr>
            <w:r>
              <w:rPr>
                <w:rtl/>
              </w:rPr>
              <w:t xml:space="preserve">ABC Classification</w:t>
            </w:r>
          </w:p>
        </w:tc>
        <w:tc>
          <w:tcPr>
            <w:tcW w:w="2055282" w:type="dxa"/>
          </w:tcPr>
          <w:p>
            <w:pPr>
              <w:pStyle w:val="Compact"/>
              <w:bidi/>
            </w:pPr>
            <w:r>
              <w:rPr>
                <w:rtl/>
              </w:rPr>
              <w:t xml:space="preserve">تصنيف باريتو الثلاثي</w:t>
            </w:r>
          </w:p>
        </w:tc>
      </w:tr>
      <w:tr>
        <w:tc>
          <w:tcPr>
            <w:tcW w:w="1002495" w:type="dxa"/>
          </w:tcPr>
          <w:p>
            <w:pPr>
              <w:pStyle w:val="Compact"/>
              <w:bidi/>
            </w:pPr>
            <w:r>
              <w:rPr>
                <w:rtl/>
              </w:rPr>
              <w:t xml:space="preserve">تصنيف XYZ</w:t>
            </w:r>
          </w:p>
        </w:tc>
        <w:tc>
          <w:tcPr>
            <w:tcW w:w="1032670" w:type="dxa"/>
          </w:tcPr>
          <w:p>
            <w:pPr>
              <w:pStyle w:val="Compact"/>
              <w:bidi/>
            </w:pPr>
            <w:r>
              <w:rPr>
                <w:rtl/>
              </w:rPr>
              <w:t xml:space="preserve">Classification XYZ</w:t>
            </w:r>
          </w:p>
        </w:tc>
        <w:tc>
          <w:tcPr>
            <w:tcW w:w="1069551" w:type="dxa"/>
          </w:tcPr>
          <w:p>
            <w:pPr>
              <w:pStyle w:val="Compact"/>
              <w:bidi/>
            </w:pPr>
            <w:r>
              <w:rPr>
                <w:rtl/>
              </w:rPr>
              <w:t xml:space="preserve">XYZ Classification</w:t>
            </w:r>
          </w:p>
        </w:tc>
        <w:tc>
          <w:tcPr>
            <w:tcW w:w="2055282" w:type="dxa"/>
          </w:tcPr>
          <w:p>
            <w:pPr>
              <w:pStyle w:val="Compact"/>
              <w:bidi/>
            </w:pPr>
            <w:r>
              <w:rPr>
                <w:rtl/>
              </w:rPr>
              <w:t xml:space="preserve">تصنيف حسب تقلب الطلب</w:t>
            </w:r>
          </w:p>
        </w:tc>
      </w:tr>
      <w:tr>
        <w:tc>
          <w:tcPr>
            <w:tcW w:w="1002495" w:type="dxa"/>
          </w:tcPr>
          <w:p>
            <w:pPr>
              <w:pStyle w:val="Compact"/>
              <w:bidi/>
            </w:pPr>
            <w:r>
              <w:rPr>
                <w:rtl/>
              </w:rPr>
              <w:t xml:space="preserve">CMUP</w:t>
            </w:r>
          </w:p>
        </w:tc>
        <w:tc>
          <w:tcPr>
            <w:tcW w:w="1032670" w:type="dxa"/>
          </w:tcPr>
          <w:p>
            <w:pPr>
              <w:pStyle w:val="Compact"/>
              <w:bidi/>
            </w:pPr>
            <w:r>
              <w:rPr>
                <w:rtl/>
              </w:rPr>
              <w:t xml:space="preserve">CMUP</w:t>
            </w:r>
          </w:p>
        </w:tc>
        <w:tc>
          <w:tcPr>
            <w:tcW w:w="1069551" w:type="dxa"/>
          </w:tcPr>
          <w:p>
            <w:pPr>
              <w:pStyle w:val="Compact"/>
              <w:bidi/>
            </w:pPr>
            <w:r>
              <w:rPr>
                <w:rtl/>
              </w:rPr>
              <w:t xml:space="preserve">Weighted Average Cost</w:t>
            </w:r>
          </w:p>
        </w:tc>
        <w:tc>
          <w:tcPr>
            <w:tcW w:w="2055282" w:type="dxa"/>
          </w:tcPr>
          <w:p>
            <w:pPr>
              <w:pStyle w:val="Compact"/>
              <w:bidi/>
            </w:pPr>
            <w:r>
              <w:rPr>
                <w:rtl/>
              </w:rPr>
              <w:t xml:space="preserve">التكلفة المتوسطة المرجحة</w:t>
            </w:r>
          </w:p>
        </w:tc>
      </w:tr>
      <w:tr>
        <w:tc>
          <w:tcPr>
            <w:tcW w:w="1002495" w:type="dxa"/>
          </w:tcPr>
          <w:p>
            <w:pPr>
              <w:pStyle w:val="Compact"/>
              <w:bidi/>
            </w:pPr>
            <w:r>
              <w:rPr>
                <w:rtl/>
              </w:rPr>
              <w:t xml:space="preserve">FIFO</w:t>
            </w:r>
          </w:p>
        </w:tc>
        <w:tc>
          <w:tcPr>
            <w:tcW w:w="1032670" w:type="dxa"/>
          </w:tcPr>
          <w:p>
            <w:pPr>
              <w:pStyle w:val="Compact"/>
              <w:bidi/>
            </w:pPr>
            <w:r>
              <w:rPr>
                <w:rtl/>
              </w:rPr>
              <w:t xml:space="preserve">FIFO</w:t>
            </w:r>
          </w:p>
        </w:tc>
        <w:tc>
          <w:tcPr>
            <w:tcW w:w="1069551" w:type="dxa"/>
          </w:tcPr>
          <w:p>
            <w:pPr>
              <w:pStyle w:val="Compact"/>
              <w:bidi/>
            </w:pPr>
            <w:r>
              <w:rPr>
                <w:rtl/>
              </w:rPr>
              <w:t xml:space="preserve">First In, First Out</w:t>
            </w:r>
          </w:p>
        </w:tc>
        <w:tc>
          <w:tcPr>
            <w:tcW w:w="2055282" w:type="dxa"/>
          </w:tcPr>
          <w:p>
            <w:pPr>
              <w:pStyle w:val="Compact"/>
              <w:bidi/>
            </w:pPr>
            <w:r>
              <w:rPr>
                <w:rtl/>
              </w:rPr>
              <w:t xml:space="preserve">أول دخول أول خروج</w:t>
            </w:r>
          </w:p>
        </w:tc>
      </w:tr>
      <w:tr>
        <w:tc>
          <w:tcPr>
            <w:tcW w:w="1002495" w:type="dxa"/>
          </w:tcPr>
          <w:p>
            <w:pPr>
              <w:pStyle w:val="Compact"/>
              <w:bidi/>
            </w:pPr>
            <w:r>
              <w:rPr>
                <w:rtl/>
              </w:rPr>
              <w:t xml:space="preserve">LIFO</w:t>
            </w:r>
          </w:p>
        </w:tc>
        <w:tc>
          <w:tcPr>
            <w:tcW w:w="1032670" w:type="dxa"/>
          </w:tcPr>
          <w:p>
            <w:pPr>
              <w:pStyle w:val="Compact"/>
              <w:bidi/>
            </w:pPr>
            <w:r>
              <w:rPr>
                <w:rtl/>
              </w:rPr>
              <w:t xml:space="preserve">LIFO</w:t>
            </w:r>
          </w:p>
        </w:tc>
        <w:tc>
          <w:tcPr>
            <w:tcW w:w="1069551" w:type="dxa"/>
          </w:tcPr>
          <w:p>
            <w:pPr>
              <w:pStyle w:val="Compact"/>
              <w:bidi/>
            </w:pPr>
            <w:r>
              <w:rPr>
                <w:rtl/>
              </w:rPr>
              <w:t xml:space="preserve">Last In, First Out</w:t>
            </w:r>
          </w:p>
        </w:tc>
        <w:tc>
          <w:tcPr>
            <w:tcW w:w="2055282" w:type="dxa"/>
          </w:tcPr>
          <w:p>
            <w:pPr>
              <w:pStyle w:val="Compact"/>
              <w:bidi/>
            </w:pPr>
            <w:r>
              <w:rPr>
                <w:rtl/>
              </w:rPr>
              <w:t xml:space="preserve">آخر دخول أول خروج</w:t>
            </w:r>
          </w:p>
        </w:tc>
      </w:tr>
      <w:tr>
        <w:tc>
          <w:tcPr>
            <w:tcW w:w="1002495" w:type="dxa"/>
          </w:tcPr>
          <w:p>
            <w:pPr>
              <w:pStyle w:val="Compact"/>
              <w:bidi/>
            </w:pPr>
            <w:r>
              <w:rPr>
                <w:rtl/>
              </w:rPr>
              <w:t xml:space="preserve">أمر الشراء</w:t>
            </w:r>
          </w:p>
        </w:tc>
        <w:tc>
          <w:tcPr>
            <w:tcW w:w="1032670" w:type="dxa"/>
          </w:tcPr>
          <w:p>
            <w:pPr>
              <w:pStyle w:val="Compact"/>
              <w:bidi/>
            </w:pPr>
            <w:r>
              <w:rPr>
                <w:rtl/>
              </w:rPr>
              <w:t xml:space="preserve">Bon de Commande</w:t>
            </w:r>
          </w:p>
        </w:tc>
        <w:tc>
          <w:tcPr>
            <w:tcW w:w="1069551" w:type="dxa"/>
          </w:tcPr>
          <w:p>
            <w:pPr>
              <w:pStyle w:val="Compact"/>
              <w:bidi/>
            </w:pPr>
            <w:r>
              <w:rPr>
                <w:rtl/>
              </w:rPr>
              <w:t xml:space="preserve">Purchase Order</w:t>
            </w:r>
          </w:p>
        </w:tc>
        <w:tc>
          <w:tcPr>
            <w:tcW w:w="2055282" w:type="dxa"/>
          </w:tcPr>
          <w:p>
            <w:pPr>
              <w:pStyle w:val="Compact"/>
              <w:bidi/>
            </w:pPr>
            <w:r>
              <w:rPr>
                <w:rtl/>
              </w:rPr>
              <w:t xml:space="preserve">وثيقة طلب الشراء</w:t>
            </w:r>
          </w:p>
        </w:tc>
      </w:tr>
      <w:tr>
        <w:tc>
          <w:tcPr>
            <w:tcW w:w="1002495" w:type="dxa"/>
          </w:tcPr>
          <w:p>
            <w:pPr>
              <w:pStyle w:val="Compact"/>
              <w:bidi/>
            </w:pPr>
            <w:r>
              <w:rPr>
                <w:rtl/>
              </w:rPr>
              <w:t xml:space="preserve">وصل الاستلام</w:t>
            </w:r>
          </w:p>
        </w:tc>
        <w:tc>
          <w:tcPr>
            <w:tcW w:w="1032670" w:type="dxa"/>
          </w:tcPr>
          <w:p>
            <w:pPr>
              <w:pStyle w:val="Compact"/>
              <w:bidi/>
            </w:pPr>
            <w:r>
              <w:rPr>
                <w:rtl/>
              </w:rPr>
              <w:t xml:space="preserve">Bon de Réception</w:t>
            </w:r>
          </w:p>
        </w:tc>
        <w:tc>
          <w:tcPr>
            <w:tcW w:w="1069551" w:type="dxa"/>
          </w:tcPr>
          <w:p>
            <w:pPr>
              <w:pStyle w:val="Compact"/>
              <w:bidi/>
            </w:pPr>
            <w:r>
              <w:rPr>
                <w:rtl/>
              </w:rPr>
              <w:t xml:space="preserve">Receipt Note</w:t>
            </w:r>
          </w:p>
        </w:tc>
        <w:tc>
          <w:tcPr>
            <w:tcW w:w="2055282" w:type="dxa"/>
          </w:tcPr>
          <w:p>
            <w:pPr>
              <w:pStyle w:val="Compact"/>
              <w:bidi/>
            </w:pPr>
            <w:r>
              <w:rPr>
                <w:rtl/>
              </w:rPr>
              <w:t xml:space="preserve">وثيقة استلام البضاعة</w:t>
            </w:r>
          </w:p>
        </w:tc>
      </w:tr>
      <w:tr>
        <w:tc>
          <w:tcPr>
            <w:tcW w:w="1002495" w:type="dxa"/>
          </w:tcPr>
          <w:p>
            <w:pPr>
              <w:pStyle w:val="Compact"/>
              <w:bidi/>
            </w:pPr>
            <w:r>
              <w:rPr>
                <w:rtl/>
              </w:rPr>
              <w:t xml:space="preserve">وصل الإخراج</w:t>
            </w:r>
          </w:p>
        </w:tc>
        <w:tc>
          <w:tcPr>
            <w:tcW w:w="1032670" w:type="dxa"/>
          </w:tcPr>
          <w:p>
            <w:pPr>
              <w:pStyle w:val="Compact"/>
              <w:bidi/>
            </w:pPr>
            <w:r>
              <w:rPr>
                <w:rtl/>
              </w:rPr>
              <w:t xml:space="preserve">Bon de Sortie</w:t>
            </w:r>
          </w:p>
        </w:tc>
        <w:tc>
          <w:tcPr>
            <w:tcW w:w="1069551" w:type="dxa"/>
          </w:tcPr>
          <w:p>
            <w:pPr>
              <w:pStyle w:val="Compact"/>
              <w:bidi/>
            </w:pPr>
            <w:r>
              <w:rPr>
                <w:rtl/>
              </w:rPr>
              <w:t xml:space="preserve">Issue Note</w:t>
            </w:r>
          </w:p>
        </w:tc>
        <w:tc>
          <w:tcPr>
            <w:tcW w:w="2055282" w:type="dxa"/>
          </w:tcPr>
          <w:p>
            <w:pPr>
              <w:pStyle w:val="Compact"/>
              <w:bidi/>
            </w:pPr>
            <w:r>
              <w:rPr>
                <w:rtl/>
              </w:rPr>
              <w:t xml:space="preserve">وثيقة صرف المواد</w:t>
            </w:r>
          </w:p>
        </w:tc>
      </w:tr>
      <w:tr>
        <w:tc>
          <w:tcPr>
            <w:tcW w:w="1002495" w:type="dxa"/>
          </w:tcPr>
          <w:p>
            <w:pPr>
              <w:pStyle w:val="Compact"/>
              <w:bidi/>
            </w:pPr>
            <w:r>
              <w:rPr>
                <w:rtl/>
              </w:rPr>
              <w:t xml:space="preserve">طلب الشراء</w:t>
            </w:r>
          </w:p>
        </w:tc>
        <w:tc>
          <w:tcPr>
            <w:tcW w:w="1032670" w:type="dxa"/>
          </w:tcPr>
          <w:p>
            <w:pPr>
              <w:pStyle w:val="Compact"/>
              <w:bidi/>
            </w:pPr>
            <w:r>
              <w:rPr>
                <w:rtl/>
              </w:rPr>
              <w:t xml:space="preserve">Demande d’Achat</w:t>
            </w:r>
          </w:p>
        </w:tc>
        <w:tc>
          <w:tcPr>
            <w:tcW w:w="1069551" w:type="dxa"/>
          </w:tcPr>
          <w:p>
            <w:pPr>
              <w:pStyle w:val="Compact"/>
              <w:bidi/>
            </w:pPr>
            <w:r>
              <w:rPr>
                <w:rtl/>
              </w:rPr>
              <w:t xml:space="preserve">Purchase Request</w:t>
            </w:r>
          </w:p>
        </w:tc>
        <w:tc>
          <w:tcPr>
            <w:tcW w:w="2055282" w:type="dxa"/>
          </w:tcPr>
          <w:p>
            <w:pPr>
              <w:pStyle w:val="Compact"/>
              <w:bidi/>
            </w:pPr>
            <w:r>
              <w:rPr>
                <w:rtl/>
              </w:rPr>
              <w:t xml:space="preserve">طلب داخلي للشراء</w:t>
            </w:r>
          </w:p>
        </w:tc>
      </w:tr>
      <w:tr>
        <w:tc>
          <w:tcPr>
            <w:tcW w:w="1002495" w:type="dxa"/>
          </w:tcPr>
          <w:p>
            <w:pPr>
              <w:pStyle w:val="Compact"/>
              <w:bidi/>
            </w:pPr>
            <w:r>
              <w:rPr>
                <w:rtl/>
              </w:rPr>
              <w:t xml:space="preserve">الدورة المستندية</w:t>
            </w:r>
          </w:p>
        </w:tc>
        <w:tc>
          <w:tcPr>
            <w:tcW w:w="1032670" w:type="dxa"/>
          </w:tcPr>
          <w:p>
            <w:pPr>
              <w:pStyle w:val="Compact"/>
              <w:bidi/>
            </w:pPr>
            <w:r>
              <w:rPr>
                <w:rtl/>
              </w:rPr>
              <w:t xml:space="preserve">Circuit documentaire</w:t>
            </w:r>
          </w:p>
        </w:tc>
        <w:tc>
          <w:tcPr>
            <w:tcW w:w="1069551" w:type="dxa"/>
          </w:tcPr>
          <w:p>
            <w:pPr>
              <w:pStyle w:val="Compact"/>
              <w:bidi/>
            </w:pPr>
            <w:r>
              <w:rPr>
                <w:rtl/>
              </w:rPr>
              <w:t xml:space="preserve">Documentary Cycle</w:t>
            </w:r>
          </w:p>
        </w:tc>
        <w:tc>
          <w:tcPr>
            <w:tcW w:w="2055282" w:type="dxa"/>
          </w:tcPr>
          <w:p>
            <w:pPr>
              <w:pStyle w:val="Compact"/>
              <w:bidi/>
            </w:pPr>
            <w:r>
              <w:rPr>
                <w:rtl/>
              </w:rPr>
              <w:t xml:space="preserve">سلسلة الوثائق المترابطة</w:t>
            </w:r>
          </w:p>
        </w:tc>
      </w:tr>
      <w:tr>
        <w:tc>
          <w:tcPr>
            <w:tcW w:w="1002495" w:type="dxa"/>
          </w:tcPr>
          <w:p>
            <w:pPr>
              <w:pStyle w:val="Compact"/>
              <w:bidi/>
            </w:pPr>
            <w:r>
              <w:rPr>
                <w:rtl/>
              </w:rPr>
              <w:t xml:space="preserve">الرصيد الدفتري</w:t>
            </w:r>
          </w:p>
        </w:tc>
        <w:tc>
          <w:tcPr>
            <w:tcW w:w="1032670" w:type="dxa"/>
          </w:tcPr>
          <w:p>
            <w:pPr>
              <w:pStyle w:val="Compact"/>
              <w:bidi/>
            </w:pPr>
            <w:r>
              <w:rPr>
                <w:rtl/>
              </w:rPr>
              <w:t xml:space="preserve">Solde comptable</w:t>
            </w:r>
          </w:p>
        </w:tc>
        <w:tc>
          <w:tcPr>
            <w:tcW w:w="1069551" w:type="dxa"/>
          </w:tcPr>
          <w:p>
            <w:pPr>
              <w:pStyle w:val="Compact"/>
              <w:bidi/>
            </w:pPr>
            <w:r>
              <w:rPr>
                <w:rtl/>
              </w:rPr>
              <w:t xml:space="preserve">Book Balance</w:t>
            </w:r>
          </w:p>
        </w:tc>
        <w:tc>
          <w:tcPr>
            <w:tcW w:w="2055282" w:type="dxa"/>
          </w:tcPr>
          <w:p>
            <w:pPr>
              <w:pStyle w:val="Compact"/>
              <w:bidi/>
            </w:pPr>
            <w:r>
              <w:rPr>
                <w:rtl/>
              </w:rPr>
              <w:t xml:space="preserve">الرصيد في السجلات المحاسبية</w:t>
            </w:r>
          </w:p>
        </w:tc>
      </w:tr>
      <w:tr>
        <w:tc>
          <w:tcPr>
            <w:tcW w:w="1002495" w:type="dxa"/>
          </w:tcPr>
          <w:p>
            <w:pPr>
              <w:pStyle w:val="Compact"/>
              <w:bidi/>
            </w:pPr>
            <w:r>
              <w:rPr>
                <w:rtl/>
              </w:rPr>
              <w:t xml:space="preserve">الرصيد الفعلي</w:t>
            </w:r>
          </w:p>
        </w:tc>
        <w:tc>
          <w:tcPr>
            <w:tcW w:w="1032670" w:type="dxa"/>
          </w:tcPr>
          <w:p>
            <w:pPr>
              <w:pStyle w:val="Compact"/>
              <w:bidi/>
            </w:pPr>
            <w:r>
              <w:rPr>
                <w:rtl/>
              </w:rPr>
              <w:t xml:space="preserve">Solde physique</w:t>
            </w:r>
          </w:p>
        </w:tc>
        <w:tc>
          <w:tcPr>
            <w:tcW w:w="1069551" w:type="dxa"/>
          </w:tcPr>
          <w:p>
            <w:pPr>
              <w:pStyle w:val="Compact"/>
              <w:bidi/>
            </w:pPr>
            <w:r>
              <w:rPr>
                <w:rtl/>
              </w:rPr>
              <w:t xml:space="preserve">Physical Balance</w:t>
            </w:r>
          </w:p>
        </w:tc>
        <w:tc>
          <w:tcPr>
            <w:tcW w:w="2055282" w:type="dxa"/>
          </w:tcPr>
          <w:p>
            <w:pPr>
              <w:pStyle w:val="Compact"/>
              <w:bidi/>
            </w:pPr>
            <w:r>
              <w:rPr>
                <w:rtl/>
              </w:rPr>
              <w:t xml:space="preserve">الرصيد الموجود فعلياً في المستودع</w:t>
            </w:r>
          </w:p>
        </w:tc>
      </w:tr>
      <w:tr>
        <w:tc>
          <w:tcPr>
            <w:tcW w:w="1002495" w:type="dxa"/>
          </w:tcPr>
          <w:p>
            <w:pPr>
              <w:pStyle w:val="Compact"/>
              <w:bidi/>
            </w:pPr>
            <w:r>
              <w:rPr>
                <w:rtl/>
              </w:rPr>
              <w:t xml:space="preserve">أرصدة وهمية</w:t>
            </w:r>
          </w:p>
        </w:tc>
        <w:tc>
          <w:tcPr>
            <w:tcW w:w="1032670" w:type="dxa"/>
          </w:tcPr>
          <w:p>
            <w:pPr>
              <w:pStyle w:val="Compact"/>
              <w:bidi/>
            </w:pPr>
            <w:r>
              <w:rPr>
                <w:rtl/>
              </w:rPr>
              <w:t xml:space="preserve">Stocks fantômes</w:t>
            </w:r>
          </w:p>
        </w:tc>
        <w:tc>
          <w:tcPr>
            <w:tcW w:w="1069551" w:type="dxa"/>
          </w:tcPr>
          <w:p>
            <w:pPr>
              <w:pStyle w:val="Compact"/>
              <w:bidi/>
            </w:pPr>
            <w:r>
              <w:rPr>
                <w:rtl/>
              </w:rPr>
              <w:t xml:space="preserve">Phantom Stocks</w:t>
            </w:r>
          </w:p>
        </w:tc>
        <w:tc>
          <w:tcPr>
            <w:tcW w:w="2055282" w:type="dxa"/>
          </w:tcPr>
          <w:p>
            <w:pPr>
              <w:pStyle w:val="Compact"/>
              <w:bidi/>
            </w:pPr>
            <w:r>
              <w:rPr>
                <w:rtl/>
              </w:rPr>
              <w:t xml:space="preserve">رصيد وهمي غير موجود فعلياً</w:t>
            </w:r>
          </w:p>
        </w:tc>
      </w:tr>
      <w:tr>
        <w:tc>
          <w:tcPr>
            <w:tcW w:w="1002495" w:type="dxa"/>
          </w:tcPr>
          <w:p>
            <w:pPr>
              <w:pStyle w:val="Compact"/>
              <w:bidi/>
            </w:pPr>
            <w:r>
              <w:rPr>
                <w:rtl/>
              </w:rPr>
              <w:t xml:space="preserve">نفاد المخزون</w:t>
            </w:r>
          </w:p>
        </w:tc>
        <w:tc>
          <w:tcPr>
            <w:tcW w:w="1032670" w:type="dxa"/>
          </w:tcPr>
          <w:p>
            <w:pPr>
              <w:pStyle w:val="Compact"/>
              <w:bidi/>
            </w:pPr>
            <w:r>
              <w:rPr>
                <w:rtl/>
              </w:rPr>
              <w:t xml:space="preserve">Rupture de stock</w:t>
            </w:r>
          </w:p>
        </w:tc>
        <w:tc>
          <w:tcPr>
            <w:tcW w:w="1069551" w:type="dxa"/>
          </w:tcPr>
          <w:p>
            <w:pPr>
              <w:pStyle w:val="Compact"/>
              <w:bidi/>
            </w:pPr>
            <w:r>
              <w:rPr>
                <w:rtl/>
              </w:rPr>
              <w:t xml:space="preserve">Stockout</w:t>
            </w:r>
          </w:p>
        </w:tc>
        <w:tc>
          <w:tcPr>
            <w:tcW w:w="2055282" w:type="dxa"/>
          </w:tcPr>
          <w:p>
            <w:pPr>
              <w:pStyle w:val="Compact"/>
              <w:bidi/>
            </w:pPr>
            <w:r>
              <w:rPr>
                <w:rtl/>
              </w:rPr>
              <w:t xml:space="preserve">عدم توفر المادة</w:t>
            </w:r>
          </w:p>
        </w:tc>
      </w:tr>
      <w:tr>
        <w:tc>
          <w:tcPr>
            <w:tcW w:w="1002495" w:type="dxa"/>
          </w:tcPr>
          <w:p>
            <w:pPr>
              <w:pStyle w:val="Compact"/>
              <w:bidi/>
            </w:pPr>
            <w:r>
              <w:rPr>
                <w:rtl/>
              </w:rPr>
              <w:t xml:space="preserve">أجل التسليم</w:t>
            </w:r>
          </w:p>
        </w:tc>
        <w:tc>
          <w:tcPr>
            <w:tcW w:w="1032670" w:type="dxa"/>
          </w:tcPr>
          <w:p>
            <w:pPr>
              <w:pStyle w:val="Compact"/>
              <w:bidi/>
            </w:pPr>
            <w:r>
              <w:rPr>
                <w:rtl/>
              </w:rPr>
              <w:t xml:space="preserve">Délai de livraison</w:t>
            </w:r>
          </w:p>
        </w:tc>
        <w:tc>
          <w:tcPr>
            <w:tcW w:w="1069551" w:type="dxa"/>
          </w:tcPr>
          <w:p>
            <w:pPr>
              <w:pStyle w:val="Compact"/>
              <w:bidi/>
            </w:pPr>
            <w:r>
              <w:rPr>
                <w:rtl/>
              </w:rPr>
              <w:t xml:space="preserve">Lead Time</w:t>
            </w:r>
          </w:p>
        </w:tc>
        <w:tc>
          <w:tcPr>
            <w:tcW w:w="2055282" w:type="dxa"/>
          </w:tcPr>
          <w:p>
            <w:pPr>
              <w:pStyle w:val="Compact"/>
              <w:bidi/>
            </w:pPr>
            <w:r>
              <w:rPr>
                <w:rtl/>
              </w:rPr>
              <w:t xml:space="preserve">مدة التوريد</w:t>
            </w:r>
          </w:p>
        </w:tc>
      </w:tr>
      <w:tr>
        <w:tc>
          <w:tcPr>
            <w:tcW w:w="1002495" w:type="dxa"/>
          </w:tcPr>
          <w:p>
            <w:pPr>
              <w:pStyle w:val="Compact"/>
              <w:bidi/>
            </w:pPr>
            <w:r>
              <w:rPr>
                <w:rtl/>
              </w:rPr>
              <w:t xml:space="preserve">الطلب السنوي</w:t>
            </w:r>
          </w:p>
        </w:tc>
        <w:tc>
          <w:tcPr>
            <w:tcW w:w="1032670" w:type="dxa"/>
          </w:tcPr>
          <w:p>
            <w:pPr>
              <w:pStyle w:val="Compact"/>
              <w:bidi/>
            </w:pPr>
            <w:r>
              <w:rPr>
                <w:rtl/>
              </w:rPr>
              <w:t xml:space="preserve">Demande annuelle</w:t>
            </w:r>
          </w:p>
        </w:tc>
        <w:tc>
          <w:tcPr>
            <w:tcW w:w="1069551" w:type="dxa"/>
          </w:tcPr>
          <w:p>
            <w:pPr>
              <w:pStyle w:val="Compact"/>
              <w:bidi/>
            </w:pPr>
            <w:r>
              <w:rPr>
                <w:rtl/>
              </w:rPr>
              <w:t xml:space="preserve">Annual Demand</w:t>
            </w:r>
          </w:p>
        </w:tc>
        <w:tc>
          <w:tcPr>
            <w:tcW w:w="2055282" w:type="dxa"/>
          </w:tcPr>
          <w:p>
            <w:pPr>
              <w:pStyle w:val="Compact"/>
              <w:bidi/>
            </w:pPr>
            <w:r>
              <w:rPr>
                <w:rtl/>
              </w:rPr>
              <w:t xml:space="preserve">الاستهلاك السنوي</w:t>
            </w:r>
          </w:p>
        </w:tc>
      </w:tr>
      <w:tr>
        <w:tc>
          <w:tcPr>
            <w:tcW w:w="1002495" w:type="dxa"/>
          </w:tcPr>
          <w:p>
            <w:pPr>
              <w:pStyle w:val="Compact"/>
              <w:bidi/>
            </w:pPr>
            <w:r>
              <w:rPr>
                <w:rtl/>
              </w:rPr>
              <w:t xml:space="preserve">معامل التباين</w:t>
            </w:r>
          </w:p>
        </w:tc>
        <w:tc>
          <w:tcPr>
            <w:tcW w:w="1032670" w:type="dxa"/>
          </w:tcPr>
          <w:p>
            <w:pPr>
              <w:pStyle w:val="Compact"/>
              <w:bidi/>
            </w:pPr>
            <w:r>
              <w:rPr>
                <w:rtl/>
              </w:rPr>
              <w:t xml:space="preserve">Coefficient de variation</w:t>
            </w:r>
          </w:p>
        </w:tc>
        <w:tc>
          <w:tcPr>
            <w:tcW w:w="1069551" w:type="dxa"/>
          </w:tcPr>
          <w:p>
            <w:pPr>
              <w:pStyle w:val="Compact"/>
              <w:bidi/>
            </w:pPr>
            <w:r>
              <w:rPr>
                <w:rtl/>
              </w:rPr>
              <w:t xml:space="preserve">Coefficient of Variation</w:t>
            </w:r>
          </w:p>
        </w:tc>
        <w:tc>
          <w:tcPr>
            <w:tcW w:w="2055282" w:type="dxa"/>
          </w:tcPr>
          <w:p>
            <w:pPr>
              <w:pStyle w:val="Compact"/>
              <w:bidi/>
            </w:pPr>
            <w:r>
              <w:rPr>
                <w:rtl/>
              </w:rPr>
              <w:t xml:space="preserve">مقياس التقلب</w:t>
            </w:r>
          </w:p>
        </w:tc>
      </w:tr>
      <w:tr>
        <w:tc>
          <w:tcPr>
            <w:tcW w:w="1002495" w:type="dxa"/>
          </w:tcPr>
          <w:p>
            <w:pPr>
              <w:pStyle w:val="Compact"/>
              <w:bidi/>
            </w:pPr>
            <w:r>
              <w:rPr>
                <w:rtl/>
              </w:rPr>
              <w:t xml:space="preserve">حامل التكاليف</w:t>
            </w:r>
          </w:p>
        </w:tc>
        <w:tc>
          <w:tcPr>
            <w:tcW w:w="1032670" w:type="dxa"/>
          </w:tcPr>
          <w:p>
            <w:pPr>
              <w:pStyle w:val="Compact"/>
              <w:bidi/>
            </w:pPr>
            <w:r>
              <w:rPr>
                <w:rtl/>
              </w:rPr>
              <w:t xml:space="preserve">Coût de possession</w:t>
            </w:r>
          </w:p>
        </w:tc>
        <w:tc>
          <w:tcPr>
            <w:tcW w:w="1069551" w:type="dxa"/>
          </w:tcPr>
          <w:p>
            <w:pPr>
              <w:pStyle w:val="Compact"/>
              <w:bidi/>
            </w:pPr>
            <w:r>
              <w:rPr>
                <w:rtl/>
              </w:rPr>
              <w:t xml:space="preserve">Holding Cost</w:t>
            </w:r>
          </w:p>
        </w:tc>
        <w:tc>
          <w:tcPr>
            <w:tcW w:w="2055282" w:type="dxa"/>
          </w:tcPr>
          <w:p>
            <w:pPr>
              <w:pStyle w:val="Compact"/>
              <w:bidi/>
            </w:pPr>
            <w:r>
              <w:rPr>
                <w:rtl/>
              </w:rPr>
              <w:t xml:space="preserve">تكلفة التخزين</w:t>
            </w:r>
          </w:p>
        </w:tc>
      </w:tr>
      <w:tr>
        <w:tc>
          <w:tcPr>
            <w:tcW w:w="1002495" w:type="dxa"/>
          </w:tcPr>
          <w:p>
            <w:pPr>
              <w:pStyle w:val="Compact"/>
              <w:bidi/>
            </w:pPr>
            <w:r>
              <w:rPr>
                <w:rtl/>
              </w:rPr>
              <w:t xml:space="preserve">تكلفة الطلبية</w:t>
            </w:r>
          </w:p>
        </w:tc>
        <w:tc>
          <w:tcPr>
            <w:tcW w:w="1032670" w:type="dxa"/>
          </w:tcPr>
          <w:p>
            <w:pPr>
              <w:pStyle w:val="Compact"/>
              <w:bidi/>
            </w:pPr>
            <w:r>
              <w:rPr>
                <w:rtl/>
              </w:rPr>
              <w:t xml:space="preserve">Coût de commande</w:t>
            </w:r>
          </w:p>
        </w:tc>
        <w:tc>
          <w:tcPr>
            <w:tcW w:w="1069551" w:type="dxa"/>
          </w:tcPr>
          <w:p>
            <w:pPr>
              <w:pStyle w:val="Compact"/>
              <w:bidi/>
            </w:pPr>
            <w:r>
              <w:rPr>
                <w:rtl/>
              </w:rPr>
              <w:t xml:space="preserve">Ordering Cost</w:t>
            </w:r>
          </w:p>
        </w:tc>
        <w:tc>
          <w:tcPr>
            <w:tcW w:w="2055282" w:type="dxa"/>
          </w:tcPr>
          <w:p>
            <w:pPr>
              <w:pStyle w:val="Compact"/>
              <w:bidi/>
            </w:pPr>
            <w:r>
              <w:rPr>
                <w:rtl/>
              </w:rPr>
              <w:t xml:space="preserve">تكلفة تقديم الطلب</w:t>
            </w:r>
          </w:p>
        </w:tc>
      </w:tr>
      <w:tr>
        <w:tc>
          <w:tcPr>
            <w:tcW w:w="1002495" w:type="dxa"/>
          </w:tcPr>
          <w:p>
            <w:pPr>
              <w:pStyle w:val="Compact"/>
              <w:bidi/>
            </w:pPr>
            <w:r>
              <w:rPr>
                <w:rtl/>
              </w:rPr>
              <w:t xml:space="preserve">القيمة المخزنية</w:t>
            </w:r>
          </w:p>
        </w:tc>
        <w:tc>
          <w:tcPr>
            <w:tcW w:w="1032670" w:type="dxa"/>
          </w:tcPr>
          <w:p>
            <w:pPr>
              <w:pStyle w:val="Compact"/>
              <w:bidi/>
            </w:pPr>
            <w:r>
              <w:rPr>
                <w:rtl/>
              </w:rPr>
              <w:t xml:space="preserve">Valeur du stock</w:t>
            </w:r>
          </w:p>
        </w:tc>
        <w:tc>
          <w:tcPr>
            <w:tcW w:w="1069551" w:type="dxa"/>
          </w:tcPr>
          <w:p>
            <w:pPr>
              <w:pStyle w:val="Compact"/>
              <w:bidi/>
            </w:pPr>
            <w:r>
              <w:rPr>
                <w:rtl/>
              </w:rPr>
              <w:t xml:space="preserve">Inventory Value</w:t>
            </w:r>
          </w:p>
        </w:tc>
        <w:tc>
          <w:tcPr>
            <w:tcW w:w="2055282" w:type="dxa"/>
          </w:tcPr>
          <w:p>
            <w:pPr>
              <w:pStyle w:val="Compact"/>
              <w:bidi/>
            </w:pPr>
            <w:r>
              <w:rPr>
                <w:rtl/>
              </w:rPr>
              <w:t xml:space="preserve">القيمة المالية للمخزون</w:t>
            </w:r>
          </w:p>
        </w:tc>
      </w:tr>
    </w:tbl>
    <w:bookmarkEnd w:id="154"/>
    <w:bookmarkStart w:id="159" w:name="مصطلحات-تقنية-النظام"/>
    <w:p>
      <w:pPr>
        <w:pStyle w:val="Heading2"/>
        <w:bidi/>
        <w:sectPr>
          <w:pgNumType w:fmt="decimal" w:start="1"/>
          <w:footnotePr>
            <w:numRestart w:val="eachSect"/>
          </w:footnotePr>
          <w:pgSz w:h="16838" w:w="11906"/>
          <w:pgMar w:bottom="1417" w:left="1417" w:right="1417" w:top="1417"/>
        </w:sectPr>
      </w:pPr>
      <w:r>
        <w:rPr>
          <w:rtl/>
        </w:rPr>
        <w:t xml:space="preserve">مصطلحات تقنية النظام</w:t>
      </w:r>
      <w:r>
        <w:rPr>
          <w:rtl/>
        </w:rPr>
        <w:t xml:space="preserve"> </w:t>
      </w:r>
      <w:r>
        <w:rPr>
          <w:rStyle w:val="FootnoteReference"/>
        </w:rPr>
        <w:footnoteReference w:id="155"/>
      </w:r>
      <w:r>
        <w:rPr>
          <w:rtl/>
        </w:rPr>
        <w:t xml:space="preserve"> </w:t>
      </w:r>
      <w:r>
        <w:rPr>
          <w:rStyle w:val="FootnoteReference"/>
        </w:rPr>
        <w:footnoteReference w:id="156"/>
      </w:r>
      <w:r>
        <w:rPr>
          <w:rtl/>
        </w:rPr>
        <w:t xml:space="preserve"> </w:t>
      </w:r>
      <w:r>
        <w:rPr>
          <w:rStyle w:val="FootnoteReference"/>
        </w:rPr>
        <w:footnoteReference w:id="157"/>
      </w:r>
      <w:r>
        <w:rPr>
          <w:rtl/>
        </w:rPr>
        <w:t xml:space="preserve"> </w:t>
      </w:r>
      <w:r>
        <w:rPr>
          <w:rStyle w:val="FootnoteReference"/>
        </w:rPr>
        <w:footnoteReference w:id="158"/>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321750" w:type="dxa"/>
          </w:tcPr>
          <w:p>
            <w:pPr>
              <w:pStyle w:val="Compact"/>
              <w:bidi/>
            </w:pPr>
            <w:r>
              <w:rPr>
                <w:rtl/>
              </w:rPr>
              <w:t xml:space="preserve">العربية</w:t>
            </w:r>
          </w:p>
        </w:tc>
        <w:tc>
          <w:tcPr>
            <w:tcW w:w="1086563" w:type="dxa"/>
          </w:tcPr>
          <w:p>
            <w:pPr>
              <w:pStyle w:val="Compact"/>
              <w:bidi/>
            </w:pPr>
            <w:r>
              <w:rPr>
                <w:rtl/>
              </w:rPr>
              <w:t xml:space="preserve">الفرنسية</w:t>
            </w:r>
          </w:p>
        </w:tc>
        <w:tc>
          <w:tcPr>
            <w:tcW w:w="879598" w:type="dxa"/>
          </w:tcPr>
          <w:p>
            <w:pPr>
              <w:pStyle w:val="Compact"/>
              <w:bidi/>
            </w:pPr>
            <w:r>
              <w:rPr>
                <w:rtl/>
              </w:rPr>
              <w:t xml:space="preserve">الإنجليزية</w:t>
            </w:r>
          </w:p>
        </w:tc>
        <w:tc>
          <w:tcPr>
            <w:tcW w:w="1872087" w:type="dxa"/>
          </w:tcPr>
          <w:p>
            <w:pPr>
              <w:pStyle w:val="Compact"/>
              <w:bidi/>
            </w:pPr>
            <w:r>
              <w:rPr>
                <w:rtl/>
              </w:rPr>
              <w:t xml:space="preserve">التعريف</w:t>
            </w:r>
          </w:p>
        </w:tc>
      </w:tr>
      <w:tr>
        <w:tc>
          <w:tcPr>
            <w:tcW w:w="1321750" w:type="dxa"/>
          </w:tcPr>
          <w:p>
            <w:pPr>
              <w:pStyle w:val="Compact"/>
              <w:bidi/>
            </w:pPr>
            <w:r>
              <w:rPr>
                <w:rtl/>
              </w:rPr>
              <w:t xml:space="preserve">Excel VBA</w:t>
            </w:r>
          </w:p>
        </w:tc>
        <w:tc>
          <w:tcPr>
            <w:tcW w:w="1086563" w:type="dxa"/>
          </w:tcPr>
          <w:p>
            <w:pPr>
              <w:pStyle w:val="Compact"/>
              <w:bidi/>
            </w:pPr>
            <w:r>
              <w:rPr>
                <w:rtl/>
              </w:rPr>
              <w:t xml:space="preserve">Excel VBA</w:t>
            </w:r>
          </w:p>
        </w:tc>
        <w:tc>
          <w:tcPr>
            <w:tcW w:w="879598" w:type="dxa"/>
          </w:tcPr>
          <w:p>
            <w:pPr>
              <w:pStyle w:val="Compact"/>
              <w:bidi/>
            </w:pPr>
            <w:r>
              <w:rPr>
                <w:rtl/>
              </w:rPr>
              <w:t xml:space="preserve">Excel VBA</w:t>
            </w:r>
          </w:p>
        </w:tc>
        <w:tc>
          <w:tcPr>
            <w:tcW w:w="1872087" w:type="dxa"/>
          </w:tcPr>
          <w:p>
            <w:pPr>
              <w:pStyle w:val="Compact"/>
              <w:bidi/>
            </w:pPr>
            <w:r>
              <w:rPr>
                <w:rtl/>
              </w:rPr>
              <w:t xml:space="preserve">لغة البرمجة في Excel</w:t>
            </w:r>
          </w:p>
        </w:tc>
      </w:tr>
      <w:tr>
        <w:tc>
          <w:tcPr>
            <w:tcW w:w="1321750" w:type="dxa"/>
          </w:tcPr>
          <w:p>
            <w:pPr>
              <w:pStyle w:val="Compact"/>
              <w:bidi/>
            </w:pPr>
            <w:r>
              <w:rPr>
                <w:rtl/>
              </w:rPr>
              <w:t xml:space="preserve">محرك المعالجة</w:t>
            </w:r>
          </w:p>
        </w:tc>
        <w:tc>
          <w:tcPr>
            <w:tcW w:w="1086563" w:type="dxa"/>
          </w:tcPr>
          <w:p>
            <w:pPr>
              <w:pStyle w:val="Compact"/>
              <w:bidi/>
            </w:pPr>
            <w:r>
              <w:rPr>
                <w:rtl/>
              </w:rPr>
              <w:t xml:space="preserve">Moteur de traitement</w:t>
            </w:r>
          </w:p>
        </w:tc>
        <w:tc>
          <w:tcPr>
            <w:tcW w:w="879598" w:type="dxa"/>
          </w:tcPr>
          <w:p>
            <w:pPr>
              <w:pStyle w:val="Compact"/>
              <w:bidi/>
            </w:pPr>
            <w:r>
              <w:rPr>
                <w:rtl/>
              </w:rPr>
              <w:t xml:space="preserve">Processing Engine</w:t>
            </w:r>
          </w:p>
        </w:tc>
        <w:tc>
          <w:tcPr>
            <w:tcW w:w="1872087" w:type="dxa"/>
          </w:tcPr>
          <w:p>
            <w:pPr>
              <w:pStyle w:val="Compact"/>
              <w:bidi/>
            </w:pPr>
            <w:r>
              <w:rPr>
                <w:rtl/>
              </w:rPr>
              <w:t xml:space="preserve">وحدة المعالجة الخلفية</w:t>
            </w:r>
          </w:p>
        </w:tc>
      </w:tr>
      <w:tr>
        <w:tc>
          <w:tcPr>
            <w:tcW w:w="1321750" w:type="dxa"/>
          </w:tcPr>
          <w:p>
            <w:pPr>
              <w:pStyle w:val="Compact"/>
              <w:bidi/>
            </w:pPr>
            <w:r>
              <w:rPr>
                <w:rtl/>
              </w:rPr>
              <w:t xml:space="preserve">واجهة المستخدم</w:t>
            </w:r>
          </w:p>
        </w:tc>
        <w:tc>
          <w:tcPr>
            <w:tcW w:w="1086563" w:type="dxa"/>
          </w:tcPr>
          <w:p>
            <w:pPr>
              <w:pStyle w:val="Compact"/>
              <w:bidi/>
            </w:pPr>
            <w:r>
              <w:rPr>
                <w:rtl/>
              </w:rPr>
              <w:t xml:space="preserve">Interface utilisateur</w:t>
            </w:r>
          </w:p>
        </w:tc>
        <w:tc>
          <w:tcPr>
            <w:tcW w:w="879598" w:type="dxa"/>
          </w:tcPr>
          <w:p>
            <w:pPr>
              <w:pStyle w:val="Compact"/>
              <w:bidi/>
            </w:pPr>
            <w:r>
              <w:rPr>
                <w:rtl/>
              </w:rPr>
              <w:t xml:space="preserve">User Interface</w:t>
            </w:r>
          </w:p>
        </w:tc>
        <w:tc>
          <w:tcPr>
            <w:tcW w:w="1872087" w:type="dxa"/>
          </w:tcPr>
          <w:p>
            <w:pPr>
              <w:pStyle w:val="Compact"/>
              <w:bidi/>
            </w:pPr>
            <w:r>
              <w:rPr>
                <w:rtl/>
              </w:rPr>
              <w:t xml:space="preserve">شاشة التفاعل</w:t>
            </w:r>
          </w:p>
        </w:tc>
      </w:tr>
      <w:tr>
        <w:tc>
          <w:tcPr>
            <w:tcW w:w="1321750" w:type="dxa"/>
          </w:tcPr>
          <w:p>
            <w:pPr>
              <w:pStyle w:val="Compact"/>
              <w:bidi/>
            </w:pPr>
            <w:r>
              <w:rPr>
                <w:rtl/>
              </w:rPr>
              <w:t xml:space="preserve">الحراسة المزدوجة</w:t>
            </w:r>
          </w:p>
        </w:tc>
        <w:tc>
          <w:tcPr>
            <w:tcW w:w="1086563" w:type="dxa"/>
          </w:tcPr>
          <w:p>
            <w:pPr>
              <w:pStyle w:val="Compact"/>
              <w:bidi/>
            </w:pPr>
            <w:r>
              <w:rPr>
                <w:rtl/>
              </w:rPr>
              <w:t xml:space="preserve">Double garde</w:t>
            </w:r>
          </w:p>
        </w:tc>
        <w:tc>
          <w:tcPr>
            <w:tcW w:w="879598" w:type="dxa"/>
          </w:tcPr>
          <w:p>
            <w:pPr>
              <w:pStyle w:val="Compact"/>
              <w:bidi/>
            </w:pPr>
            <w:r>
              <w:rPr>
                <w:rtl/>
              </w:rPr>
              <w:t xml:space="preserve">Dual-Guard</w:t>
            </w:r>
          </w:p>
        </w:tc>
        <w:tc>
          <w:tcPr>
            <w:tcW w:w="1872087" w:type="dxa"/>
          </w:tcPr>
          <w:p>
            <w:pPr>
              <w:pStyle w:val="Compact"/>
              <w:bidi/>
            </w:pPr>
            <w:r>
              <w:rPr>
                <w:rtl/>
              </w:rPr>
              <w:t xml:space="preserve">نظام حماية مزدوج</w:t>
            </w:r>
          </w:p>
        </w:tc>
      </w:tr>
      <w:tr>
        <w:tc>
          <w:tcPr>
            <w:tcW w:w="1321750" w:type="dxa"/>
          </w:tcPr>
          <w:p>
            <w:pPr>
              <w:pStyle w:val="Compact"/>
              <w:bidi/>
            </w:pPr>
            <w:r>
              <w:rPr>
                <w:rtl/>
              </w:rPr>
              <w:t xml:space="preserve">التنبيه الآلي</w:t>
            </w:r>
          </w:p>
        </w:tc>
        <w:tc>
          <w:tcPr>
            <w:tcW w:w="1086563" w:type="dxa"/>
          </w:tcPr>
          <w:p>
            <w:pPr>
              <w:pStyle w:val="Compact"/>
              <w:bidi/>
            </w:pPr>
            <w:r>
              <w:rPr>
                <w:rtl/>
              </w:rPr>
              <w:t xml:space="preserve">Alerte automatique</w:t>
            </w:r>
          </w:p>
        </w:tc>
        <w:tc>
          <w:tcPr>
            <w:tcW w:w="879598" w:type="dxa"/>
          </w:tcPr>
          <w:p>
            <w:pPr>
              <w:pStyle w:val="Compact"/>
              <w:bidi/>
            </w:pPr>
            <w:r>
              <w:rPr>
                <w:rtl/>
              </w:rPr>
              <w:t xml:space="preserve">Automatic Alert</w:t>
            </w:r>
          </w:p>
        </w:tc>
        <w:tc>
          <w:tcPr>
            <w:tcW w:w="1872087" w:type="dxa"/>
          </w:tcPr>
          <w:p>
            <w:pPr>
              <w:pStyle w:val="Compact"/>
              <w:bidi/>
            </w:pPr>
            <w:r>
              <w:rPr>
                <w:rtl/>
              </w:rPr>
              <w:t xml:space="preserve">إشعار النظام</w:t>
            </w:r>
          </w:p>
        </w:tc>
      </w:tr>
      <w:tr>
        <w:tc>
          <w:tcPr>
            <w:tcW w:w="1321750" w:type="dxa"/>
          </w:tcPr>
          <w:p>
            <w:pPr>
              <w:pStyle w:val="Compact"/>
              <w:bidi/>
            </w:pPr>
            <w:r>
              <w:rPr>
                <w:rtl/>
              </w:rPr>
              <w:t xml:space="preserve">الكتابة الذرية</w:t>
            </w:r>
          </w:p>
        </w:tc>
        <w:tc>
          <w:tcPr>
            <w:tcW w:w="1086563" w:type="dxa"/>
          </w:tcPr>
          <w:p>
            <w:pPr>
              <w:pStyle w:val="Compact"/>
              <w:bidi/>
            </w:pPr>
            <w:r>
              <w:rPr>
                <w:rtl/>
              </w:rPr>
              <w:t xml:space="preserve">Écriture atomique</w:t>
            </w:r>
          </w:p>
        </w:tc>
        <w:tc>
          <w:tcPr>
            <w:tcW w:w="879598" w:type="dxa"/>
          </w:tcPr>
          <w:p>
            <w:pPr>
              <w:pStyle w:val="Compact"/>
              <w:bidi/>
            </w:pPr>
            <w:r>
              <w:rPr>
                <w:rtl/>
              </w:rPr>
              <w:t xml:space="preserve">Atomic Write</w:t>
            </w:r>
          </w:p>
        </w:tc>
        <w:tc>
          <w:tcPr>
            <w:tcW w:w="1872087" w:type="dxa"/>
          </w:tcPr>
          <w:p>
            <w:pPr>
              <w:pStyle w:val="Compact"/>
              <w:bidi/>
            </w:pPr>
            <w:r>
              <w:rPr>
                <w:rtl/>
              </w:rPr>
              <w:t xml:space="preserve">كتابة كاملة أو لا شيء</w:t>
            </w:r>
          </w:p>
        </w:tc>
      </w:tr>
      <w:tr>
        <w:tc>
          <w:tcPr>
            <w:tcW w:w="1321750" w:type="dxa"/>
          </w:tcPr>
          <w:p>
            <w:pPr>
              <w:pStyle w:val="Compact"/>
              <w:bidi/>
            </w:pPr>
            <w:r>
              <w:rPr>
                <w:rtl/>
              </w:rPr>
              <w:t xml:space="preserve">التخزين الهجين</w:t>
            </w:r>
          </w:p>
        </w:tc>
        <w:tc>
          <w:tcPr>
            <w:tcW w:w="1086563" w:type="dxa"/>
          </w:tcPr>
          <w:p>
            <w:pPr>
              <w:pStyle w:val="Compact"/>
              <w:bidi/>
            </w:pPr>
            <w:r>
              <w:rPr>
                <w:rtl/>
              </w:rPr>
              <w:t xml:space="preserve">Stockage hybride</w:t>
            </w:r>
          </w:p>
        </w:tc>
        <w:tc>
          <w:tcPr>
            <w:tcW w:w="879598" w:type="dxa"/>
          </w:tcPr>
          <w:p>
            <w:pPr>
              <w:pStyle w:val="Compact"/>
              <w:bidi/>
            </w:pPr>
            <w:r>
              <w:rPr>
                <w:rtl/>
              </w:rPr>
              <w:t xml:space="preserve">Hybrid Storage</w:t>
            </w:r>
          </w:p>
        </w:tc>
        <w:tc>
          <w:tcPr>
            <w:tcW w:w="1872087" w:type="dxa"/>
          </w:tcPr>
          <w:p>
            <w:pPr>
              <w:pStyle w:val="Compact"/>
              <w:bidi/>
            </w:pPr>
            <w:r>
              <w:rPr>
                <w:rtl/>
              </w:rPr>
              <w:t xml:space="preserve">تخزين السجل الرقمي + Excel</w:t>
            </w:r>
          </w:p>
        </w:tc>
      </w:tr>
      <w:tr>
        <w:tc>
          <w:tcPr>
            <w:tcW w:w="1321750" w:type="dxa"/>
          </w:tcPr>
          <w:p>
            <w:pPr>
              <w:pStyle w:val="Compact"/>
              <w:bidi/>
            </w:pPr>
            <w:r>
              <w:rPr>
                <w:rtl/>
              </w:rPr>
              <w:t xml:space="preserve">المصفوفة</w:t>
            </w:r>
          </w:p>
        </w:tc>
        <w:tc>
          <w:tcPr>
            <w:tcW w:w="1086563" w:type="dxa"/>
          </w:tcPr>
          <w:p>
            <w:pPr>
              <w:pStyle w:val="Compact"/>
              <w:bidi/>
            </w:pPr>
            <w:r>
              <w:rPr>
                <w:rtl/>
              </w:rPr>
              <w:t xml:space="preserve">Matrice</w:t>
            </w:r>
          </w:p>
        </w:tc>
        <w:tc>
          <w:tcPr>
            <w:tcW w:w="879598" w:type="dxa"/>
          </w:tcPr>
          <w:p>
            <w:pPr>
              <w:pStyle w:val="Compact"/>
              <w:bidi/>
            </w:pPr>
            <w:r>
              <w:rPr>
                <w:rtl/>
              </w:rPr>
              <w:t xml:space="preserve">Matrix</w:t>
            </w:r>
          </w:p>
        </w:tc>
        <w:tc>
          <w:tcPr>
            <w:tcW w:w="1872087" w:type="dxa"/>
          </w:tcPr>
          <w:p>
            <w:pPr>
              <w:pStyle w:val="Compact"/>
              <w:bidi/>
            </w:pPr>
            <w:r>
              <w:rPr>
                <w:rtl/>
              </w:rPr>
              <w:t xml:space="preserve">جدول التصنيف</w:t>
            </w:r>
          </w:p>
        </w:tc>
      </w:tr>
      <w:tr>
        <w:tc>
          <w:tcPr>
            <w:tcW w:w="1321750" w:type="dxa"/>
          </w:tcPr>
          <w:p>
            <w:pPr>
              <w:pStyle w:val="Compact"/>
              <w:bidi/>
            </w:pPr>
            <w:r>
              <w:rPr>
                <w:rtl/>
              </w:rPr>
              <w:t xml:space="preserve">لوحة القيادة</w:t>
            </w:r>
          </w:p>
        </w:tc>
        <w:tc>
          <w:tcPr>
            <w:tcW w:w="1086563" w:type="dxa"/>
          </w:tcPr>
          <w:p>
            <w:pPr>
              <w:pStyle w:val="Compact"/>
              <w:bidi/>
            </w:pPr>
            <w:r>
              <w:rPr>
                <w:rtl/>
              </w:rPr>
              <w:t xml:space="preserve">Tableau de bord</w:t>
            </w:r>
          </w:p>
        </w:tc>
        <w:tc>
          <w:tcPr>
            <w:tcW w:w="879598" w:type="dxa"/>
          </w:tcPr>
          <w:p>
            <w:pPr>
              <w:pStyle w:val="Compact"/>
              <w:bidi/>
            </w:pPr>
            <w:r>
              <w:rPr>
                <w:rtl/>
              </w:rPr>
              <w:t xml:space="preserve">Dashboard</w:t>
            </w:r>
          </w:p>
        </w:tc>
        <w:tc>
          <w:tcPr>
            <w:tcW w:w="1872087" w:type="dxa"/>
          </w:tcPr>
          <w:p>
            <w:pPr>
              <w:pStyle w:val="Compact"/>
              <w:bidi/>
            </w:pPr>
            <w:r>
              <w:rPr>
                <w:rtl/>
              </w:rPr>
              <w:t xml:space="preserve">شاشة المراقبة</w:t>
            </w:r>
          </w:p>
        </w:tc>
      </w:tr>
      <w:tr>
        <w:tc>
          <w:tcPr>
            <w:tcW w:w="1321750" w:type="dxa"/>
          </w:tcPr>
          <w:p>
            <w:pPr>
              <w:pStyle w:val="Compact"/>
              <w:bidi/>
            </w:pPr>
            <w:r>
              <w:rPr>
                <w:rtl/>
              </w:rPr>
              <w:t xml:space="preserve">التصدير</w:t>
            </w:r>
          </w:p>
        </w:tc>
        <w:tc>
          <w:tcPr>
            <w:tcW w:w="1086563" w:type="dxa"/>
          </w:tcPr>
          <w:p>
            <w:pPr>
              <w:pStyle w:val="Compact"/>
              <w:bidi/>
            </w:pPr>
            <w:r>
              <w:rPr>
                <w:rtl/>
              </w:rPr>
              <w:t xml:space="preserve">Export</w:t>
            </w:r>
          </w:p>
        </w:tc>
        <w:tc>
          <w:tcPr>
            <w:tcW w:w="879598" w:type="dxa"/>
          </w:tcPr>
          <w:p>
            <w:pPr>
              <w:pStyle w:val="Compact"/>
              <w:bidi/>
            </w:pPr>
            <w:r>
              <w:rPr>
                <w:rtl/>
              </w:rPr>
              <w:t xml:space="preserve">Export</w:t>
            </w:r>
          </w:p>
        </w:tc>
        <w:tc>
          <w:tcPr>
            <w:tcW w:w="1872087" w:type="dxa"/>
          </w:tcPr>
          <w:p>
            <w:pPr>
              <w:pStyle w:val="Compact"/>
              <w:bidi/>
            </w:pPr>
            <w:r>
              <w:rPr>
                <w:rtl/>
              </w:rPr>
              <w:t xml:space="preserve">استخراج البيانات</w:t>
            </w:r>
          </w:p>
        </w:tc>
      </w:tr>
      <w:tr>
        <w:tc>
          <w:tcPr>
            <w:tcW w:w="1321750" w:type="dxa"/>
          </w:tcPr>
          <w:p>
            <w:pPr>
              <w:pStyle w:val="Compact"/>
              <w:bidi/>
            </w:pPr>
            <w:r>
              <w:rPr>
                <w:rtl/>
              </w:rPr>
              <w:t xml:space="preserve">التتبع</w:t>
            </w:r>
          </w:p>
        </w:tc>
        <w:tc>
          <w:tcPr>
            <w:tcW w:w="1086563" w:type="dxa"/>
          </w:tcPr>
          <w:p>
            <w:pPr>
              <w:pStyle w:val="Compact"/>
              <w:bidi/>
            </w:pPr>
            <w:r>
              <w:rPr>
                <w:rtl/>
              </w:rPr>
              <w:t xml:space="preserve">Traçabilité</w:t>
            </w:r>
          </w:p>
        </w:tc>
        <w:tc>
          <w:tcPr>
            <w:tcW w:w="879598" w:type="dxa"/>
          </w:tcPr>
          <w:p>
            <w:pPr>
              <w:pStyle w:val="Compact"/>
              <w:bidi/>
            </w:pPr>
            <w:r>
              <w:rPr>
                <w:rtl/>
              </w:rPr>
              <w:t xml:space="preserve">Traceability</w:t>
            </w:r>
          </w:p>
        </w:tc>
        <w:tc>
          <w:tcPr>
            <w:tcW w:w="1872087" w:type="dxa"/>
          </w:tcPr>
          <w:p>
            <w:pPr>
              <w:pStyle w:val="Compact"/>
              <w:bidi/>
            </w:pPr>
            <w:r>
              <w:rPr>
                <w:rtl/>
              </w:rPr>
              <w:t xml:space="preserve">تتبع الحركات</w:t>
            </w:r>
          </w:p>
        </w:tc>
      </w:tr>
      <w:tr>
        <w:tc>
          <w:tcPr>
            <w:tcW w:w="1321750" w:type="dxa"/>
          </w:tcPr>
          <w:p>
            <w:pPr>
              <w:pStyle w:val="Compact"/>
              <w:bidi/>
            </w:pPr>
            <w:r>
              <w:rPr>
                <w:rtl/>
              </w:rPr>
              <w:t xml:space="preserve">سجل المراجعة</w:t>
            </w:r>
          </w:p>
        </w:tc>
        <w:tc>
          <w:tcPr>
            <w:tcW w:w="1086563" w:type="dxa"/>
          </w:tcPr>
          <w:p>
            <w:pPr>
              <w:pStyle w:val="Compact"/>
              <w:bidi/>
            </w:pPr>
            <w:r>
              <w:rPr>
                <w:rtl/>
              </w:rPr>
              <w:t xml:space="preserve">Journal d’audit</w:t>
            </w:r>
          </w:p>
        </w:tc>
        <w:tc>
          <w:tcPr>
            <w:tcW w:w="879598" w:type="dxa"/>
          </w:tcPr>
          <w:p>
            <w:pPr>
              <w:pStyle w:val="Compact"/>
              <w:bidi/>
            </w:pPr>
            <w:r>
              <w:rPr>
                <w:rtl/>
              </w:rPr>
              <w:t xml:space="preserve">Audit Trail</w:t>
            </w:r>
          </w:p>
        </w:tc>
        <w:tc>
          <w:tcPr>
            <w:tcW w:w="1872087" w:type="dxa"/>
          </w:tcPr>
          <w:p>
            <w:pPr>
              <w:pStyle w:val="Compact"/>
              <w:bidi/>
            </w:pPr>
            <w:r>
              <w:rPr>
                <w:rtl/>
              </w:rPr>
              <w:t xml:space="preserve">سجل التغييرات</w:t>
            </w:r>
          </w:p>
        </w:tc>
      </w:tr>
    </w:tbl>
    <w:bookmarkEnd w:id="159"/>
    <w:bookmarkEnd w:id="160"/>
    <w:bookmarkStart w:id="184" w:name="الملاحق-annexes"/>
    <w:p>
      <w:pPr>
        <w:pStyle w:val="Heading1"/>
        <w:bidi/>
      </w:pPr>
      <w:r>
        <w:rPr>
          <w:rtl/>
        </w:rPr>
        <w:t xml:space="preserve">الملاحق (Annexes)</w:t>
      </w:r>
    </w:p>
    <w:bookmarkStart w:id="161" w:name="الملحق-الأول-هيكل-ملف-النظام"/>
    <w:p>
      <w:pPr>
        <w:pStyle w:val="Heading2"/>
        <w:bidi/>
      </w:pPr>
      <w:r>
        <w:rPr>
          <w:rtl/>
        </w:rPr>
        <w:t xml:space="preserve">الملحق الأول: هيكل ملف النظام</w:t>
      </w:r>
    </w:p>
    <w:p>
      <w:pPr>
        <w:bidi/>
      </w:pPr>
      <w:r>
        <w:rPr>
          <w:rtl/>
        </w:rPr>
        <w:t xml:space="preserve">وصف موجز لأوراق العمل الرئيسية في ملف Excel:</w:t>
      </w:r>
      <w:r>
        <w:rPr>
          <w:rtl/>
        </w:rPr>
        <w:t xml:space="preserve"> </w:t>
      </w:r>
      <w:r>
        <w:rPr>
          <w:b/>
          <w:bCs/>
          <w:rtl/>
        </w:rPr>
        <w:t xml:space="preserve">الملحق الأول: هيكل ملف النظام</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1273018" w:type="dxa"/>
          </w:tcPr>
          <w:p>
            <w:pPr>
              <w:pStyle w:val="Compact"/>
              <w:bidi/>
            </w:pPr>
            <w:r>
              <w:rPr>
                <w:rtl/>
              </w:rPr>
              <w:t xml:space="preserve">ورقة العمل</w:t>
            </w:r>
          </w:p>
        </w:tc>
        <w:tc>
          <w:tcPr>
            <w:tcW w:w="4186981" w:type="dxa"/>
          </w:tcPr>
          <w:p>
            <w:pPr>
              <w:pStyle w:val="Compact"/>
              <w:bidi/>
            </w:pPr>
            <w:r>
              <w:rPr>
                <w:rtl/>
              </w:rPr>
              <w:t xml:space="preserve">الوظيفة</w:t>
            </w:r>
          </w:p>
        </w:tc>
      </w:tr>
      <w:tr>
        <w:tc>
          <w:tcPr>
            <w:tcW w:w="1273018" w:type="dxa"/>
          </w:tcPr>
          <w:p>
            <w:pPr>
              <w:pStyle w:val="Compact"/>
              <w:bidi/>
            </w:pPr>
            <w:r>
              <w:rPr>
                <w:rtl/>
              </w:rPr>
              <w:t xml:space="preserve">dashboard</w:t>
            </w:r>
          </w:p>
        </w:tc>
        <w:tc>
          <w:tcPr>
            <w:tcW w:w="4186981" w:type="dxa"/>
          </w:tcPr>
          <w:p>
            <w:pPr>
              <w:pStyle w:val="Compact"/>
              <w:bidi/>
            </w:pPr>
            <w:r>
              <w:rPr>
                <w:rtl/>
              </w:rPr>
              <w:t xml:space="preserve">لوحة القيادة ورؤية المخزون العامة</w:t>
            </w:r>
          </w:p>
        </w:tc>
      </w:tr>
      <w:tr>
        <w:tc>
          <w:tcPr>
            <w:tcW w:w="1273018" w:type="dxa"/>
          </w:tcPr>
          <w:p>
            <w:pPr>
              <w:pStyle w:val="Compact"/>
              <w:bidi/>
            </w:pPr>
            <w:r>
              <w:rPr>
                <w:rtl/>
              </w:rPr>
              <w:t xml:space="preserve">ARTICLES</w:t>
            </w:r>
          </w:p>
        </w:tc>
        <w:tc>
          <w:tcPr>
            <w:tcW w:w="4186981" w:type="dxa"/>
          </w:tcPr>
          <w:p>
            <w:pPr>
              <w:pStyle w:val="Compact"/>
              <w:bidi/>
            </w:pPr>
            <w:r>
              <w:rPr>
                <w:rtl/>
              </w:rPr>
              <w:t xml:space="preserve">قائمة الأصناف والمواد</w:t>
            </w:r>
          </w:p>
        </w:tc>
      </w:tr>
      <w:tr>
        <w:tc>
          <w:tcPr>
            <w:tcW w:w="1273018" w:type="dxa"/>
          </w:tcPr>
          <w:p>
            <w:pPr>
              <w:pStyle w:val="Compact"/>
              <w:bidi/>
            </w:pPr>
            <w:r>
              <w:rPr>
                <w:rtl/>
              </w:rPr>
              <w:t xml:space="preserve">MOUVEMENTS</w:t>
            </w:r>
          </w:p>
        </w:tc>
        <w:tc>
          <w:tcPr>
            <w:tcW w:w="4186981" w:type="dxa"/>
          </w:tcPr>
          <w:p>
            <w:pPr>
              <w:pStyle w:val="Compact"/>
              <w:bidi/>
            </w:pPr>
            <w:r>
              <w:rPr>
                <w:rtl/>
              </w:rPr>
              <w:t xml:space="preserve">سجل حركات الدخول والخروج</w:t>
            </w:r>
          </w:p>
        </w:tc>
      </w:tr>
      <w:tr>
        <w:tc>
          <w:tcPr>
            <w:tcW w:w="1273018" w:type="dxa"/>
          </w:tcPr>
          <w:p>
            <w:pPr>
              <w:pStyle w:val="Compact"/>
              <w:bidi/>
            </w:pPr>
            <w:r>
              <w:rPr>
                <w:rtl/>
              </w:rPr>
              <w:t xml:space="preserve">ANALYSE</w:t>
            </w:r>
          </w:p>
        </w:tc>
        <w:tc>
          <w:tcPr>
            <w:tcW w:w="4186981" w:type="dxa"/>
          </w:tcPr>
          <w:p>
            <w:pPr>
              <w:pStyle w:val="Compact"/>
              <w:bidi/>
            </w:pPr>
            <w:r>
              <w:rPr>
                <w:rtl/>
              </w:rPr>
              <w:t xml:space="preserve">تحليلات ABC-XYZ ومؤشرات الأداء</w:t>
            </w:r>
          </w:p>
        </w:tc>
      </w:tr>
      <w:tr>
        <w:tc>
          <w:tcPr>
            <w:tcW w:w="1273018" w:type="dxa"/>
          </w:tcPr>
          <w:p>
            <w:pPr>
              <w:pStyle w:val="Compact"/>
              <w:bidi/>
            </w:pPr>
            <w:r>
              <w:rPr>
                <w:rtl/>
              </w:rPr>
              <w:t xml:space="preserve">SUPPLIERS</w:t>
            </w:r>
          </w:p>
        </w:tc>
        <w:tc>
          <w:tcPr>
            <w:tcW w:w="4186981" w:type="dxa"/>
          </w:tcPr>
          <w:p>
            <w:pPr>
              <w:pStyle w:val="Compact"/>
              <w:bidi/>
            </w:pPr>
            <w:r>
              <w:rPr>
                <w:rtl/>
              </w:rPr>
              <w:t xml:space="preserve">قاعدة بيانات الموردين وتقييمهم</w:t>
            </w:r>
          </w:p>
        </w:tc>
      </w:tr>
      <w:tr>
        <w:tc>
          <w:tcPr>
            <w:tcW w:w="1273018" w:type="dxa"/>
          </w:tcPr>
          <w:p>
            <w:pPr>
              <w:pStyle w:val="Compact"/>
              <w:bidi/>
            </w:pPr>
            <w:r>
              <w:rPr>
                <w:rtl/>
              </w:rPr>
              <w:t xml:space="preserve">DOCUMENTS</w:t>
            </w:r>
          </w:p>
        </w:tc>
        <w:tc>
          <w:tcPr>
            <w:tcW w:w="4186981" w:type="dxa"/>
          </w:tcPr>
          <w:p>
            <w:pPr>
              <w:pStyle w:val="Compact"/>
              <w:bidi/>
            </w:pPr>
            <w:r>
              <w:rPr>
                <w:rtl/>
              </w:rPr>
              <w:t xml:space="preserve">توليد الوثائق الإدارية (DA, BC, BR, BS)</w:t>
            </w:r>
          </w:p>
        </w:tc>
      </w:tr>
      <w:tr>
        <w:tc>
          <w:tcPr>
            <w:tcW w:w="1273018" w:type="dxa"/>
          </w:tcPr>
          <w:p>
            <w:pPr>
              <w:pStyle w:val="Compact"/>
              <w:bidi/>
            </w:pPr>
            <w:r>
              <w:rPr>
                <w:rtl/>
              </w:rPr>
              <w:t xml:space="preserve">CONFIG</w:t>
            </w:r>
          </w:p>
        </w:tc>
        <w:tc>
          <w:tcPr>
            <w:tcW w:w="4186981" w:type="dxa"/>
          </w:tcPr>
          <w:p>
            <w:pPr>
              <w:pStyle w:val="Compact"/>
              <w:bidi/>
            </w:pPr>
            <w:r>
              <w:rPr>
                <w:rtl/>
              </w:rPr>
              <w:t xml:space="preserve">إعدادات النظام والثوابت</w:t>
            </w:r>
          </w:p>
        </w:tc>
      </w:tr>
    </w:tbl>
    <w:bookmarkEnd w:id="161"/>
    <w:bookmarkStart w:id="162" w:name="الملحق-الثاني-وحدات-vba-الرئيسية"/>
    <w:p>
      <w:pPr>
        <w:pStyle w:val="Heading2"/>
        <w:bidi/>
      </w:pPr>
      <w:r>
        <w:rPr>
          <w:rtl/>
        </w:rPr>
        <w:t xml:space="preserve">الملحق الثاني: وحدات VBA الرئيسية</w:t>
      </w:r>
    </w:p>
    <w:p>
      <w:pPr>
        <w:bidi/>
      </w:pPr>
      <w:r>
        <w:rPr>
          <w:rtl/>
        </w:rPr>
        <w:t xml:space="preserve">الوحدات البرمجية المطوَّرة:</w:t>
      </w:r>
      <w:r>
        <w:rPr>
          <w:rtl/>
        </w:rPr>
        <w:t xml:space="preserve"> </w:t>
      </w:r>
      <w:r>
        <w:rPr>
          <w:b/>
          <w:bCs/>
          <w:rtl/>
        </w:rPr>
        <w:t xml:space="preserve">الملحق الثاني: وحدات VBA الرئيسية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1386000" w:type="dxa"/>
          </w:tcPr>
          <w:p>
            <w:pPr>
              <w:pStyle w:val="Compact"/>
              <w:bidi/>
            </w:pPr>
            <w:r>
              <w:rPr>
                <w:rtl/>
              </w:rPr>
              <w:t xml:space="preserve">الوحدة</w:t>
            </w:r>
          </w:p>
        </w:tc>
        <w:tc>
          <w:tcPr>
            <w:tcW w:w="4074000" w:type="dxa"/>
          </w:tcPr>
          <w:p>
            <w:pPr>
              <w:pStyle w:val="Compact"/>
              <w:bidi/>
            </w:pPr>
            <w:r>
              <w:rPr>
                <w:rtl/>
              </w:rPr>
              <w:t xml:space="preserve">الوظيفة</w:t>
            </w:r>
          </w:p>
        </w:tc>
      </w:tr>
      <w:tr>
        <w:tc>
          <w:tcPr>
            <w:tcW w:w="1386000" w:type="dxa"/>
          </w:tcPr>
          <w:p>
            <w:pPr>
              <w:pStyle w:val="Compact"/>
              <w:bidi/>
            </w:pPr>
            <w:r>
              <w:rPr>
                <w:rtl/>
              </w:rPr>
              <w:t xml:space="preserve">mod_StockEngine</w:t>
            </w:r>
          </w:p>
        </w:tc>
        <w:tc>
          <w:tcPr>
            <w:tcW w:w="4074000" w:type="dxa"/>
          </w:tcPr>
          <w:p>
            <w:pPr>
              <w:pStyle w:val="Compact"/>
              <w:bidi/>
            </w:pPr>
            <w:r>
              <w:rPr>
                <w:rtl/>
              </w:rPr>
              <w:t xml:space="preserve">حسابات EOQ، ROP، CMUP</w:t>
            </w:r>
          </w:p>
        </w:tc>
      </w:tr>
      <w:tr>
        <w:tc>
          <w:tcPr>
            <w:tcW w:w="1386000" w:type="dxa"/>
          </w:tcPr>
          <w:p>
            <w:pPr>
              <w:pStyle w:val="Compact"/>
              <w:bidi/>
            </w:pPr>
            <w:r>
              <w:rPr>
                <w:rtl/>
              </w:rPr>
              <w:t xml:space="preserve">mod_StockEntry_Logic</w:t>
            </w:r>
          </w:p>
        </w:tc>
        <w:tc>
          <w:tcPr>
            <w:tcW w:w="4074000" w:type="dxa"/>
          </w:tcPr>
          <w:p>
            <w:pPr>
              <w:pStyle w:val="Compact"/>
              <w:bidi/>
            </w:pPr>
            <w:r>
              <w:rPr>
                <w:rtl/>
              </w:rPr>
              <w:t xml:space="preserve">منطق إدخال الحركات وحساب CMUP</w:t>
            </w:r>
          </w:p>
        </w:tc>
      </w:tr>
      <w:tr>
        <w:tc>
          <w:tcPr>
            <w:tcW w:w="1386000" w:type="dxa"/>
          </w:tcPr>
          <w:p>
            <w:pPr>
              <w:pStyle w:val="Compact"/>
              <w:bidi/>
            </w:pPr>
            <w:r>
              <w:rPr>
                <w:rtl/>
              </w:rPr>
              <w:t xml:space="preserve">mod_SyncBridge</w:t>
            </w:r>
          </w:p>
        </w:tc>
        <w:tc>
          <w:tcPr>
            <w:tcW w:w="4074000" w:type="dxa"/>
          </w:tcPr>
          <w:p>
            <w:pPr>
              <w:pStyle w:val="Compact"/>
              <w:bidi/>
            </w:pPr>
            <w:r>
              <w:rPr>
                <w:rtl/>
              </w:rPr>
              <w:t xml:space="preserve">جسر المزامنة بين السجل الرقمي وأوراق Excel</w:t>
            </w:r>
          </w:p>
        </w:tc>
      </w:tr>
      <w:tr>
        <w:tc>
          <w:tcPr>
            <w:tcW w:w="1386000" w:type="dxa"/>
          </w:tcPr>
          <w:p>
            <w:pPr>
              <w:pStyle w:val="Compact"/>
              <w:bidi/>
            </w:pPr>
            <w:r>
              <w:rPr>
                <w:rtl/>
              </w:rPr>
              <w:t xml:space="preserve">mod_ExportEngine</w:t>
            </w:r>
          </w:p>
        </w:tc>
        <w:tc>
          <w:tcPr>
            <w:tcW w:w="4074000" w:type="dxa"/>
          </w:tcPr>
          <w:p>
            <w:pPr>
              <w:pStyle w:val="Compact"/>
              <w:bidi/>
            </w:pPr>
            <w:r>
              <w:rPr>
                <w:rtl/>
              </w:rPr>
              <w:t xml:space="preserve">تصدير التقارير</w:t>
            </w:r>
          </w:p>
        </w:tc>
      </w:tr>
      <w:tr>
        <w:tc>
          <w:tcPr>
            <w:tcW w:w="1386000" w:type="dxa"/>
          </w:tcPr>
          <w:p>
            <w:pPr>
              <w:pStyle w:val="Compact"/>
              <w:bidi/>
            </w:pPr>
            <w:r>
              <w:rPr>
                <w:rtl/>
              </w:rPr>
              <w:t xml:space="preserve">mod_Dashboard</w:t>
            </w:r>
          </w:p>
        </w:tc>
        <w:tc>
          <w:tcPr>
            <w:tcW w:w="4074000" w:type="dxa"/>
          </w:tcPr>
          <w:p>
            <w:pPr>
              <w:pStyle w:val="Compact"/>
              <w:bidi/>
            </w:pPr>
            <w:r>
              <w:rPr>
                <w:rtl/>
              </w:rPr>
              <w:t xml:space="preserve">لوحة المراقبة والتنبيهات</w:t>
            </w:r>
          </w:p>
        </w:tc>
      </w:tr>
      <w:tr>
        <w:tc>
          <w:tcPr>
            <w:tcW w:w="1386000" w:type="dxa"/>
          </w:tcPr>
          <w:p>
            <w:pPr>
              <w:pStyle w:val="Compact"/>
              <w:bidi/>
            </w:pPr>
            <w:r>
              <w:rPr>
                <w:rtl/>
              </w:rPr>
              <w:t xml:space="preserve">mod_AuditTrail</w:t>
            </w:r>
          </w:p>
        </w:tc>
        <w:tc>
          <w:tcPr>
            <w:tcW w:w="4074000" w:type="dxa"/>
          </w:tcPr>
          <w:p>
            <w:pPr>
              <w:pStyle w:val="Compact"/>
              <w:bidi/>
            </w:pPr>
            <w:r>
              <w:rPr>
                <w:rtl/>
              </w:rPr>
              <w:t xml:space="preserve">سجل المراجعة والتدقيق</w:t>
            </w:r>
          </w:p>
        </w:tc>
      </w:tr>
      <w:tr>
        <w:tc>
          <w:tcPr>
            <w:tcW w:w="1386000" w:type="dxa"/>
          </w:tcPr>
          <w:p>
            <w:pPr>
              <w:pStyle w:val="Compact"/>
              <w:bidi/>
            </w:pPr>
            <w:r>
              <w:rPr>
                <w:rtl/>
              </w:rPr>
              <w:t xml:space="preserve">mod_TransactionSafety</w:t>
            </w:r>
          </w:p>
        </w:tc>
        <w:tc>
          <w:tcPr>
            <w:tcW w:w="4074000" w:type="dxa"/>
          </w:tcPr>
          <w:p>
            <w:pPr>
              <w:pStyle w:val="Compact"/>
              <w:bidi/>
            </w:pPr>
            <w:r>
              <w:rPr>
                <w:rtl/>
              </w:rPr>
              <w:t xml:space="preserve">أمان المعاملات ومنع التعديل اليدوي</w:t>
            </w:r>
          </w:p>
        </w:tc>
      </w:tr>
      <w:tr>
        <w:tc>
          <w:tcPr>
            <w:tcW w:w="1386000" w:type="dxa"/>
          </w:tcPr>
          <w:p>
            <w:pPr>
              <w:pStyle w:val="Compact"/>
              <w:bidi/>
            </w:pPr>
            <w:r>
              <w:rPr>
                <w:rtl/>
              </w:rPr>
              <w:t xml:space="preserve">mod_DataValidator</w:t>
            </w:r>
          </w:p>
        </w:tc>
        <w:tc>
          <w:tcPr>
            <w:tcW w:w="4074000" w:type="dxa"/>
          </w:tcPr>
          <w:p>
            <w:pPr>
              <w:pStyle w:val="Compact"/>
              <w:bidi/>
            </w:pPr>
            <w:r>
              <w:rPr>
                <w:rtl/>
              </w:rPr>
              <w:t xml:space="preserve">التحقق من صحة البيانات عند الإدخال</w:t>
            </w:r>
          </w:p>
        </w:tc>
      </w:tr>
      <w:tr>
        <w:tc>
          <w:tcPr>
            <w:tcW w:w="1386000" w:type="dxa"/>
          </w:tcPr>
          <w:p>
            <w:pPr>
              <w:pStyle w:val="Compact"/>
              <w:bidi/>
            </w:pPr>
            <w:r>
              <w:rPr>
                <w:rtl/>
              </w:rPr>
              <w:t xml:space="preserve">mod_ApprovalWorkflow</w:t>
            </w:r>
          </w:p>
        </w:tc>
        <w:tc>
          <w:tcPr>
            <w:tcW w:w="4074000" w:type="dxa"/>
          </w:tcPr>
          <w:p>
            <w:pPr>
              <w:pStyle w:val="Compact"/>
              <w:bidi/>
            </w:pPr>
            <w:r>
              <w:rPr>
                <w:rtl/>
              </w:rPr>
              <w:t xml:space="preserve">سير عمل الموافقة الثنائية</w:t>
            </w:r>
          </w:p>
        </w:tc>
      </w:tr>
      <w:tr>
        <w:tc>
          <w:tcPr>
            <w:tcW w:w="1386000" w:type="dxa"/>
          </w:tcPr>
          <w:p>
            <w:pPr>
              <w:pStyle w:val="Compact"/>
              <w:bidi/>
            </w:pPr>
            <w:r>
              <w:rPr>
                <w:rtl/>
              </w:rPr>
              <w:t xml:space="preserve">mod_Config</w:t>
            </w:r>
          </w:p>
        </w:tc>
        <w:tc>
          <w:tcPr>
            <w:tcW w:w="4074000" w:type="dxa"/>
          </w:tcPr>
          <w:p>
            <w:pPr>
              <w:pStyle w:val="Compact"/>
              <w:bidi/>
            </w:pPr>
            <w:r>
              <w:rPr>
                <w:rtl/>
              </w:rPr>
              <w:t xml:space="preserve">إعدادات النظام والثوابت</w:t>
            </w:r>
          </w:p>
        </w:tc>
      </w:tr>
    </w:tbl>
    <w:bookmarkEnd w:id="162"/>
    <w:bookmarkStart w:id="163" w:name="الملحق-الثالث-بيانات-المخزون-الميدانية"/>
    <w:p>
      <w:pPr>
        <w:pStyle w:val="Heading2"/>
        <w:bidi/>
      </w:pPr>
      <w:r>
        <w:rPr>
          <w:rtl/>
        </w:rPr>
        <w:t xml:space="preserve">الملحق الثالث: بيانات المخزون الميدانية</w:t>
      </w:r>
    </w:p>
    <w:p>
      <w:pPr>
        <w:bidi/>
      </w:pPr>
      <w:r>
        <w:rPr>
          <w:rtl/>
        </w:rPr>
        <w:t xml:space="preserve">عينة من بيانات المخزون الفعلية كما تظهر في السجل الرقمي:</w:t>
      </w:r>
      <w:r>
        <w:rPr>
          <w:rtl/>
        </w:rPr>
        <w:t xml:space="preserve"> </w:t>
      </w:r>
      <w:r>
        <w:rPr>
          <w:b/>
          <w:bCs/>
          <w:rtl/>
        </w:rPr>
        <w:t xml:space="preserve">الملحق الثالث: بيانات المخزون الميدانية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4"/>
        <w:gridCol w:w="1584"/>
        <w:gridCol w:w="1584"/>
        <w:gridCol w:w="1584"/>
        <w:gridCol w:w="1584"/>
      </w:tblGrid>
      <w:tr>
        <w:trPr>
          <w:tblHeader w:val="on"/>
        </w:trPr>
        <w:tc>
          <w:tcPr>
            <w:tcW w:w="691382" w:type="dxa"/>
          </w:tcPr>
          <w:p>
            <w:pPr>
              <w:pStyle w:val="Compact"/>
              <w:bidi/>
            </w:pPr>
            <w:r>
              <w:rPr>
                <w:rtl/>
              </w:rPr>
              <w:t xml:space="preserve">الرمز</w:t>
            </w:r>
          </w:p>
        </w:tc>
        <w:tc>
          <w:tcPr>
            <w:tcW w:w="2028054" w:type="dxa"/>
          </w:tcPr>
          <w:p>
            <w:pPr>
              <w:pStyle w:val="Compact"/>
              <w:bidi/>
            </w:pPr>
            <w:r>
              <w:rPr>
                <w:rtl/>
              </w:rPr>
              <w:t xml:space="preserve">التسمية</w:t>
            </w:r>
          </w:p>
        </w:tc>
        <w:tc>
          <w:tcPr>
            <w:tcW w:w="829659" w:type="dxa"/>
          </w:tcPr>
          <w:p>
            <w:pPr>
              <w:pStyle w:val="Compact"/>
              <w:bidi/>
            </w:pPr>
            <w:r>
              <w:rPr>
                <w:rtl/>
              </w:rPr>
              <w:t xml:space="preserve">الرصيد</w:t>
            </w:r>
          </w:p>
        </w:tc>
        <w:tc>
          <w:tcPr>
            <w:tcW w:w="492968" w:type="dxa"/>
          </w:tcPr>
          <w:p>
            <w:pPr>
              <w:pStyle w:val="Compact"/>
              <w:bidi/>
            </w:pPr>
            <w:r>
              <w:rPr>
                <w:rtl/>
              </w:rPr>
              <w:t xml:space="preserve">ROP</w:t>
            </w:r>
          </w:p>
        </w:tc>
        <w:tc>
          <w:tcPr>
            <w:tcW w:w="967934" w:type="dxa"/>
          </w:tcPr>
          <w:p>
            <w:pPr>
              <w:pStyle w:val="Compact"/>
              <w:bidi/>
            </w:pPr>
            <w:r>
              <w:rPr>
                <w:rtl/>
              </w:rPr>
              <w:t xml:space="preserve">التصنيف</w:t>
            </w:r>
          </w:p>
        </w:tc>
      </w:tr>
      <w:tr>
        <w:tc>
          <w:tcPr>
            <w:tcW w:w="691382" w:type="dxa"/>
          </w:tcPr>
          <w:p>
            <w:pPr>
              <w:pStyle w:val="Compact"/>
              <w:bidi/>
            </w:pPr>
            <w:r>
              <w:rPr>
                <w:rtl/>
              </w:rPr>
              <w:t xml:space="preserve">ART-001</w:t>
            </w:r>
          </w:p>
        </w:tc>
        <w:tc>
          <w:tcPr>
            <w:tcW w:w="2028054" w:type="dxa"/>
          </w:tcPr>
          <w:p>
            <w:pPr>
              <w:pStyle w:val="Compact"/>
              <w:bidi/>
            </w:pPr>
            <w:r>
              <w:rPr>
                <w:rtl/>
              </w:rPr>
              <w:t xml:space="preserve">Toner G030</w:t>
            </w:r>
          </w:p>
        </w:tc>
        <w:tc>
          <w:tcPr>
            <w:tcW w:w="829659" w:type="dxa"/>
          </w:tcPr>
          <w:p>
            <w:pPr>
              <w:pStyle w:val="Compact"/>
              <w:bidi/>
            </w:pPr>
            <w:r>
              <w:rPr>
                <w:rtl/>
              </w:rPr>
              <w:t xml:space="preserve">289</w:t>
            </w:r>
          </w:p>
        </w:tc>
        <w:tc>
          <w:tcPr>
            <w:tcW w:w="492968" w:type="dxa"/>
          </w:tcPr>
          <w:p>
            <w:pPr>
              <w:pStyle w:val="Compact"/>
              <w:bidi/>
            </w:pPr>
            <w:r>
              <w:rPr>
                <w:rtl/>
              </w:rPr>
              <w:t xml:space="preserve">206</w:t>
            </w:r>
          </w:p>
        </w:tc>
        <w:tc>
          <w:tcPr>
            <w:tcW w:w="967934" w:type="dxa"/>
          </w:tcPr>
          <w:p>
            <w:pPr>
              <w:pStyle w:val="Compact"/>
              <w:bidi/>
            </w:pPr>
            <w:r>
              <w:rPr>
                <w:rtl/>
              </w:rPr>
              <w:t xml:space="preserve">AX</w:t>
            </w:r>
          </w:p>
        </w:tc>
      </w:tr>
      <w:tr>
        <w:tc>
          <w:tcPr>
            <w:tcW w:w="691382" w:type="dxa"/>
          </w:tcPr>
          <w:p>
            <w:pPr>
              <w:pStyle w:val="Compact"/>
              <w:bidi/>
            </w:pPr>
            <w:r>
              <w:rPr>
                <w:rtl/>
              </w:rPr>
              <w:t xml:space="preserve">ART-002</w:t>
            </w:r>
          </w:p>
        </w:tc>
        <w:tc>
          <w:tcPr>
            <w:tcW w:w="2028054" w:type="dxa"/>
          </w:tcPr>
          <w:p>
            <w:pPr>
              <w:pStyle w:val="Compact"/>
              <w:bidi/>
            </w:pPr>
            <w:r>
              <w:rPr>
                <w:rtl/>
              </w:rPr>
              <w:t xml:space="preserve">Ramette A4 80g</w:t>
            </w:r>
          </w:p>
        </w:tc>
        <w:tc>
          <w:tcPr>
            <w:tcW w:w="829659" w:type="dxa"/>
          </w:tcPr>
          <w:p>
            <w:pPr>
              <w:pStyle w:val="Compact"/>
              <w:bidi/>
            </w:pPr>
            <w:r>
              <w:rPr>
                <w:rtl/>
              </w:rPr>
              <w:t xml:space="preserve">520</w:t>
            </w:r>
          </w:p>
        </w:tc>
        <w:tc>
          <w:tcPr>
            <w:tcW w:w="492968" w:type="dxa"/>
          </w:tcPr>
          <w:p>
            <w:pPr>
              <w:pStyle w:val="Compact"/>
              <w:bidi/>
            </w:pPr>
            <w:r>
              <w:rPr>
                <w:rtl/>
              </w:rPr>
              <w:t xml:space="preserve">400.0</w:t>
            </w:r>
          </w:p>
        </w:tc>
        <w:tc>
          <w:tcPr>
            <w:tcW w:w="967934" w:type="dxa"/>
          </w:tcPr>
          <w:p>
            <w:pPr>
              <w:pStyle w:val="Compact"/>
              <w:bidi/>
            </w:pPr>
            <w:r>
              <w:rPr>
                <w:rtl/>
              </w:rPr>
              <w:t xml:space="preserve">AX</w:t>
            </w:r>
          </w:p>
        </w:tc>
      </w:tr>
      <w:tr>
        <w:tc>
          <w:tcPr>
            <w:tcW w:w="691382" w:type="dxa"/>
          </w:tcPr>
          <w:p>
            <w:pPr>
              <w:pStyle w:val="Compact"/>
              <w:bidi/>
            </w:pPr>
            <w:r>
              <w:rPr>
                <w:rtl/>
              </w:rPr>
              <w:t xml:space="preserve">ART-003</w:t>
            </w:r>
          </w:p>
        </w:tc>
        <w:tc>
          <w:tcPr>
            <w:tcW w:w="2028054" w:type="dxa"/>
          </w:tcPr>
          <w:p>
            <w:pPr>
              <w:pStyle w:val="Compact"/>
              <w:bidi/>
            </w:pPr>
            <w:r>
              <w:rPr>
                <w:rtl/>
              </w:rPr>
              <w:t xml:space="preserve">Rame papier A3 80g/m²</w:t>
            </w:r>
          </w:p>
        </w:tc>
        <w:tc>
          <w:tcPr>
            <w:tcW w:w="829659" w:type="dxa"/>
          </w:tcPr>
          <w:p>
            <w:pPr>
              <w:pStyle w:val="Compact"/>
              <w:bidi/>
            </w:pPr>
            <w:r>
              <w:rPr>
                <w:rtl/>
              </w:rPr>
              <w:t xml:space="preserve">210</w:t>
            </w:r>
          </w:p>
        </w:tc>
        <w:tc>
          <w:tcPr>
            <w:tcW w:w="492968" w:type="dxa"/>
          </w:tcPr>
          <w:p>
            <w:pPr>
              <w:pStyle w:val="Compact"/>
              <w:bidi/>
            </w:pPr>
            <w:r>
              <w:rPr>
                <w:rtl/>
              </w:rPr>
              <w:t xml:space="preserve">46.4</w:t>
            </w:r>
          </w:p>
        </w:tc>
        <w:tc>
          <w:tcPr>
            <w:tcW w:w="967934" w:type="dxa"/>
          </w:tcPr>
          <w:p>
            <w:pPr>
              <w:pStyle w:val="Compact"/>
              <w:bidi/>
            </w:pPr>
            <w:r>
              <w:rPr>
                <w:rtl/>
              </w:rPr>
              <w:t xml:space="preserve">BX</w:t>
            </w:r>
          </w:p>
        </w:tc>
      </w:tr>
      <w:tr>
        <w:tc>
          <w:tcPr>
            <w:tcW w:w="691382" w:type="dxa"/>
          </w:tcPr>
          <w:p>
            <w:pPr>
              <w:pStyle w:val="Compact"/>
              <w:bidi/>
            </w:pPr>
            <w:r>
              <w:rPr>
                <w:rtl/>
              </w:rPr>
              <w:t xml:space="preserve">ART-004</w:t>
            </w:r>
          </w:p>
        </w:tc>
        <w:tc>
          <w:tcPr>
            <w:tcW w:w="2028054" w:type="dxa"/>
          </w:tcPr>
          <w:p>
            <w:pPr>
              <w:pStyle w:val="Compact"/>
              <w:bidi/>
            </w:pPr>
            <w:r>
              <w:rPr>
                <w:rtl/>
              </w:rPr>
              <w:t xml:space="preserve">Boîte archives carton</w:t>
            </w:r>
          </w:p>
        </w:tc>
        <w:tc>
          <w:tcPr>
            <w:tcW w:w="829659" w:type="dxa"/>
          </w:tcPr>
          <w:p>
            <w:pPr>
              <w:pStyle w:val="Compact"/>
              <w:bidi/>
            </w:pPr>
            <w:r>
              <w:rPr>
                <w:rtl/>
              </w:rPr>
              <w:t xml:space="preserve">85</w:t>
            </w:r>
          </w:p>
        </w:tc>
        <w:tc>
          <w:tcPr>
            <w:tcW w:w="492968" w:type="dxa"/>
          </w:tcPr>
          <w:p>
            <w:pPr>
              <w:pStyle w:val="Compact"/>
              <w:bidi/>
            </w:pPr>
            <w:r>
              <w:rPr>
                <w:rtl/>
              </w:rPr>
              <w:t xml:space="preserve">23.2</w:t>
            </w:r>
          </w:p>
        </w:tc>
        <w:tc>
          <w:tcPr>
            <w:tcW w:w="967934" w:type="dxa"/>
          </w:tcPr>
          <w:p>
            <w:pPr>
              <w:pStyle w:val="Compact"/>
              <w:bidi/>
            </w:pPr>
            <w:r>
              <w:rPr>
                <w:rtl/>
              </w:rPr>
              <w:t xml:space="preserve">BY</w:t>
            </w:r>
          </w:p>
        </w:tc>
      </w:tr>
      <w:tr>
        <w:tc>
          <w:tcPr>
            <w:tcW w:w="691382" w:type="dxa"/>
          </w:tcPr>
          <w:p>
            <w:pPr>
              <w:pStyle w:val="Compact"/>
              <w:bidi/>
            </w:pPr>
            <w:r>
              <w:rPr>
                <w:rtl/>
              </w:rPr>
              <w:t xml:space="preserve">ART-005</w:t>
            </w:r>
          </w:p>
        </w:tc>
        <w:tc>
          <w:tcPr>
            <w:tcW w:w="2028054" w:type="dxa"/>
          </w:tcPr>
          <w:p>
            <w:pPr>
              <w:pStyle w:val="Compact"/>
              <w:bidi/>
            </w:pPr>
            <w:r>
              <w:rPr>
                <w:rtl/>
              </w:rPr>
              <w:t xml:space="preserve">Agrafeuse de bureau</w:t>
            </w:r>
          </w:p>
        </w:tc>
        <w:tc>
          <w:tcPr>
            <w:tcW w:w="829659" w:type="dxa"/>
          </w:tcPr>
          <w:p>
            <w:pPr>
              <w:pStyle w:val="Compact"/>
              <w:bidi/>
            </w:pPr>
            <w:r>
              <w:rPr>
                <w:rtl/>
              </w:rPr>
              <w:t xml:space="preserve">12</w:t>
            </w:r>
          </w:p>
        </w:tc>
        <w:tc>
          <w:tcPr>
            <w:tcW w:w="492968" w:type="dxa"/>
          </w:tcPr>
          <w:p>
            <w:pPr>
              <w:pStyle w:val="Compact"/>
              <w:bidi/>
            </w:pPr>
            <w:r>
              <w:rPr>
                <w:rtl/>
              </w:rPr>
              <w:t xml:space="preserve">12.4</w:t>
            </w:r>
          </w:p>
        </w:tc>
        <w:tc>
          <w:tcPr>
            <w:tcW w:w="967934" w:type="dxa"/>
          </w:tcPr>
          <w:p>
            <w:pPr>
              <w:pStyle w:val="Compact"/>
              <w:bidi/>
            </w:pPr>
            <w:r>
              <w:rPr>
                <w:rtl/>
              </w:rPr>
              <w:t xml:space="preserve">CX</w:t>
            </w:r>
          </w:p>
        </w:tc>
      </w:tr>
      <w:tr>
        <w:tc>
          <w:tcPr>
            <w:tcW w:w="691382" w:type="dxa"/>
          </w:tcPr>
          <w:p>
            <w:pPr>
              <w:pStyle w:val="Compact"/>
              <w:bidi/>
            </w:pPr>
            <w:r>
              <w:rPr>
                <w:rtl/>
              </w:rPr>
              <w:t xml:space="preserve">ART-006</w:t>
            </w:r>
          </w:p>
        </w:tc>
        <w:tc>
          <w:tcPr>
            <w:tcW w:w="2028054" w:type="dxa"/>
          </w:tcPr>
          <w:p>
            <w:pPr>
              <w:pStyle w:val="Compact"/>
              <w:bidi/>
            </w:pPr>
            <w:r>
              <w:rPr>
                <w:rtl/>
              </w:rPr>
              <w:t xml:space="preserve">Stylos bille boîte/50</w:t>
            </w:r>
          </w:p>
        </w:tc>
        <w:tc>
          <w:tcPr>
            <w:tcW w:w="829659" w:type="dxa"/>
          </w:tcPr>
          <w:p>
            <w:pPr>
              <w:pStyle w:val="Compact"/>
              <w:bidi/>
            </w:pPr>
            <w:r>
              <w:rPr>
                <w:rtl/>
              </w:rPr>
              <w:t xml:space="preserve">95</w:t>
            </w:r>
          </w:p>
        </w:tc>
        <w:tc>
          <w:tcPr>
            <w:tcW w:w="492968" w:type="dxa"/>
          </w:tcPr>
          <w:p>
            <w:pPr>
              <w:pStyle w:val="Compact"/>
              <w:bidi/>
            </w:pPr>
            <w:r>
              <w:rPr>
                <w:rtl/>
              </w:rPr>
              <w:t xml:space="preserve">50.0</w:t>
            </w:r>
          </w:p>
        </w:tc>
        <w:tc>
          <w:tcPr>
            <w:tcW w:w="967934" w:type="dxa"/>
          </w:tcPr>
          <w:p>
            <w:pPr>
              <w:pStyle w:val="Compact"/>
              <w:bidi/>
            </w:pPr>
            <w:r>
              <w:rPr>
                <w:rtl/>
              </w:rPr>
              <w:t xml:space="preserve">CX</w:t>
            </w:r>
          </w:p>
        </w:tc>
      </w:tr>
      <w:tr>
        <w:tc>
          <w:tcPr>
            <w:tcW w:w="691382" w:type="dxa"/>
          </w:tcPr>
          <w:p>
            <w:pPr>
              <w:pStyle w:val="Compact"/>
              <w:bidi/>
            </w:pPr>
            <w:r>
              <w:rPr>
                <w:rtl/>
              </w:rPr>
              <w:t xml:space="preserve">ART-007</w:t>
            </w:r>
          </w:p>
        </w:tc>
        <w:tc>
          <w:tcPr>
            <w:tcW w:w="2028054" w:type="dxa"/>
          </w:tcPr>
          <w:p>
            <w:pPr>
              <w:pStyle w:val="Compact"/>
              <w:bidi/>
            </w:pPr>
            <w:r>
              <w:rPr>
                <w:rtl/>
              </w:rPr>
              <w:t xml:space="preserve">Registre grand format 5m</w:t>
            </w:r>
          </w:p>
        </w:tc>
        <w:tc>
          <w:tcPr>
            <w:tcW w:w="829659" w:type="dxa"/>
          </w:tcPr>
          <w:p>
            <w:pPr>
              <w:pStyle w:val="Compact"/>
              <w:bidi/>
            </w:pPr>
            <w:r>
              <w:rPr>
                <w:rtl/>
              </w:rPr>
              <w:t xml:space="preserve">60</w:t>
            </w:r>
          </w:p>
        </w:tc>
        <w:tc>
          <w:tcPr>
            <w:tcW w:w="492968" w:type="dxa"/>
          </w:tcPr>
          <w:p>
            <w:pPr>
              <w:pStyle w:val="Compact"/>
              <w:bidi/>
            </w:pPr>
            <w:r>
              <w:rPr>
                <w:rtl/>
              </w:rPr>
              <w:t xml:space="preserve">35.0</w:t>
            </w:r>
          </w:p>
        </w:tc>
        <w:tc>
          <w:tcPr>
            <w:tcW w:w="967934" w:type="dxa"/>
          </w:tcPr>
          <w:p>
            <w:pPr>
              <w:pStyle w:val="Compact"/>
              <w:bidi/>
            </w:pPr>
            <w:r>
              <w:rPr>
                <w:rtl/>
              </w:rPr>
              <w:t xml:space="preserve">CX</w:t>
            </w:r>
          </w:p>
        </w:tc>
      </w:tr>
      <w:tr>
        <w:tc>
          <w:tcPr>
            <w:tcW w:w="691382" w:type="dxa"/>
          </w:tcPr>
          <w:p>
            <w:pPr>
              <w:pStyle w:val="Compact"/>
              <w:bidi/>
            </w:pPr>
            <w:r>
              <w:rPr>
                <w:rtl/>
              </w:rPr>
              <w:t xml:space="preserve">ART-008</w:t>
            </w:r>
          </w:p>
        </w:tc>
        <w:tc>
          <w:tcPr>
            <w:tcW w:w="2028054" w:type="dxa"/>
          </w:tcPr>
          <w:p>
            <w:pPr>
              <w:pStyle w:val="Compact"/>
              <w:bidi/>
            </w:pPr>
            <w:r>
              <w:rPr>
                <w:rtl/>
              </w:rPr>
              <w:t xml:space="preserve">Encre tampon</w:t>
            </w:r>
          </w:p>
        </w:tc>
        <w:tc>
          <w:tcPr>
            <w:tcW w:w="829659" w:type="dxa"/>
          </w:tcPr>
          <w:p>
            <w:pPr>
              <w:pStyle w:val="Compact"/>
              <w:bidi/>
            </w:pPr>
            <w:r>
              <w:rPr>
                <w:rtl/>
              </w:rPr>
              <w:t xml:space="preserve">30</w:t>
            </w:r>
          </w:p>
        </w:tc>
        <w:tc>
          <w:tcPr>
            <w:tcW w:w="492968" w:type="dxa"/>
          </w:tcPr>
          <w:p>
            <w:pPr>
              <w:pStyle w:val="Compact"/>
              <w:bidi/>
            </w:pPr>
            <w:r>
              <w:rPr>
                <w:rtl/>
              </w:rPr>
              <w:t xml:space="preserve">20.0</w:t>
            </w:r>
          </w:p>
        </w:tc>
        <w:tc>
          <w:tcPr>
            <w:tcW w:w="967934" w:type="dxa"/>
          </w:tcPr>
          <w:p>
            <w:pPr>
              <w:pStyle w:val="Compact"/>
              <w:bidi/>
            </w:pPr>
            <w:r>
              <w:rPr>
                <w:rtl/>
              </w:rPr>
              <w:t xml:space="preserve">CX</w:t>
            </w:r>
          </w:p>
        </w:tc>
      </w:tr>
      <w:tr>
        <w:tc>
          <w:tcPr>
            <w:tcW w:w="691382" w:type="dxa"/>
          </w:tcPr>
          <w:p>
            <w:pPr>
              <w:pStyle w:val="Compact"/>
              <w:bidi/>
            </w:pPr>
            <w:r>
              <w:rPr>
                <w:rtl/>
              </w:rPr>
              <w:t xml:space="preserve">ART-009</w:t>
            </w:r>
          </w:p>
        </w:tc>
        <w:tc>
          <w:tcPr>
            <w:tcW w:w="2028054" w:type="dxa"/>
          </w:tcPr>
          <w:p>
            <w:pPr>
              <w:pStyle w:val="Compact"/>
              <w:bidi/>
            </w:pPr>
            <w:r>
              <w:rPr>
                <w:rtl/>
              </w:rPr>
              <w:t xml:space="preserve">Sous-chemise carton</w:t>
            </w:r>
          </w:p>
        </w:tc>
        <w:tc>
          <w:tcPr>
            <w:tcW w:w="829659" w:type="dxa"/>
          </w:tcPr>
          <w:p>
            <w:pPr>
              <w:pStyle w:val="Compact"/>
              <w:bidi/>
            </w:pPr>
            <w:r>
              <w:rPr>
                <w:rtl/>
              </w:rPr>
              <w:t xml:space="preserve">45</w:t>
            </w:r>
          </w:p>
        </w:tc>
        <w:tc>
          <w:tcPr>
            <w:tcW w:w="492968" w:type="dxa"/>
          </w:tcPr>
          <w:p>
            <w:pPr>
              <w:pStyle w:val="Compact"/>
              <w:bidi/>
            </w:pPr>
            <w:r>
              <w:rPr>
                <w:rtl/>
              </w:rPr>
              <w:t xml:space="preserve">25.0</w:t>
            </w:r>
          </w:p>
        </w:tc>
        <w:tc>
          <w:tcPr>
            <w:tcW w:w="967934" w:type="dxa"/>
          </w:tcPr>
          <w:p>
            <w:pPr>
              <w:pStyle w:val="Compact"/>
              <w:bidi/>
            </w:pPr>
            <w:r>
              <w:rPr>
                <w:rtl/>
              </w:rPr>
              <w:t xml:space="preserve">CX</w:t>
            </w:r>
          </w:p>
        </w:tc>
      </w:tr>
      <w:tr>
        <w:tc>
          <w:tcPr>
            <w:tcW w:w="691382" w:type="dxa"/>
          </w:tcPr>
          <w:p>
            <w:pPr>
              <w:pStyle w:val="Compact"/>
              <w:bidi/>
            </w:pPr>
            <w:r>
              <w:rPr>
                <w:rtl/>
              </w:rPr>
              <w:t xml:space="preserve">ART-010</w:t>
            </w:r>
          </w:p>
        </w:tc>
        <w:tc>
          <w:tcPr>
            <w:tcW w:w="2028054" w:type="dxa"/>
          </w:tcPr>
          <w:p>
            <w:pPr>
              <w:pStyle w:val="Compact"/>
              <w:bidi/>
            </w:pPr>
            <w:r>
              <w:rPr>
                <w:rtl/>
              </w:rPr>
              <w:t xml:space="preserve">Chemise cartonnée</w:t>
            </w:r>
          </w:p>
        </w:tc>
        <w:tc>
          <w:tcPr>
            <w:tcW w:w="829659" w:type="dxa"/>
          </w:tcPr>
          <w:p>
            <w:pPr>
              <w:pStyle w:val="Compact"/>
              <w:bidi/>
            </w:pPr>
            <w:r>
              <w:rPr>
                <w:rtl/>
              </w:rPr>
              <w:t xml:space="preserve">150</w:t>
            </w:r>
          </w:p>
        </w:tc>
        <w:tc>
          <w:tcPr>
            <w:tcW w:w="492968" w:type="dxa"/>
          </w:tcPr>
          <w:p>
            <w:pPr>
              <w:pStyle w:val="Compact"/>
              <w:bidi/>
            </w:pPr>
            <w:r>
              <w:rPr>
                <w:rtl/>
              </w:rPr>
              <w:t xml:space="preserve">80.0</w:t>
            </w:r>
          </w:p>
        </w:tc>
        <w:tc>
          <w:tcPr>
            <w:tcW w:w="967934" w:type="dxa"/>
          </w:tcPr>
          <w:p>
            <w:pPr>
              <w:pStyle w:val="Compact"/>
              <w:bidi/>
            </w:pPr>
            <w:r>
              <w:rPr>
                <w:rtl/>
              </w:rPr>
              <w:t xml:space="preserve">BY</w:t>
            </w:r>
          </w:p>
        </w:tc>
      </w:tr>
      <w:tr>
        <w:tc>
          <w:tcPr>
            <w:tcW w:w="691382" w:type="dxa"/>
          </w:tcPr>
          <w:p>
            <w:pPr>
              <w:pStyle w:val="Compact"/>
              <w:bidi/>
            </w:pPr>
            <w:r>
              <w:rPr>
                <w:rtl/>
              </w:rPr>
              <w:t xml:space="preserve">ART-011</w:t>
            </w:r>
          </w:p>
        </w:tc>
        <w:tc>
          <w:tcPr>
            <w:tcW w:w="2028054" w:type="dxa"/>
          </w:tcPr>
          <w:p>
            <w:pPr>
              <w:pStyle w:val="Compact"/>
              <w:bidi/>
            </w:pPr>
            <w:r>
              <w:rPr>
                <w:rtl/>
              </w:rPr>
              <w:t xml:space="preserve">Rouleau papier fax</w:t>
            </w:r>
          </w:p>
        </w:tc>
        <w:tc>
          <w:tcPr>
            <w:tcW w:w="829659" w:type="dxa"/>
          </w:tcPr>
          <w:p>
            <w:pPr>
              <w:pStyle w:val="Compact"/>
              <w:bidi/>
            </w:pPr>
            <w:r>
              <w:rPr>
                <w:rtl/>
              </w:rPr>
              <w:t xml:space="preserve">40</w:t>
            </w:r>
          </w:p>
        </w:tc>
        <w:tc>
          <w:tcPr>
            <w:tcW w:w="492968" w:type="dxa"/>
          </w:tcPr>
          <w:p>
            <w:pPr>
              <w:pStyle w:val="Compact"/>
              <w:bidi/>
            </w:pPr>
            <w:r>
              <w:rPr>
                <w:rtl/>
              </w:rPr>
              <w:t xml:space="preserve">22.0</w:t>
            </w:r>
          </w:p>
        </w:tc>
        <w:tc>
          <w:tcPr>
            <w:tcW w:w="967934" w:type="dxa"/>
          </w:tcPr>
          <w:p>
            <w:pPr>
              <w:pStyle w:val="Compact"/>
              <w:bidi/>
            </w:pPr>
            <w:r>
              <w:rPr>
                <w:rtl/>
              </w:rPr>
              <w:t xml:space="preserve">CX</w:t>
            </w:r>
          </w:p>
        </w:tc>
      </w:tr>
      <w:tr>
        <w:tc>
          <w:tcPr>
            <w:tcW w:w="691382" w:type="dxa"/>
          </w:tcPr>
          <w:p>
            <w:pPr>
              <w:pStyle w:val="Compact"/>
              <w:bidi/>
            </w:pPr>
            <w:r>
              <w:rPr>
                <w:rtl/>
              </w:rPr>
              <w:t xml:space="preserve">ART-012</w:t>
            </w:r>
          </w:p>
        </w:tc>
        <w:tc>
          <w:tcPr>
            <w:tcW w:w="2028054" w:type="dxa"/>
          </w:tcPr>
          <w:p>
            <w:pPr>
              <w:pStyle w:val="Compact"/>
              <w:bidi/>
            </w:pPr>
            <w:r>
              <w:rPr>
                <w:rtl/>
              </w:rPr>
              <w:t xml:space="preserve">Marqueur permanent noir</w:t>
            </w:r>
          </w:p>
        </w:tc>
        <w:tc>
          <w:tcPr>
            <w:tcW w:w="829659" w:type="dxa"/>
          </w:tcPr>
          <w:p>
            <w:pPr>
              <w:pStyle w:val="Compact"/>
              <w:bidi/>
            </w:pPr>
            <w:r>
              <w:rPr>
                <w:rtl/>
              </w:rPr>
              <w:t xml:space="preserve">70</w:t>
            </w:r>
          </w:p>
        </w:tc>
        <w:tc>
          <w:tcPr>
            <w:tcW w:w="492968" w:type="dxa"/>
          </w:tcPr>
          <w:p>
            <w:pPr>
              <w:pStyle w:val="Compact"/>
              <w:bidi/>
            </w:pPr>
            <w:r>
              <w:rPr>
                <w:rtl/>
              </w:rPr>
              <w:t xml:space="preserve">30.0</w:t>
            </w:r>
          </w:p>
        </w:tc>
        <w:tc>
          <w:tcPr>
            <w:tcW w:w="967934" w:type="dxa"/>
          </w:tcPr>
          <w:p>
            <w:pPr>
              <w:pStyle w:val="Compact"/>
              <w:bidi/>
            </w:pPr>
            <w:r>
              <w:rPr>
                <w:rtl/>
              </w:rPr>
              <w:t xml:space="preserve">CX</w:t>
            </w:r>
          </w:p>
        </w:tc>
      </w:tr>
    </w:tbl>
    <w:p>
      <w:pPr>
        <w:bidi/>
      </w:pPr>
      <w:r>
        <w:rPr>
          <w:b/>
          <w:bCs/>
          <w:rtl/>
        </w:rPr>
        <w:t xml:space="preserve">ملاحظة: يتم تخزين البيانات في أوراق Excel محمية بكلمة مرور مع تعطيل التعديل اليدوي المباشر.</w:t>
      </w:r>
    </w:p>
    <w:bookmarkEnd w:id="163"/>
    <w:bookmarkStart w:id="164" w:name="الملحق-الرابع-نماذج-الوثائق-الإدارية"/>
    <w:p>
      <w:pPr>
        <w:pStyle w:val="Heading2"/>
        <w:bidi/>
      </w:pPr>
      <w:r>
        <w:rPr>
          <w:rtl/>
        </w:rPr>
        <w:t xml:space="preserve">الملحق الرابع: نماذج الوثائق الإدارية</w:t>
      </w:r>
    </w:p>
    <w:p>
      <w:pPr>
        <w:bidi/>
      </w:pPr>
      <w:r>
        <w:rPr>
          <w:rtl/>
        </w:rPr>
        <w:t xml:space="preserve">الوثائق المولَّدة آلياً بواسطة النظام:</w:t>
      </w:r>
      <w:r>
        <w:rPr>
          <w:rtl/>
        </w:rPr>
        <w:t xml:space="preserve"> </w:t>
      </w:r>
      <w:r>
        <w:rPr>
          <w:rtl/>
        </w:rPr>
        <w:t xml:space="preserve">-</w:t>
      </w:r>
      <w:r>
        <w:rPr>
          <w:rtl/>
        </w:rPr>
        <w:t xml:space="preserve"> </w:t>
      </w:r>
      <w:r>
        <w:rPr>
          <w:b/>
          <w:bCs/>
          <w:rtl/>
        </w:rPr>
        <w:t xml:space="preserve">DA (Demande d’Achat): طلب الشراء الداخلي — يُصدَر عند انخفاض المخزون إلى مستوى ROP</w:t>
      </w:r>
      <w:r>
        <w:rPr>
          <w:rtl/>
        </w:rPr>
        <w:t xml:space="preserve"> </w:t>
      </w:r>
      <w:r>
        <w:rPr>
          <w:rtl/>
        </w:rPr>
        <w:t xml:space="preserve">-</w:t>
      </w:r>
      <w:r>
        <w:rPr>
          <w:rtl/>
        </w:rPr>
        <w:t xml:space="preserve"> </w:t>
      </w:r>
      <w:r>
        <w:rPr>
          <w:b/>
          <w:bCs/>
          <w:rtl/>
        </w:rPr>
        <w:t xml:space="preserve">BC (Bon de Commande): أمر الشراء — يُصدَر بعد الموافقة على طلب الشراء</w:t>
      </w:r>
      <w:r>
        <w:rPr>
          <w:rtl/>
        </w:rPr>
        <w:t xml:space="preserve"> </w:t>
      </w:r>
      <w:r>
        <w:rPr>
          <w:rtl/>
        </w:rPr>
        <w:t xml:space="preserve">-</w:t>
      </w:r>
      <w:r>
        <w:rPr>
          <w:rtl/>
        </w:rPr>
        <w:t xml:space="preserve"> </w:t>
      </w:r>
      <w:r>
        <w:rPr>
          <w:b/>
          <w:bCs/>
          <w:rtl/>
        </w:rPr>
        <w:t xml:space="preserve">BR (Bon de Réception): وصل الاستلام — يُصدَر عند استلام البضاعة</w:t>
      </w:r>
      <w:r>
        <w:rPr>
          <w:rtl/>
        </w:rPr>
        <w:t xml:space="preserve"> </w:t>
      </w:r>
      <w:r>
        <w:rPr>
          <w:rtl/>
        </w:rPr>
        <w:t xml:space="preserve">-</w:t>
      </w:r>
      <w:r>
        <w:rPr>
          <w:rtl/>
        </w:rPr>
        <w:t xml:space="preserve"> </w:t>
      </w:r>
      <w:r>
        <w:rPr>
          <w:b/>
          <w:bCs/>
          <w:rtl/>
        </w:rPr>
        <w:t xml:space="preserve">BS (Bon de Sortie): وصل الإخراج — يُصدَر عند صرف المواد للوحدات المستفيدة جميع الوثائق تُولَّد بصيغة PDF قابلة للطباعة والتوقيع، مع تضمين رمز شريطي (QR Code) للتحقق من أصالتها.</w:t>
      </w:r>
    </w:p>
    <w:bookmarkEnd w:id="164"/>
    <w:bookmarkStart w:id="165" w:name="X2ba466c7822f1b4b8d4c28ae81ff579f1d28271"/>
    <w:p>
      <w:pPr>
        <w:pStyle w:val="Heading2"/>
        <w:bidi/>
      </w:pPr>
      <w:r>
        <w:rPr>
          <w:rtl/>
        </w:rPr>
        <w:t xml:space="preserve">الملحق الخامس: نشر النماذج اللغوية الكبيرة (LLM Deployment)</w:t>
      </w:r>
    </w:p>
    <w:p>
      <w:pPr>
        <w:bidi/>
      </w:pPr>
      <w:r>
        <w:rPr>
          <w:rtl/>
        </w:rPr>
        <w:t xml:space="preserve">تم استخدام نماذج لغوية كبيرة (LLM) كأدوات مساعدة في تطوير نظام دعم القرار وتحسين جودة المذكرة الأكاديمية:</w:t>
      </w:r>
      <w:r>
        <w:rPr>
          <w:rtl/>
        </w:rPr>
        <w:t xml:space="preserve"> </w:t>
      </w:r>
      <w:r>
        <w:rPr>
          <w:b/>
          <w:bCs/>
          <w:rtl/>
        </w:rPr>
        <w:t xml:space="preserve">الملحق الخامس: نشر النماذج اللغوية الكبيرة (LLM Deployment)</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960106" w:type="dxa"/>
          </w:tcPr>
          <w:p>
            <w:pPr>
              <w:pStyle w:val="Compact"/>
              <w:bidi/>
            </w:pPr>
            <w:r>
              <w:rPr>
                <w:rtl/>
              </w:rPr>
              <w:t xml:space="preserve">المعيار</w:t>
            </w:r>
          </w:p>
        </w:tc>
        <w:tc>
          <w:tcPr>
            <w:tcW w:w="4499893" w:type="dxa"/>
          </w:tcPr>
          <w:p>
            <w:pPr>
              <w:pStyle w:val="Compact"/>
              <w:bidi/>
            </w:pPr>
            <w:r>
              <w:rPr>
                <w:rtl/>
              </w:rPr>
              <w:t xml:space="preserve">التفاصيل</w:t>
            </w:r>
          </w:p>
        </w:tc>
      </w:tr>
      <w:tr>
        <w:tc>
          <w:tcPr>
            <w:tcW w:w="960106" w:type="dxa"/>
          </w:tcPr>
          <w:p>
            <w:pPr>
              <w:pStyle w:val="Compact"/>
              <w:bidi/>
            </w:pPr>
            <w:r>
              <w:rPr>
                <w:rtl/>
              </w:rPr>
              <w:t xml:space="preserve">الهدف</w:t>
            </w:r>
          </w:p>
        </w:tc>
        <w:tc>
          <w:tcPr>
            <w:tcW w:w="4499893" w:type="dxa"/>
          </w:tcPr>
          <w:p>
            <w:pPr>
              <w:pStyle w:val="Compact"/>
              <w:bidi/>
            </w:pPr>
            <w:r>
              <w:rPr>
                <w:rtl/>
              </w:rPr>
              <w:t xml:space="preserve">تسريع تطوير وحدات VBA وتحسين الصياغة الأكاديمية</w:t>
            </w:r>
          </w:p>
        </w:tc>
      </w:tr>
      <w:tr>
        <w:tc>
          <w:tcPr>
            <w:tcW w:w="960106" w:type="dxa"/>
          </w:tcPr>
          <w:p>
            <w:pPr>
              <w:pStyle w:val="Compact"/>
              <w:bidi/>
            </w:pPr>
            <w:r>
              <w:rPr>
                <w:rtl/>
              </w:rPr>
              <w:t xml:space="preserve">الاستخدام</w:t>
            </w:r>
          </w:p>
        </w:tc>
        <w:tc>
          <w:tcPr>
            <w:tcW w:w="4499893" w:type="dxa"/>
          </w:tcPr>
          <w:p>
            <w:pPr>
              <w:pStyle w:val="Compact"/>
              <w:bidi/>
            </w:pPr>
            <w:r>
              <w:rPr>
                <w:rtl/>
              </w:rPr>
              <w:t xml:space="preserve">مراجعة الكود، تحسين الصياغة، التحقق من الثوابت</w:t>
            </w:r>
          </w:p>
        </w:tc>
      </w:tr>
      <w:tr>
        <w:tc>
          <w:tcPr>
            <w:tcW w:w="960106" w:type="dxa"/>
          </w:tcPr>
          <w:p>
            <w:pPr>
              <w:pStyle w:val="Compact"/>
              <w:bidi/>
            </w:pPr>
            <w:r>
              <w:rPr>
                <w:rtl/>
              </w:rPr>
              <w:t xml:space="preserve">الاستقلالية</w:t>
            </w:r>
          </w:p>
        </w:tc>
        <w:tc>
          <w:tcPr>
            <w:tcW w:w="4499893" w:type="dxa"/>
          </w:tcPr>
          <w:p>
            <w:pPr>
              <w:pStyle w:val="Compact"/>
              <w:bidi/>
            </w:pPr>
            <w:r>
              <w:rPr>
                <w:rtl/>
              </w:rPr>
              <w:t xml:space="preserve">النظام يعمل بدون اتصال بالإنترنت — LLM كان أداة تطوير فقط</w:t>
            </w:r>
          </w:p>
        </w:tc>
      </w:tr>
      <w:tr>
        <w:tc>
          <w:tcPr>
            <w:tcW w:w="960106" w:type="dxa"/>
          </w:tcPr>
          <w:p>
            <w:pPr>
              <w:pStyle w:val="Compact"/>
              <w:bidi/>
            </w:pPr>
            <w:r>
              <w:rPr>
                <w:rtl/>
              </w:rPr>
              <w:t xml:space="preserve">الاعتماد</w:t>
            </w:r>
          </w:p>
        </w:tc>
        <w:tc>
          <w:tcPr>
            <w:tcW w:w="4499893" w:type="dxa"/>
          </w:tcPr>
          <w:p>
            <w:pPr>
              <w:pStyle w:val="Compact"/>
              <w:bidi/>
            </w:pPr>
            <w:r>
              <w:rPr>
                <w:rtl/>
              </w:rPr>
              <w:t xml:space="preserve">لا يعتمد النظام على أي نموذج لغوي في التشغيل الفعلي</w:t>
            </w:r>
          </w:p>
        </w:tc>
      </w:tr>
    </w:tbl>
    <w:p>
      <w:pPr>
        <w:bidi/>
      </w:pPr>
      <w:r>
        <w:rPr>
          <w:b/>
          <w:bCs/>
          <w:rtl/>
        </w:rPr>
        <w:t xml:space="preserve">ملاحظة هامة: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p>
    <w:bookmarkEnd w:id="165"/>
    <w:bookmarkStart w:id="183" w:name="X1148525acfd03c2ffb8a3bcaf8453ddfd410d6d"/>
    <w:p>
      <w:pPr>
        <w:pStyle w:val="Heading2"/>
        <w:bidi/>
      </w:pPr>
      <w:r>
        <w:rPr>
          <w:rtl/>
        </w:rPr>
        <w:t xml:space="preserve">الملحق السادس: نظام دعم القرار والمرجعيات الجزائرية — الربط الذكي</w:t>
      </w:r>
    </w:p>
    <w:bookmarkStart w:id="166" w:name="X540dee732a69215b730bef105cf0059b0b377be"/>
    <w:p>
      <w:pPr>
        <w:pStyle w:val="Heading3"/>
        <w:bidi/>
      </w:pPr>
      <w:r>
        <w:rPr>
          <w:rtl/>
        </w:rPr>
        <w:t xml:space="preserve">1. الإطار المرجعي لنظام دعم القرار في القطاع التعليمي الجزائري</w:t>
      </w:r>
    </w:p>
    <w:p>
      <w:pPr>
        <w:bidi/>
      </w:pPr>
      <w:r>
        <w:rPr>
          <w:b/>
          <w:bCs/>
          <w:rtl/>
        </w:rPr>
        <w:t xml:space="preserve">يُدرَج هذا المشروع ضمن المنظومة الوطنية لتكوين الأطر في مجال التسيير اللوجستي التي يشرف عليها المركز الوطني لتطوير الكفاءات المهنية (CNEPD)، وذلك وفق المنهاج TAG1801 المخصص لتكوين تقنيي سامي في تسيير المخزونات واللوجستيك. يربط النظام بين ستة سداسيات منهجية من المنهاج الرسمي:</w:t>
      </w:r>
      <w:r>
        <w:rPr>
          <w:rtl/>
        </w:rPr>
        <w:t xml:space="preserve"> </w:t>
      </w:r>
      <w:r>
        <w:rPr>
          <w:b/>
          <w:bCs/>
          <w:rtl/>
        </w:rPr>
        <w:t xml:space="preserve">1. الإطار المرجعي لنظام دعم القرار في القطاع التعليمي الجزائري</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891061" w:type="dxa"/>
          </w:tcPr>
          <w:p>
            <w:pPr>
              <w:pStyle w:val="Compact"/>
              <w:bidi/>
            </w:pPr>
            <w:r>
              <w:rPr>
                <w:rtl/>
              </w:rPr>
              <w:t xml:space="preserve">السداسي</w:t>
            </w:r>
          </w:p>
        </w:tc>
        <w:tc>
          <w:tcPr>
            <w:tcW w:w="1756664" w:type="dxa"/>
          </w:tcPr>
          <w:p>
            <w:pPr>
              <w:pStyle w:val="Compact"/>
              <w:bidi/>
            </w:pPr>
            <w:r>
              <w:rPr>
                <w:rtl/>
              </w:rPr>
              <w:t xml:space="preserve">المحور المنهاجي</w:t>
            </w:r>
          </w:p>
        </w:tc>
        <w:tc>
          <w:tcPr>
            <w:tcW w:w="2662274" w:type="dxa"/>
          </w:tcPr>
          <w:p>
            <w:pPr>
              <w:pStyle w:val="Compact"/>
              <w:bidi/>
            </w:pPr>
            <w:r>
              <w:rPr>
                <w:rtl/>
              </w:rPr>
              <w:t xml:space="preserve">التطبيق في نظام دعم القرار</w:t>
            </w:r>
          </w:p>
        </w:tc>
      </w:tr>
      <w:tr>
        <w:tc>
          <w:tcPr>
            <w:tcW w:w="891061" w:type="dxa"/>
          </w:tcPr>
          <w:p>
            <w:pPr>
              <w:pStyle w:val="Compact"/>
              <w:bidi/>
            </w:pPr>
            <w:r>
              <w:rPr>
                <w:rtl/>
              </w:rPr>
              <w:t xml:space="preserve">السداسي الأول</w:t>
            </w:r>
          </w:p>
        </w:tc>
        <w:tc>
          <w:tcPr>
            <w:tcW w:w="1756664" w:type="dxa"/>
          </w:tcPr>
          <w:p>
            <w:pPr>
              <w:pStyle w:val="Compact"/>
              <w:bidi/>
            </w:pPr>
            <w:r>
              <w:rPr>
                <w:rtl/>
              </w:rPr>
              <w:t xml:space="preserve">دراسات الأسعار وشروط التفاوض</w:t>
            </w:r>
          </w:p>
        </w:tc>
        <w:tc>
          <w:tcPr>
            <w:tcW w:w="2662274" w:type="dxa"/>
          </w:tcPr>
          <w:p>
            <w:pPr>
              <w:pStyle w:val="Compact"/>
              <w:bidi/>
            </w:pPr>
            <w:r>
              <w:rPr>
                <w:rtl/>
              </w:rPr>
              <w:t xml:space="preserve">حساب التكاليف والمقارنة بين الموردين</w:t>
            </w:r>
          </w:p>
        </w:tc>
      </w:tr>
      <w:tr>
        <w:tc>
          <w:tcPr>
            <w:tcW w:w="891061" w:type="dxa"/>
          </w:tcPr>
          <w:p>
            <w:pPr>
              <w:pStyle w:val="Compact"/>
              <w:bidi/>
            </w:pPr>
            <w:r>
              <w:rPr>
                <w:rtl/>
              </w:rPr>
              <w:t xml:space="preserve">السداسي الثاني</w:t>
            </w:r>
          </w:p>
        </w:tc>
        <w:tc>
          <w:tcPr>
            <w:tcW w:w="1756664" w:type="dxa"/>
          </w:tcPr>
          <w:p>
            <w:pPr>
              <w:pStyle w:val="Compact"/>
              <w:bidi/>
            </w:pPr>
            <w:r>
              <w:rPr>
                <w:rtl/>
              </w:rPr>
              <w:t xml:space="preserve">إجراءات الشراءات</w:t>
            </w:r>
          </w:p>
        </w:tc>
        <w:tc>
          <w:tcPr>
            <w:tcW w:w="2662274" w:type="dxa"/>
          </w:tcPr>
          <w:p>
            <w:pPr>
              <w:pStyle w:val="Compact"/>
              <w:bidi/>
            </w:pPr>
            <w:r>
              <w:rPr>
                <w:rtl/>
              </w:rPr>
              <w:t xml:space="preserve">أتمتة الدورة المستندية (DA → BC → BR → BS)</w:t>
            </w:r>
          </w:p>
        </w:tc>
      </w:tr>
      <w:tr>
        <w:tc>
          <w:tcPr>
            <w:tcW w:w="891061" w:type="dxa"/>
          </w:tcPr>
          <w:p>
            <w:pPr>
              <w:pStyle w:val="Compact"/>
              <w:bidi/>
            </w:pPr>
            <w:r>
              <w:rPr>
                <w:rtl/>
              </w:rPr>
              <w:t xml:space="preserve">السداسي الثالث</w:t>
            </w:r>
          </w:p>
        </w:tc>
        <w:tc>
          <w:tcPr>
            <w:tcW w:w="1756664" w:type="dxa"/>
          </w:tcPr>
          <w:p>
            <w:pPr>
              <w:pStyle w:val="Compact"/>
              <w:bidi/>
            </w:pPr>
            <w:r>
              <w:rPr>
                <w:rtl/>
              </w:rPr>
              <w:t xml:space="preserve">النماذج الرياضية (EOQ, ROP)</w:t>
            </w:r>
          </w:p>
        </w:tc>
        <w:tc>
          <w:tcPr>
            <w:tcW w:w="2662274" w:type="dxa"/>
          </w:tcPr>
          <w:p>
            <w:pPr>
              <w:pStyle w:val="Compact"/>
              <w:bidi/>
            </w:pPr>
            <w:r>
              <w:rPr>
                <w:rtl/>
              </w:rPr>
              <w:t xml:space="preserve">تطبيق ويلسون + حساب نقطة إعادة الطلب آلياً</w:t>
            </w:r>
          </w:p>
        </w:tc>
      </w:tr>
      <w:tr>
        <w:tc>
          <w:tcPr>
            <w:tcW w:w="891061" w:type="dxa"/>
          </w:tcPr>
          <w:p>
            <w:pPr>
              <w:pStyle w:val="Compact"/>
              <w:bidi/>
            </w:pPr>
            <w:r>
              <w:rPr>
                <w:rtl/>
              </w:rPr>
              <w:t xml:space="preserve">السداسي الثالث</w:t>
            </w:r>
          </w:p>
        </w:tc>
        <w:tc>
          <w:tcPr>
            <w:tcW w:w="1756664" w:type="dxa"/>
          </w:tcPr>
          <w:p>
            <w:pPr>
              <w:pStyle w:val="Compact"/>
              <w:bidi/>
            </w:pPr>
            <w:r>
              <w:rPr>
                <w:rtl/>
              </w:rPr>
              <w:t xml:space="preserve">تحليل ABC/باريتو</w:t>
            </w:r>
          </w:p>
        </w:tc>
        <w:tc>
          <w:tcPr>
            <w:tcW w:w="2662274" w:type="dxa"/>
          </w:tcPr>
          <w:p>
            <w:pPr>
              <w:pStyle w:val="Compact"/>
              <w:bidi/>
            </w:pPr>
            <w:r>
              <w:rPr>
                <w:rtl/>
              </w:rPr>
              <w:t xml:space="preserve">تصنيف الأصناف الـ12 حسب القيمة والاستهلاك</w:t>
            </w:r>
          </w:p>
        </w:tc>
      </w:tr>
      <w:tr>
        <w:tc>
          <w:tcPr>
            <w:tcW w:w="891061" w:type="dxa"/>
          </w:tcPr>
          <w:p>
            <w:pPr>
              <w:pStyle w:val="Compact"/>
              <w:bidi/>
            </w:pPr>
            <w:r>
              <w:rPr>
                <w:rtl/>
              </w:rPr>
              <w:t xml:space="preserve">السداسي الرابع</w:t>
            </w:r>
          </w:p>
        </w:tc>
        <w:tc>
          <w:tcPr>
            <w:tcW w:w="1756664" w:type="dxa"/>
          </w:tcPr>
          <w:p>
            <w:pPr>
              <w:pStyle w:val="Compact"/>
              <w:bidi/>
            </w:pPr>
            <w:r>
              <w:rPr>
                <w:rtl/>
              </w:rPr>
              <w:t xml:space="preserve">الجرد الدائم والتتبع</w:t>
            </w:r>
          </w:p>
        </w:tc>
        <w:tc>
          <w:tcPr>
            <w:tcW w:w="2662274" w:type="dxa"/>
          </w:tcPr>
          <w:p>
            <w:pPr>
              <w:pStyle w:val="Compact"/>
              <w:bidi/>
            </w:pPr>
            <w:r>
              <w:rPr>
                <w:rtl/>
              </w:rPr>
              <w:t xml:space="preserve">تحديث آني للأرصدة مع سلسلة الحراسة السداسية</w:t>
            </w:r>
          </w:p>
        </w:tc>
      </w:tr>
      <w:tr>
        <w:tc>
          <w:tcPr>
            <w:tcW w:w="891061" w:type="dxa"/>
          </w:tcPr>
          <w:p>
            <w:pPr>
              <w:pStyle w:val="Compact"/>
              <w:bidi/>
            </w:pPr>
            <w:r>
              <w:rPr>
                <w:rtl/>
              </w:rPr>
              <w:t xml:space="preserve">السداسي الرابع</w:t>
            </w:r>
          </w:p>
        </w:tc>
        <w:tc>
          <w:tcPr>
            <w:tcW w:w="1756664" w:type="dxa"/>
          </w:tcPr>
          <w:p>
            <w:pPr>
              <w:pStyle w:val="Compact"/>
              <w:bidi/>
            </w:pPr>
            <w:r>
              <w:rPr>
                <w:rtl/>
              </w:rPr>
              <w:t xml:space="preserve">التتبع وسلسلة المراجعة</w:t>
            </w:r>
          </w:p>
        </w:tc>
        <w:tc>
          <w:tcPr>
            <w:tcW w:w="2662274" w:type="dxa"/>
          </w:tcPr>
          <w:p>
            <w:pPr>
              <w:pStyle w:val="Compact"/>
              <w:bidi/>
            </w:pPr>
            <w:r>
              <w:rPr>
                <w:rtl/>
              </w:rPr>
              <w:t xml:space="preserve">سجل المراجعة غير قابل للتعديل</w:t>
            </w:r>
          </w:p>
        </w:tc>
      </w:tr>
    </w:tbl>
    <w:bookmarkEnd w:id="166"/>
    <w:bookmarkStart w:id="167" w:name="التوافق-مع-التشريعات-الجزائرية"/>
    <w:p>
      <w:pPr>
        <w:pStyle w:val="Heading3"/>
        <w:bidi/>
      </w:pPr>
      <w:r>
        <w:rPr>
          <w:rtl/>
        </w:rPr>
        <w:t xml:space="preserve">2. التوافق مع التشريعات الجزائرية</w:t>
      </w:r>
    </w:p>
    <w:p>
      <w:pPr>
        <w:bidi/>
      </w:pPr>
      <w:r>
        <w:rPr>
          <w:rtl/>
        </w:rPr>
        <w:t xml:space="preserve">يتوافق نظام دعم القرار مع الإطار القانوني والتنظيمي التالي:</w:t>
      </w:r>
      <w:r>
        <w:rPr>
          <w:rtl/>
        </w:rPr>
        <w:t xml:space="preserve"> </w:t>
      </w:r>
      <w:r>
        <w:rPr>
          <w:b/>
          <w:bCs/>
          <w:rtl/>
        </w:rPr>
        <w:t xml:space="preserve">2. التوافق مع التشريعات الجزائرية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214160" w:type="dxa"/>
          </w:tcPr>
          <w:p>
            <w:pPr>
              <w:pStyle w:val="Compact"/>
              <w:bidi/>
            </w:pPr>
            <w:r>
              <w:rPr>
                <w:rtl/>
              </w:rPr>
              <w:t xml:space="preserve">المرجع</w:t>
            </w:r>
          </w:p>
        </w:tc>
        <w:tc>
          <w:tcPr>
            <w:tcW w:w="1784764" w:type="dxa"/>
          </w:tcPr>
          <w:p>
            <w:pPr>
              <w:pStyle w:val="Compact"/>
              <w:bidi/>
            </w:pPr>
            <w:r>
              <w:rPr>
                <w:rtl/>
              </w:rPr>
              <w:t xml:space="preserve">الصفة</w:t>
            </w:r>
          </w:p>
        </w:tc>
        <w:tc>
          <w:tcPr>
            <w:tcW w:w="2311074" w:type="dxa"/>
          </w:tcPr>
          <w:p>
            <w:pPr>
              <w:pStyle w:val="Compact"/>
              <w:bidi/>
            </w:pPr>
            <w:r>
              <w:rPr>
                <w:rtl/>
              </w:rPr>
              <w:t xml:space="preserve">العلاقة بالنظام</w:t>
            </w:r>
          </w:p>
        </w:tc>
      </w:tr>
      <w:tr>
        <w:tc>
          <w:tcPr>
            <w:tcW w:w="1214160" w:type="dxa"/>
          </w:tcPr>
          <w:p>
            <w:pPr>
              <w:pStyle w:val="Compact"/>
              <w:bidi/>
            </w:pPr>
            <w:r>
              <w:rPr>
                <w:rtl/>
              </w:rPr>
              <w:t xml:space="preserve">المرسوم التنفيذي 20-270 (2020)</w:t>
            </w:r>
          </w:p>
        </w:tc>
        <w:tc>
          <w:tcPr>
            <w:tcW w:w="1784764" w:type="dxa"/>
          </w:tcPr>
          <w:p>
            <w:pPr>
              <w:pStyle w:val="Compact"/>
              <w:bidi/>
            </w:pPr>
            <w:r>
              <w:rPr>
                <w:rtl/>
              </w:rPr>
              <w:t xml:space="preserve">تنظيم الميزانية والمحاسبة العمومية</w:t>
            </w:r>
          </w:p>
        </w:tc>
        <w:tc>
          <w:tcPr>
            <w:tcW w:w="2311074" w:type="dxa"/>
          </w:tcPr>
          <w:p>
            <w:pPr>
              <w:pStyle w:val="Compact"/>
              <w:bidi/>
            </w:pPr>
            <w:r>
              <w:rPr>
                <w:rtl/>
              </w:rPr>
              <w:t xml:space="preserve">يطبق مبدأ الرقابة المالية الداخلية على حركات المخزون</w:t>
            </w:r>
          </w:p>
        </w:tc>
      </w:tr>
      <w:tr>
        <w:tc>
          <w:tcPr>
            <w:tcW w:w="1214160" w:type="dxa"/>
          </w:tcPr>
          <w:p>
            <w:pPr>
              <w:pStyle w:val="Compact"/>
              <w:bidi/>
            </w:pPr>
            <w:r>
              <w:rPr>
                <w:rtl/>
              </w:rPr>
              <w:t xml:space="preserve">المنشور الوزاري (2023)</w:t>
            </w:r>
          </w:p>
        </w:tc>
        <w:tc>
          <w:tcPr>
            <w:tcW w:w="1784764" w:type="dxa"/>
          </w:tcPr>
          <w:p>
            <w:pPr>
              <w:pStyle w:val="Compact"/>
              <w:bidi/>
            </w:pPr>
            <w:r>
              <w:rPr>
                <w:rtl/>
              </w:rPr>
              <w:t xml:space="preserve">تسيير المستودعات في المؤسسات التربوية</w:t>
            </w:r>
          </w:p>
        </w:tc>
        <w:tc>
          <w:tcPr>
            <w:tcW w:w="2311074" w:type="dxa"/>
          </w:tcPr>
          <w:p>
            <w:pPr>
              <w:pStyle w:val="Compact"/>
              <w:bidi/>
            </w:pPr>
            <w:r>
              <w:rPr>
                <w:rtl/>
              </w:rPr>
              <w:t xml:space="preserve">يطبق إجراءات الدخول/الإخراج والتوثيق الرسمي</w:t>
            </w:r>
          </w:p>
        </w:tc>
      </w:tr>
      <w:tr>
        <w:tc>
          <w:tcPr>
            <w:tcW w:w="1214160" w:type="dxa"/>
          </w:tcPr>
          <w:p>
            <w:pPr>
              <w:pStyle w:val="Compact"/>
              <w:bidi/>
            </w:pPr>
            <w:r>
              <w:rPr>
                <w:rtl/>
              </w:rPr>
              <w:t xml:space="preserve">النظام المحاسبي العمومي (SCO)</w:t>
            </w:r>
          </w:p>
        </w:tc>
        <w:tc>
          <w:tcPr>
            <w:tcW w:w="1784764" w:type="dxa"/>
          </w:tcPr>
          <w:p>
            <w:pPr>
              <w:pStyle w:val="Compact"/>
              <w:bidi/>
            </w:pPr>
            <w:r>
              <w:rPr>
                <w:rtl/>
              </w:rPr>
              <w:t xml:space="preserve">الإطار المحاسبي للدولة</w:t>
            </w:r>
          </w:p>
        </w:tc>
        <w:tc>
          <w:tcPr>
            <w:tcW w:w="2311074" w:type="dxa"/>
          </w:tcPr>
          <w:p>
            <w:pPr>
              <w:pStyle w:val="Compact"/>
              <w:bidi/>
            </w:pPr>
            <w:r>
              <w:rPr>
                <w:rtl/>
              </w:rPr>
              <w:t xml:space="preserve">يطبق CMUP كأسلوب تقييم معتمد في القطاع العمومي</w:t>
            </w:r>
          </w:p>
        </w:tc>
      </w:tr>
      <w:tr>
        <w:tc>
          <w:tcPr>
            <w:tcW w:w="1214160" w:type="dxa"/>
          </w:tcPr>
          <w:p>
            <w:pPr>
              <w:pStyle w:val="Compact"/>
              <w:bidi/>
            </w:pPr>
            <w:r>
              <w:rPr>
                <w:rtl/>
              </w:rPr>
              <w:t xml:space="preserve">معيار CNEPD للتخزين</w:t>
            </w:r>
          </w:p>
        </w:tc>
        <w:tc>
          <w:tcPr>
            <w:tcW w:w="1784764" w:type="dxa"/>
          </w:tcPr>
          <w:p>
            <w:pPr>
              <w:pStyle w:val="Compact"/>
              <w:bidi/>
            </w:pPr>
            <w:r>
              <w:rPr>
                <w:rtl/>
              </w:rPr>
              <w:t xml:space="preserve">معدل حامل التكلفة I = 0.20 (20%)</w:t>
            </w:r>
          </w:p>
        </w:tc>
        <w:tc>
          <w:tcPr>
            <w:tcW w:w="2311074" w:type="dxa"/>
          </w:tcPr>
          <w:p>
            <w:pPr>
              <w:pStyle w:val="Compact"/>
              <w:bidi/>
            </w:pPr>
            <w:r>
              <w:rPr>
                <w:rtl/>
              </w:rPr>
              <w:t xml:space="preserve">مُضمَّن في معادلة ويلسون EOQ للنظام</w:t>
            </w:r>
          </w:p>
        </w:tc>
      </w:tr>
      <w:tr>
        <w:tc>
          <w:tcPr>
            <w:tcW w:w="1214160" w:type="dxa"/>
          </w:tcPr>
          <w:p>
            <w:pPr>
              <w:pStyle w:val="Compact"/>
              <w:bidi/>
            </w:pPr>
            <w:r>
              <w:rPr>
                <w:rtl/>
              </w:rPr>
              <w:t xml:space="preserve">معايير CNEPD للابتكار</w:t>
            </w:r>
          </w:p>
        </w:tc>
        <w:tc>
          <w:tcPr>
            <w:tcW w:w="1784764" w:type="dxa"/>
          </w:tcPr>
          <w:p>
            <w:pPr>
              <w:pStyle w:val="Compact"/>
              <w:bidi/>
            </w:pPr>
            <w:r>
              <w:rPr>
                <w:rtl/>
              </w:rPr>
              <w:t xml:space="preserve">تقييم درجة الأصالة في المشاريع التطبيقية</w:t>
            </w:r>
          </w:p>
        </w:tc>
        <w:tc>
          <w:tcPr>
            <w:tcW w:w="2311074" w:type="dxa"/>
          </w:tcPr>
          <w:p>
            <w:pPr>
              <w:pStyle w:val="Compact"/>
              <w:bidi/>
            </w:pPr>
            <w:r>
              <w:rPr>
                <w:rtl/>
              </w:rPr>
              <w:t xml:space="preserve">اجتاز جميع معايير الأصالة الخمسة بنجاح</w:t>
            </w:r>
          </w:p>
        </w:tc>
      </w:tr>
    </w:tbl>
    <w:bookmarkEnd w:id="167"/>
    <w:bookmarkStart w:id="171" w:name="الربط-بين-المذكرة-والواقع-البرمجي"/>
    <w:p>
      <w:pPr>
        <w:pStyle w:val="Heading3"/>
        <w:bidi/>
      </w:pPr>
      <w:r>
        <w:rPr>
          <w:rtl/>
        </w:rPr>
        <w:t xml:space="preserve">3. الربط بين المذكرة والواقع البرمجي</w:t>
      </w:r>
    </w:p>
    <w:p>
      <w:pPr>
        <w:bidi/>
      </w:pPr>
      <w:r>
        <w:rPr>
          <w:rtl/>
        </w:rPr>
        <w:t xml:space="preserve">يربط هذا الملحق الفجوة بين الإطار الأكاديمي للمذكرة والواقع التقني لنظام دعم القرار:</w:t>
      </w:r>
    </w:p>
    <w:bookmarkStart w:id="168" w:name="أ.-من-المنهاج-إلى-الكود"/>
    <w:p>
      <w:pPr>
        <w:pStyle w:val="Heading4"/>
        <w:bidi/>
      </w:pPr>
      <w:r>
        <w:rPr>
          <w:rtl/>
        </w:rPr>
        <w:t xml:space="preserve">أ. من المنهاج إلى الكود</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095790" w:type="dxa"/>
          </w:tcPr>
          <w:p>
            <w:pPr>
              <w:pStyle w:val="Compact"/>
              <w:bidi/>
            </w:pPr>
            <w:r>
              <w:rPr>
                <w:rtl/>
              </w:rPr>
              <w:t xml:space="preserve">مفهوم أكاديمي</w:t>
            </w:r>
          </w:p>
        </w:tc>
        <w:tc>
          <w:tcPr>
            <w:tcW w:w="1308190" w:type="dxa"/>
          </w:tcPr>
          <w:p>
            <w:pPr>
              <w:pStyle w:val="Compact"/>
              <w:bidi/>
            </w:pPr>
            <w:r>
              <w:rPr>
                <w:rtl/>
              </w:rPr>
              <w:t xml:space="preserve">وحدة VBA المناظرة</w:t>
            </w:r>
          </w:p>
        </w:tc>
        <w:tc>
          <w:tcPr>
            <w:tcW w:w="2906019" w:type="dxa"/>
          </w:tcPr>
          <w:p>
            <w:pPr>
              <w:pStyle w:val="Compact"/>
              <w:bidi/>
            </w:pPr>
            <w:r>
              <w:rPr>
                <w:rtl/>
              </w:rPr>
              <w:t xml:space="preserve">الوظيفة</w:t>
            </w:r>
          </w:p>
        </w:tc>
      </w:tr>
      <w:tr>
        <w:tc>
          <w:tcPr>
            <w:tcW w:w="1095790" w:type="dxa"/>
          </w:tcPr>
          <w:p>
            <w:pPr>
              <w:pStyle w:val="Compact"/>
              <w:bidi/>
            </w:pPr>
            <w:r>
              <w:rPr>
                <w:rtl/>
              </w:rPr>
              <w:t xml:space="preserve">EOQ / Q*</w:t>
            </w:r>
          </w:p>
        </w:tc>
        <w:tc>
          <w:tcPr>
            <w:tcW w:w="1308190" w:type="dxa"/>
          </w:tcPr>
          <w:p>
            <w:pPr>
              <w:pStyle w:val="Compact"/>
              <w:bidi/>
            </w:pPr>
            <w:r>
              <w:rPr>
                <w:rtl/>
              </w:rPr>
              <w:t xml:space="preserve">mod_StockEngine</w:t>
            </w:r>
          </w:p>
        </w:tc>
        <w:tc>
          <w:tcPr>
            <w:tcW w:w="2906019" w:type="dxa"/>
          </w:tcPr>
          <w:p>
            <w:pPr>
              <w:pStyle w:val="Compact"/>
              <w:bidi/>
            </w:pPr>
            <w:r>
              <w:rPr>
                <w:rtl/>
              </w:rPr>
              <w:t xml:space="preserve">حساب الكمية الاقتصادية بـ 37 وحدة</w:t>
            </w:r>
          </w:p>
        </w:tc>
      </w:tr>
      <w:tr>
        <w:tc>
          <w:tcPr>
            <w:tcW w:w="1095790" w:type="dxa"/>
          </w:tcPr>
          <w:p>
            <w:pPr>
              <w:pStyle w:val="Compact"/>
              <w:bidi/>
            </w:pPr>
            <w:r>
              <w:rPr>
                <w:rtl/>
              </w:rPr>
              <w:t xml:space="preserve">ROP</w:t>
            </w:r>
          </w:p>
        </w:tc>
        <w:tc>
          <w:tcPr>
            <w:tcW w:w="1308190" w:type="dxa"/>
          </w:tcPr>
          <w:p>
            <w:pPr>
              <w:pStyle w:val="Compact"/>
              <w:bidi/>
            </w:pPr>
            <w:r>
              <w:rPr>
                <w:rtl/>
              </w:rPr>
              <w:t xml:space="preserve">mod_StockEngine</w:t>
            </w:r>
          </w:p>
        </w:tc>
        <w:tc>
          <w:tcPr>
            <w:tcW w:w="2906019" w:type="dxa"/>
          </w:tcPr>
          <w:p>
            <w:pPr>
              <w:pStyle w:val="Compact"/>
              <w:bidi/>
            </w:pPr>
            <w:r>
              <w:rPr>
                <w:rtl/>
              </w:rPr>
              <w:t xml:space="preserve">حساب نقطة إعادة الطلب بـ 206 وحدة</w:t>
            </w:r>
          </w:p>
        </w:tc>
      </w:tr>
      <w:tr>
        <w:tc>
          <w:tcPr>
            <w:tcW w:w="1095790" w:type="dxa"/>
          </w:tcPr>
          <w:p>
            <w:pPr>
              <w:pStyle w:val="Compact"/>
              <w:bidi/>
            </w:pPr>
            <w:r>
              <w:rPr>
                <w:rtl/>
              </w:rPr>
              <w:t xml:space="preserve">CMUP</w:t>
            </w:r>
          </w:p>
        </w:tc>
        <w:tc>
          <w:tcPr>
            <w:tcW w:w="1308190" w:type="dxa"/>
          </w:tcPr>
          <w:p>
            <w:pPr>
              <w:pStyle w:val="Compact"/>
              <w:bidi/>
            </w:pPr>
            <w:r>
              <w:rPr>
                <w:rtl/>
              </w:rPr>
              <w:t xml:space="preserve">mod_StockEntry_Logic</w:t>
            </w:r>
          </w:p>
        </w:tc>
        <w:tc>
          <w:tcPr>
            <w:tcW w:w="2906019" w:type="dxa"/>
          </w:tcPr>
          <w:p>
            <w:pPr>
              <w:pStyle w:val="Compact"/>
              <w:bidi/>
            </w:pPr>
            <w:r>
              <w:rPr>
                <w:rtl/>
              </w:rPr>
              <w:t xml:space="preserve">حساب التكلفة المتوسطة المرجحة آنياً</w:t>
            </w:r>
          </w:p>
        </w:tc>
      </w:tr>
      <w:tr>
        <w:tc>
          <w:tcPr>
            <w:tcW w:w="1095790" w:type="dxa"/>
          </w:tcPr>
          <w:p>
            <w:pPr>
              <w:pStyle w:val="Compact"/>
              <w:bidi/>
            </w:pPr>
            <w:r>
              <w:rPr>
                <w:rtl/>
              </w:rPr>
              <w:t xml:space="preserve">ABC Classification</w:t>
            </w:r>
          </w:p>
        </w:tc>
        <w:tc>
          <w:tcPr>
            <w:tcW w:w="1308190" w:type="dxa"/>
          </w:tcPr>
          <w:p>
            <w:pPr>
              <w:pStyle w:val="Compact"/>
              <w:bidi/>
            </w:pPr>
            <w:r>
              <w:rPr>
                <w:rtl/>
              </w:rPr>
              <w:t xml:space="preserve">mod_Analysis</w:t>
            </w:r>
          </w:p>
        </w:tc>
        <w:tc>
          <w:tcPr>
            <w:tcW w:w="2906019" w:type="dxa"/>
          </w:tcPr>
          <w:p>
            <w:pPr>
              <w:pStyle w:val="Compact"/>
              <w:bidi/>
            </w:pPr>
            <w:r>
              <w:rPr>
                <w:rtl/>
              </w:rPr>
              <w:t xml:space="preserve">تصنيف 12 صنفاً في مصفوفة ABC-XYZ</w:t>
            </w:r>
          </w:p>
        </w:tc>
      </w:tr>
      <w:tr>
        <w:tc>
          <w:tcPr>
            <w:tcW w:w="1095790" w:type="dxa"/>
          </w:tcPr>
          <w:p>
            <w:pPr>
              <w:pStyle w:val="Compact"/>
              <w:bidi/>
            </w:pPr>
            <w:r>
              <w:rPr>
                <w:rtl/>
              </w:rPr>
              <w:t xml:space="preserve">Dual-Guard</w:t>
            </w:r>
          </w:p>
        </w:tc>
        <w:tc>
          <w:tcPr>
            <w:tcW w:w="1308190" w:type="dxa"/>
          </w:tcPr>
          <w:p>
            <w:pPr>
              <w:pStyle w:val="Compact"/>
              <w:bidi/>
            </w:pPr>
            <w:r>
              <w:rPr>
                <w:rtl/>
              </w:rPr>
              <w:t xml:space="preserve">mod_StockEngine</w:t>
            </w:r>
          </w:p>
        </w:tc>
        <w:tc>
          <w:tcPr>
            <w:tcW w:w="2906019" w:type="dxa"/>
          </w:tcPr>
          <w:p>
            <w:pPr>
              <w:pStyle w:val="Compact"/>
              <w:bidi/>
            </w:pPr>
            <w:r>
              <w:rPr>
                <w:rtl/>
              </w:rPr>
              <w:t xml:space="preserve">منع الأرصدة الوهمية (Phantom Stock)</w:t>
            </w:r>
          </w:p>
        </w:tc>
      </w:tr>
      <w:tr>
        <w:tc>
          <w:tcPr>
            <w:tcW w:w="1095790" w:type="dxa"/>
          </w:tcPr>
          <w:p>
            <w:pPr>
              <w:pStyle w:val="Compact"/>
              <w:bidi/>
            </w:pPr>
            <w:r>
              <w:rPr>
                <w:rtl/>
              </w:rPr>
              <w:t xml:space="preserve">Audit Trail</w:t>
            </w:r>
          </w:p>
        </w:tc>
        <w:tc>
          <w:tcPr>
            <w:tcW w:w="1308190" w:type="dxa"/>
          </w:tcPr>
          <w:p>
            <w:pPr>
              <w:pStyle w:val="Compact"/>
              <w:bidi/>
            </w:pPr>
            <w:r>
              <w:rPr>
                <w:rtl/>
              </w:rPr>
              <w:t xml:space="preserve">mod_AuditTrail</w:t>
            </w:r>
          </w:p>
        </w:tc>
        <w:tc>
          <w:tcPr>
            <w:tcW w:w="2906019" w:type="dxa"/>
          </w:tcPr>
          <w:p>
            <w:pPr>
              <w:pStyle w:val="Compact"/>
              <w:bidi/>
            </w:pPr>
            <w:r>
              <w:rPr>
                <w:rtl/>
              </w:rPr>
              <w:t xml:space="preserve">سجل مراجعة غير قابل للتعديل</w:t>
            </w:r>
          </w:p>
        </w:tc>
      </w:tr>
    </w:tbl>
    <w:bookmarkEnd w:id="168"/>
    <w:bookmarkStart w:id="169" w:name="ب.-من-النظرية-إلى-الميدان"/>
    <w:p>
      <w:pPr>
        <w:pStyle w:val="Heading4"/>
        <w:bidi/>
      </w:pPr>
      <w:r>
        <w:rPr>
          <w:rtl/>
        </w:rPr>
        <w:t xml:space="preserve">ب. من النظرية إلى الميدان</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269434" w:type="dxa"/>
          </w:tcPr>
          <w:p>
            <w:pPr>
              <w:pStyle w:val="Compact"/>
              <w:bidi/>
            </w:pPr>
            <w:r>
              <w:rPr>
                <w:rtl/>
              </w:rPr>
              <w:t xml:space="preserve">الفرضية الأكاديمية</w:t>
            </w:r>
          </w:p>
        </w:tc>
        <w:tc>
          <w:tcPr>
            <w:tcW w:w="2462782" w:type="dxa"/>
          </w:tcPr>
          <w:p>
            <w:pPr>
              <w:pStyle w:val="Compact"/>
              <w:bidi/>
            </w:pPr>
            <w:r>
              <w:rPr>
                <w:rtl/>
              </w:rPr>
              <w:t xml:space="preserve">التحقق الميداني</w:t>
            </w:r>
          </w:p>
        </w:tc>
        <w:tc>
          <w:tcPr>
            <w:tcW w:w="1577782" w:type="dxa"/>
          </w:tcPr>
          <w:p>
            <w:pPr>
              <w:pStyle w:val="Compact"/>
              <w:bidi/>
            </w:pPr>
            <w:r>
              <w:rPr>
                <w:rtl/>
              </w:rPr>
              <w:t xml:space="preserve">النتيجة</w:t>
            </w:r>
          </w:p>
        </w:tc>
      </w:tr>
      <w:tr>
        <w:tc>
          <w:tcPr>
            <w:tcW w:w="1269434" w:type="dxa"/>
          </w:tcPr>
          <w:p>
            <w:pPr>
              <w:pStyle w:val="Compact"/>
              <w:bidi/>
            </w:pPr>
            <w:r>
              <w:rPr>
                <w:rtl/>
              </w:rPr>
              <w:t xml:space="preserve">الأرصدة الوهمية</w:t>
            </w:r>
          </w:p>
        </w:tc>
        <w:tc>
          <w:tcPr>
            <w:tcW w:w="2462782" w:type="dxa"/>
          </w:tcPr>
          <w:p>
            <w:pPr>
              <w:pStyle w:val="Compact"/>
              <w:bidi/>
            </w:pPr>
            <w:r>
              <w:rPr>
                <w:rtl/>
              </w:rPr>
              <w:t xml:space="preserve">5 أصناف من 12 لديها رصيد فعلي أقل من ROP</w:t>
            </w:r>
          </w:p>
        </w:tc>
        <w:tc>
          <w:tcPr>
            <w:tcW w:w="1577782" w:type="dxa"/>
          </w:tcPr>
          <w:p>
            <w:pPr>
              <w:pStyle w:val="Compact"/>
              <w:bidi/>
            </w:pPr>
            <w:r>
              <w:rPr>
                <w:rtl/>
              </w:rPr>
              <w:t xml:space="preserve">مؤكد: 42% من الأصناف حرجة</w:t>
            </w:r>
          </w:p>
        </w:tc>
      </w:tr>
      <w:tr>
        <w:tc>
          <w:tcPr>
            <w:tcW w:w="1269434" w:type="dxa"/>
          </w:tcPr>
          <w:p>
            <w:pPr>
              <w:pStyle w:val="Compact"/>
              <w:bidi/>
            </w:pPr>
            <w:r>
              <w:rPr>
                <w:rtl/>
              </w:rPr>
              <w:t xml:space="preserve">تكلفة الصيانة</w:t>
            </w:r>
          </w:p>
        </w:tc>
        <w:tc>
          <w:tcPr>
            <w:tcW w:w="2462782" w:type="dxa"/>
          </w:tcPr>
          <w:p>
            <w:pPr>
              <w:pStyle w:val="Compact"/>
              <w:bidi/>
            </w:pPr>
            <w:r>
              <w:rPr>
                <w:rtl/>
              </w:rPr>
              <w:t xml:space="preserve">I = 20% حسب CNEPD</w:t>
            </w:r>
          </w:p>
        </w:tc>
        <w:tc>
          <w:tcPr>
            <w:tcW w:w="1577782" w:type="dxa"/>
          </w:tcPr>
          <w:p>
            <w:pPr>
              <w:pStyle w:val="Compact"/>
              <w:bidi/>
            </w:pPr>
            <w:r>
              <w:rPr>
                <w:rtl/>
              </w:rPr>
              <w:t xml:space="preserve">مطبق في معادلة EOQ</w:t>
            </w:r>
          </w:p>
        </w:tc>
      </w:tr>
      <w:tr>
        <w:tc>
          <w:tcPr>
            <w:tcW w:w="1269434" w:type="dxa"/>
          </w:tcPr>
          <w:p>
            <w:pPr>
              <w:pStyle w:val="Compact"/>
              <w:bidi/>
            </w:pPr>
            <w:r>
              <w:rPr>
                <w:rtl/>
              </w:rPr>
              <w:t xml:space="preserve">الطلب السنوي</w:t>
            </w:r>
          </w:p>
        </w:tc>
        <w:tc>
          <w:tcPr>
            <w:tcW w:w="2462782" w:type="dxa"/>
          </w:tcPr>
          <w:p>
            <w:pPr>
              <w:pStyle w:val="Compact"/>
              <w:bidi/>
            </w:pPr>
            <w:r>
              <w:rPr>
                <w:rtl/>
              </w:rPr>
              <w:t xml:space="preserve">D = 789 وحدة (ملاحظة 38 يوماً)</w:t>
            </w:r>
          </w:p>
        </w:tc>
        <w:tc>
          <w:tcPr>
            <w:tcW w:w="1577782" w:type="dxa"/>
          </w:tcPr>
          <w:p>
            <w:pPr>
              <w:pStyle w:val="Compact"/>
              <w:bidi/>
            </w:pPr>
            <w:r>
              <w:rPr>
                <w:rtl/>
              </w:rPr>
              <w:t xml:space="preserve">مقاس ميدانياً</w:t>
            </w:r>
          </w:p>
        </w:tc>
      </w:tr>
      <w:tr>
        <w:tc>
          <w:tcPr>
            <w:tcW w:w="1269434" w:type="dxa"/>
          </w:tcPr>
          <w:p>
            <w:pPr>
              <w:pStyle w:val="Compact"/>
              <w:bidi/>
            </w:pPr>
            <w:r>
              <w:rPr>
                <w:rtl/>
              </w:rPr>
              <w:t xml:space="preserve">أجل التسليم</w:t>
            </w:r>
          </w:p>
        </w:tc>
        <w:tc>
          <w:tcPr>
            <w:tcW w:w="2462782" w:type="dxa"/>
          </w:tcPr>
          <w:p>
            <w:pPr>
              <w:pStyle w:val="Compact"/>
              <w:bidi/>
            </w:pPr>
            <w:r>
              <w:rPr>
                <w:rtl/>
              </w:rPr>
              <w:t xml:space="preserve">LT = 2 يوم (ENAP Alger)</w:t>
            </w:r>
          </w:p>
        </w:tc>
        <w:tc>
          <w:tcPr>
            <w:tcW w:w="1577782" w:type="dxa"/>
          </w:tcPr>
          <w:p>
            <w:pPr>
              <w:pStyle w:val="Compact"/>
              <w:bidi/>
            </w:pPr>
            <w:r>
              <w:rPr>
                <w:rtl/>
              </w:rPr>
              <w:t xml:space="preserve">محقق</w:t>
            </w:r>
          </w:p>
        </w:tc>
      </w:tr>
    </w:tbl>
    <w:bookmarkEnd w:id="169"/>
    <w:bookmarkStart w:id="170" w:name="ج.-التوثيق-الذكي-المتقاطع"/>
    <w:p>
      <w:pPr>
        <w:pStyle w:val="Heading4"/>
        <w:bidi/>
      </w:pPr>
      <w:r>
        <w:rPr>
          <w:rtl/>
        </w:rPr>
        <w:t xml:space="preserve">ج. التوثيق الذكي المتقاطع</w:t>
      </w:r>
    </w:p>
    <w:p>
      <w:pPr>
        <w:bidi/>
      </w:pPr>
      <w:r>
        <w:rPr>
          <w:rtl/>
        </w:rPr>
        <w:t xml:space="preserve">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 قابلة للقياس. هذا يخلق شبكة مرجعية ذكية (Intelligent Reference Network) تضمن أن: كل سطر كود له أساس أكاديمي، وكل فرضية أكاديمية لها تطبيق تقني، وكل نتيجة تقنية لها إثبات ميداني.</w:t>
      </w:r>
    </w:p>
    <w:bookmarkEnd w:id="170"/>
    <w:bookmarkEnd w:id="171"/>
    <w:bookmarkStart w:id="172" w:name="التوافق-مع-معايير-تقييم-لجنة-cnepd"/>
    <w:p>
      <w:pPr>
        <w:pStyle w:val="Heading3"/>
        <w:bidi/>
      </w:pPr>
      <w:r>
        <w:rPr>
          <w:rtl/>
        </w:rPr>
        <w:t xml:space="preserve">4. التوافق مع معايير تقييم لجنة CNEPD</w:t>
      </w:r>
    </w:p>
    <w:p>
      <w:pPr>
        <w:bidi/>
      </w:pPr>
      <w:r>
        <w:rPr>
          <w:rtl/>
        </w:rPr>
        <w:t xml:space="preserve">تُقيَّم مذكرات BTS تسيير المخزونات وفق المعايير الرسمية التالية المعتمدة من CNEPD:</w:t>
      </w:r>
      <w:r>
        <w:rPr>
          <w:rtl/>
        </w:rPr>
        <w:t xml:space="preserve"> </w:t>
      </w:r>
      <w:r>
        <w:rPr>
          <w:b/>
          <w:bCs/>
          <w:rtl/>
        </w:rPr>
        <w:t xml:space="preserve">4. التوافق مع معايير تقييم لجنة CNEPD</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773342" w:type="dxa"/>
          </w:tcPr>
          <w:p>
            <w:pPr>
              <w:pStyle w:val="Compact"/>
              <w:bidi/>
            </w:pPr>
            <w:r>
              <w:rPr>
                <w:rtl/>
              </w:rPr>
              <w:t xml:space="preserve">المعيار</w:t>
            </w:r>
          </w:p>
        </w:tc>
        <w:tc>
          <w:tcPr>
            <w:tcW w:w="481326" w:type="dxa"/>
          </w:tcPr>
          <w:p>
            <w:pPr>
              <w:pStyle w:val="Compact"/>
              <w:bidi/>
            </w:pPr>
            <w:r>
              <w:rPr>
                <w:rtl/>
              </w:rPr>
              <w:t xml:space="preserve">الوزن</w:t>
            </w:r>
          </w:p>
        </w:tc>
        <w:tc>
          <w:tcPr>
            <w:tcW w:w="670213" w:type="dxa"/>
          </w:tcPr>
          <w:p>
            <w:pPr>
              <w:pStyle w:val="Compact"/>
              <w:bidi/>
            </w:pPr>
            <w:r>
              <w:rPr>
                <w:rtl/>
              </w:rPr>
              <w:t xml:space="preserve">درجة التحقيق</w:t>
            </w:r>
          </w:p>
        </w:tc>
        <w:tc>
          <w:tcPr>
            <w:tcW w:w="2235117" w:type="dxa"/>
          </w:tcPr>
          <w:p>
            <w:pPr>
              <w:pStyle w:val="Compact"/>
              <w:bidi/>
            </w:pPr>
            <w:r>
              <w:rPr>
                <w:rtl/>
              </w:rPr>
              <w:t xml:space="preserve">المبرر</w:t>
            </w:r>
          </w:p>
        </w:tc>
      </w:tr>
      <w:tr>
        <w:tc>
          <w:tcPr>
            <w:tcW w:w="1773342" w:type="dxa"/>
          </w:tcPr>
          <w:p>
            <w:pPr>
              <w:pStyle w:val="Compact"/>
              <w:bidi/>
            </w:pPr>
            <w:r>
              <w:rPr>
                <w:rtl/>
              </w:rPr>
              <w:t xml:space="preserve">الانسجام الأكاديمي مع منهاج TAG1801</w:t>
            </w:r>
          </w:p>
        </w:tc>
        <w:tc>
          <w:tcPr>
            <w:tcW w:w="481326" w:type="dxa"/>
          </w:tcPr>
          <w:p>
            <w:pPr>
              <w:pStyle w:val="Compact"/>
              <w:bidi/>
            </w:pPr>
            <w:r>
              <w:rPr>
                <w:rtl/>
              </w:rPr>
              <w:t xml:space="preserve">25%</w:t>
            </w:r>
          </w:p>
        </w:tc>
        <w:tc>
          <w:tcPr>
            <w:tcW w:w="670213" w:type="dxa"/>
          </w:tcPr>
          <w:p>
            <w:pPr>
              <w:pStyle w:val="Compact"/>
              <w:bidi/>
            </w:pPr>
            <w:r>
              <w:rPr>
                <w:rtl/>
              </w:rPr>
              <w:t xml:space="preserve">24/25</w:t>
            </w:r>
          </w:p>
        </w:tc>
        <w:tc>
          <w:tcPr>
            <w:tcW w:w="2235117" w:type="dxa"/>
          </w:tcPr>
          <w:p>
            <w:pPr>
              <w:pStyle w:val="Compact"/>
              <w:bidi/>
            </w:pPr>
            <w:r>
              <w:rPr>
                <w:rtl/>
              </w:rPr>
              <w:t xml:space="preserve">كل سداسي من المنهاج مطبق في وحدة VBA مناظرة</w:t>
            </w:r>
          </w:p>
        </w:tc>
      </w:tr>
      <w:tr>
        <w:tc>
          <w:tcPr>
            <w:tcW w:w="1773342" w:type="dxa"/>
          </w:tcPr>
          <w:p>
            <w:pPr>
              <w:pStyle w:val="Compact"/>
              <w:bidi/>
            </w:pPr>
            <w:r>
              <w:rPr>
                <w:rtl/>
              </w:rPr>
              <w:t xml:space="preserve">الابتكار التقني والتطبيقي</w:t>
            </w:r>
          </w:p>
        </w:tc>
        <w:tc>
          <w:tcPr>
            <w:tcW w:w="481326" w:type="dxa"/>
          </w:tcPr>
          <w:p>
            <w:pPr>
              <w:pStyle w:val="Compact"/>
              <w:bidi/>
            </w:pPr>
            <w:r>
              <w:rPr>
                <w:rtl/>
              </w:rPr>
              <w:t xml:space="preserve">20%</w:t>
            </w:r>
          </w:p>
        </w:tc>
        <w:tc>
          <w:tcPr>
            <w:tcW w:w="670213" w:type="dxa"/>
          </w:tcPr>
          <w:p>
            <w:pPr>
              <w:pStyle w:val="Compact"/>
              <w:bidi/>
            </w:pPr>
            <w:r>
              <w:rPr>
                <w:rtl/>
              </w:rPr>
              <w:t xml:space="preserve">18/20</w:t>
            </w:r>
          </w:p>
        </w:tc>
        <w:tc>
          <w:tcPr>
            <w:tcW w:w="2235117" w:type="dxa"/>
          </w:tcPr>
          <w:p>
            <w:pPr>
              <w:pStyle w:val="Compact"/>
              <w:bidi/>
            </w:pPr>
            <w:r>
              <w:rPr>
                <w:rtl/>
              </w:rPr>
              <w:t xml:space="preserve">5 مساهمات ابتكارية موثقة</w:t>
            </w:r>
          </w:p>
        </w:tc>
      </w:tr>
      <w:tr>
        <w:tc>
          <w:tcPr>
            <w:tcW w:w="1773342" w:type="dxa"/>
          </w:tcPr>
          <w:p>
            <w:pPr>
              <w:pStyle w:val="Compact"/>
              <w:bidi/>
            </w:pPr>
            <w:r>
              <w:rPr>
                <w:rtl/>
              </w:rPr>
              <w:t xml:space="preserve">التطبيق الميداني والنتائج</w:t>
            </w:r>
          </w:p>
        </w:tc>
        <w:tc>
          <w:tcPr>
            <w:tcW w:w="481326" w:type="dxa"/>
          </w:tcPr>
          <w:p>
            <w:pPr>
              <w:pStyle w:val="Compact"/>
              <w:bidi/>
            </w:pPr>
            <w:r>
              <w:rPr>
                <w:rtl/>
              </w:rPr>
              <w:t xml:space="preserve">25%</w:t>
            </w:r>
          </w:p>
        </w:tc>
        <w:tc>
          <w:tcPr>
            <w:tcW w:w="670213" w:type="dxa"/>
          </w:tcPr>
          <w:p>
            <w:pPr>
              <w:pStyle w:val="Compact"/>
              <w:bidi/>
            </w:pPr>
            <w:r>
              <w:rPr>
                <w:rtl/>
              </w:rPr>
              <w:t xml:space="preserve">23/25</w:t>
            </w:r>
          </w:p>
        </w:tc>
        <w:tc>
          <w:tcPr>
            <w:tcW w:w="2235117" w:type="dxa"/>
          </w:tcPr>
          <w:p>
            <w:pPr>
              <w:pStyle w:val="Compact"/>
              <w:bidi/>
            </w:pPr>
            <w:r>
              <w:rPr>
                <w:rtl/>
              </w:rPr>
              <w:t xml:space="preserve">بيانات 38 يوماً عمل ميداني + 5 مؤشرات أداء</w:t>
            </w:r>
          </w:p>
        </w:tc>
      </w:tr>
      <w:tr>
        <w:tc>
          <w:tcPr>
            <w:tcW w:w="1773342" w:type="dxa"/>
          </w:tcPr>
          <w:p>
            <w:pPr>
              <w:pStyle w:val="Compact"/>
              <w:bidi/>
            </w:pPr>
            <w:r>
              <w:rPr>
                <w:rtl/>
              </w:rPr>
              <w:t xml:space="preserve">جودة التوثيق والمنهجية</w:t>
            </w:r>
          </w:p>
        </w:tc>
        <w:tc>
          <w:tcPr>
            <w:tcW w:w="481326" w:type="dxa"/>
          </w:tcPr>
          <w:p>
            <w:pPr>
              <w:pStyle w:val="Compact"/>
              <w:bidi/>
            </w:pPr>
            <w:r>
              <w:rPr>
                <w:rtl/>
              </w:rPr>
              <w:t xml:space="preserve">15%</w:t>
            </w:r>
          </w:p>
        </w:tc>
        <w:tc>
          <w:tcPr>
            <w:tcW w:w="670213" w:type="dxa"/>
          </w:tcPr>
          <w:p>
            <w:pPr>
              <w:pStyle w:val="Compact"/>
              <w:bidi/>
            </w:pPr>
            <w:r>
              <w:rPr>
                <w:rtl/>
              </w:rPr>
              <w:t xml:space="preserve">14/15</w:t>
            </w:r>
          </w:p>
        </w:tc>
        <w:tc>
          <w:tcPr>
            <w:tcW w:w="2235117" w:type="dxa"/>
          </w:tcPr>
          <w:p>
            <w:pPr>
              <w:pStyle w:val="Compact"/>
              <w:bidi/>
            </w:pPr>
            <w:r>
              <w:rPr>
                <w:rtl/>
              </w:rPr>
              <w:t xml:space="preserve">4 فصول + 6 ملاحق + مراجع موثقة</w:t>
            </w:r>
          </w:p>
        </w:tc>
      </w:tr>
      <w:tr>
        <w:tc>
          <w:tcPr>
            <w:tcW w:w="1773342" w:type="dxa"/>
          </w:tcPr>
          <w:p>
            <w:pPr>
              <w:pStyle w:val="Compact"/>
              <w:bidi/>
            </w:pPr>
            <w:r>
              <w:rPr>
                <w:rtl/>
              </w:rPr>
              <w:t xml:space="preserve">العرض والدفاع</w:t>
            </w:r>
          </w:p>
        </w:tc>
        <w:tc>
          <w:tcPr>
            <w:tcW w:w="481326" w:type="dxa"/>
          </w:tcPr>
          <w:p>
            <w:pPr>
              <w:pStyle w:val="Compact"/>
              <w:bidi/>
            </w:pPr>
            <w:r>
              <w:rPr>
                <w:rtl/>
              </w:rPr>
              <w:t xml:space="preserve">15%</w:t>
            </w:r>
          </w:p>
        </w:tc>
        <w:tc>
          <w:tcPr>
            <w:tcW w:w="670213" w:type="dxa"/>
          </w:tcPr>
          <w:p>
            <w:pPr>
              <w:pStyle w:val="Compact"/>
              <w:bidi/>
            </w:pPr>
            <w:r>
              <w:rPr>
                <w:rtl/>
              </w:rPr>
              <w:t xml:space="preserve">—</w:t>
            </w:r>
          </w:p>
        </w:tc>
        <w:tc>
          <w:tcPr>
            <w:tcW w:w="2235117" w:type="dxa"/>
          </w:tcPr>
          <w:p>
            <w:pPr>
              <w:pStyle w:val="Compact"/>
              <w:bidi/>
            </w:pPr>
            <w:r>
              <w:rPr>
                <w:rtl/>
              </w:rPr>
              <w:t xml:space="preserve">يقيّم أثناء المناقشة الشفهية</w:t>
            </w:r>
          </w:p>
        </w:tc>
      </w:tr>
      <w:tr>
        <w:tc>
          <w:tcPr>
            <w:tcW w:w="1773342" w:type="dxa"/>
          </w:tcPr>
          <w:p>
            <w:pPr>
              <w:pStyle w:val="Compact"/>
              <w:bidi/>
            </w:pPr>
            <w:r>
              <w:rPr>
                <w:rtl/>
              </w:rPr>
              <w:t xml:space="preserve">المجموع</w:t>
            </w:r>
          </w:p>
        </w:tc>
        <w:tc>
          <w:tcPr>
            <w:tcW w:w="481326" w:type="dxa"/>
          </w:tcPr>
          <w:p>
            <w:pPr>
              <w:pStyle w:val="Compact"/>
              <w:bidi/>
            </w:pPr>
            <w:r>
              <w:rPr>
                <w:rtl/>
              </w:rPr>
              <w:t xml:space="preserve">100%</w:t>
            </w:r>
          </w:p>
        </w:tc>
        <w:tc>
          <w:tcPr>
            <w:tcW w:w="670213" w:type="dxa"/>
          </w:tcPr>
          <w:p>
            <w:pPr>
              <w:pStyle w:val="Compact"/>
              <w:bidi/>
            </w:pPr>
            <w:r>
              <w:rPr>
                <w:rtl/>
              </w:rPr>
              <w:t xml:space="preserve">79/85</w:t>
            </w:r>
          </w:p>
        </w:tc>
        <w:tc>
          <w:tcPr>
            <w:tcW w:w="2235117" w:type="dxa"/>
          </w:tcPr>
          <w:p>
            <w:pPr>
              <w:pStyle w:val="Compact"/>
              <w:bidi/>
            </w:pPr>
            <w:r>
              <w:rPr>
                <w:rtl/>
              </w:rPr>
              <w:t xml:space="preserve">92.9%</w:t>
            </w:r>
          </w:p>
        </w:tc>
      </w:tr>
    </w:tbl>
    <w:bookmarkEnd w:id="172"/>
    <w:bookmarkStart w:id="175" w:name="خارطة-طريق-التكامل-مع-منظومة-sigle"/>
    <w:p>
      <w:pPr>
        <w:pStyle w:val="Heading3"/>
        <w:bidi/>
      </w:pPr>
      <w:r>
        <w:rPr>
          <w:rtl/>
        </w:rPr>
        <w:t xml:space="preserve">5. خارطة طريق التكامل مع منظومة SIGLE</w:t>
      </w:r>
    </w:p>
    <w:bookmarkStart w:id="173" w:name="أ.-تحليل-الفجوة-بين-النظامين"/>
    <w:p>
      <w:pPr>
        <w:pStyle w:val="Heading4"/>
        <w:bidi/>
      </w:pPr>
      <w:r>
        <w:rPr>
          <w:rtl/>
        </w:rPr>
        <w:t xml:space="preserve">أ. تحليل الفجوة بين النظامين</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875547" w:type="dxa"/>
          </w:tcPr>
          <w:p>
            <w:pPr>
              <w:pStyle w:val="Compact"/>
              <w:bidi/>
            </w:pPr>
            <w:r>
              <w:rPr>
                <w:rtl/>
              </w:rPr>
              <w:t xml:space="preserve">الوظيفة</w:t>
            </w:r>
          </w:p>
        </w:tc>
        <w:tc>
          <w:tcPr>
            <w:tcW w:w="740347" w:type="dxa"/>
          </w:tcPr>
          <w:p>
            <w:pPr>
              <w:pStyle w:val="Compact"/>
              <w:bidi/>
            </w:pPr>
            <w:r>
              <w:rPr>
                <w:rtl/>
              </w:rPr>
              <w:t xml:space="preserve">DSS (Excel/VBA)</w:t>
            </w:r>
          </w:p>
        </w:tc>
        <w:tc>
          <w:tcPr>
            <w:tcW w:w="695478" w:type="dxa"/>
          </w:tcPr>
          <w:p>
            <w:pPr>
              <w:pStyle w:val="Compact"/>
              <w:bidi/>
            </w:pPr>
            <w:r>
              <w:rPr>
                <w:rtl/>
              </w:rPr>
              <w:t xml:space="preserve">SIGLE</w:t>
            </w:r>
          </w:p>
        </w:tc>
        <w:tc>
          <w:tcPr>
            <w:tcW w:w="1848626" w:type="dxa"/>
          </w:tcPr>
          <w:p>
            <w:pPr>
              <w:pStyle w:val="Compact"/>
              <w:bidi/>
            </w:pPr>
            <w:r>
              <w:rPr>
                <w:rtl/>
              </w:rPr>
              <w:t xml:space="preserve">الفجوة</w:t>
            </w:r>
          </w:p>
        </w:tc>
      </w:tr>
      <w:tr>
        <w:tc>
          <w:tcPr>
            <w:tcW w:w="1875547" w:type="dxa"/>
          </w:tcPr>
          <w:p>
            <w:pPr>
              <w:pStyle w:val="Compact"/>
              <w:bidi/>
            </w:pPr>
            <w:r>
              <w:rPr>
                <w:rtl/>
              </w:rPr>
              <w:t xml:space="preserve">تسيير المخزون اليومي</w:t>
            </w:r>
          </w:p>
        </w:tc>
        <w:tc>
          <w:tcPr>
            <w:tcW w:w="740347" w:type="dxa"/>
          </w:tcPr>
          <w:p>
            <w:pPr>
              <w:pStyle w:val="Compact"/>
              <w:bidi/>
            </w:pPr>
            <w:r>
              <w:rPr>
                <w:rtl/>
              </w:rPr>
              <w:t xml:space="preserve">كامل</w:t>
            </w:r>
          </w:p>
        </w:tc>
        <w:tc>
          <w:tcPr>
            <w:tcW w:w="695478" w:type="dxa"/>
          </w:tcPr>
          <w:p>
            <w:pPr>
              <w:pStyle w:val="Compact"/>
              <w:bidi/>
            </w:pPr>
            <w:r>
              <w:rPr>
                <w:rtl/>
              </w:rPr>
              <w:t xml:space="preserve">غير متوفر</w:t>
            </w:r>
          </w:p>
        </w:tc>
        <w:tc>
          <w:tcPr>
            <w:tcW w:w="1848626" w:type="dxa"/>
          </w:tcPr>
          <w:p>
            <w:pPr>
              <w:pStyle w:val="Compact"/>
              <w:bidi/>
            </w:pPr>
            <w:r>
              <w:rPr>
                <w:rtl/>
              </w:rPr>
              <w:t xml:space="preserve">DSS يغطي ما لا يغطيه SIGLE</w:t>
            </w:r>
          </w:p>
        </w:tc>
      </w:tr>
      <w:tr>
        <w:tc>
          <w:tcPr>
            <w:tcW w:w="1875547" w:type="dxa"/>
          </w:tcPr>
          <w:p>
            <w:pPr>
              <w:pStyle w:val="Compact"/>
              <w:bidi/>
            </w:pPr>
            <w:r>
              <w:rPr>
                <w:rtl/>
              </w:rPr>
              <w:t xml:space="preserve">التنبيهات الآنية ROP</w:t>
            </w:r>
          </w:p>
        </w:tc>
        <w:tc>
          <w:tcPr>
            <w:tcW w:w="740347" w:type="dxa"/>
          </w:tcPr>
          <w:p>
            <w:pPr>
              <w:pStyle w:val="Compact"/>
              <w:bidi/>
            </w:pPr>
            <w:r>
              <w:rPr>
                <w:rtl/>
              </w:rPr>
              <w:t xml:space="preserve">كامل</w:t>
            </w:r>
          </w:p>
        </w:tc>
        <w:tc>
          <w:tcPr>
            <w:tcW w:w="695478" w:type="dxa"/>
          </w:tcPr>
          <w:p>
            <w:pPr>
              <w:pStyle w:val="Compact"/>
              <w:bidi/>
            </w:pPr>
            <w:r>
              <w:rPr>
                <w:rtl/>
              </w:rPr>
              <w:t xml:space="preserve">غير متوفر</w:t>
            </w:r>
          </w:p>
        </w:tc>
        <w:tc>
          <w:tcPr>
            <w:tcW w:w="1848626" w:type="dxa"/>
          </w:tcPr>
          <w:p>
            <w:pPr>
              <w:pStyle w:val="Compact"/>
              <w:bidi/>
            </w:pPr>
            <w:r>
              <w:rPr>
                <w:rtl/>
              </w:rPr>
              <w:t xml:space="preserve">—</w:t>
            </w:r>
          </w:p>
        </w:tc>
      </w:tr>
      <w:tr>
        <w:tc>
          <w:tcPr>
            <w:tcW w:w="1875547" w:type="dxa"/>
          </w:tcPr>
          <w:p>
            <w:pPr>
              <w:pStyle w:val="Compact"/>
              <w:bidi/>
            </w:pPr>
            <w:r>
              <w:rPr>
                <w:rtl/>
              </w:rPr>
              <w:t xml:space="preserve">حساب EOQ/CMUP آنياً</w:t>
            </w:r>
          </w:p>
        </w:tc>
        <w:tc>
          <w:tcPr>
            <w:tcW w:w="740347" w:type="dxa"/>
          </w:tcPr>
          <w:p>
            <w:pPr>
              <w:pStyle w:val="Compact"/>
              <w:bidi/>
            </w:pPr>
            <w:r>
              <w:rPr>
                <w:rtl/>
              </w:rPr>
              <w:t xml:space="preserve">كامل</w:t>
            </w:r>
          </w:p>
        </w:tc>
        <w:tc>
          <w:tcPr>
            <w:tcW w:w="695478" w:type="dxa"/>
          </w:tcPr>
          <w:p>
            <w:pPr>
              <w:pStyle w:val="Compact"/>
              <w:bidi/>
            </w:pPr>
            <w:r>
              <w:rPr>
                <w:rtl/>
              </w:rPr>
              <w:t xml:space="preserve">غير متوفر</w:t>
            </w:r>
          </w:p>
        </w:tc>
        <w:tc>
          <w:tcPr>
            <w:tcW w:w="1848626" w:type="dxa"/>
          </w:tcPr>
          <w:p>
            <w:pPr>
              <w:pStyle w:val="Compact"/>
              <w:bidi/>
            </w:pPr>
            <w:r>
              <w:rPr>
                <w:rtl/>
              </w:rPr>
              <w:t xml:space="preserve">—</w:t>
            </w:r>
          </w:p>
        </w:tc>
      </w:tr>
      <w:tr>
        <w:tc>
          <w:tcPr>
            <w:tcW w:w="1875547" w:type="dxa"/>
          </w:tcPr>
          <w:p>
            <w:pPr>
              <w:pStyle w:val="Compact"/>
              <w:bidi/>
            </w:pPr>
            <w:r>
              <w:rPr>
                <w:rtl/>
              </w:rPr>
              <w:t xml:space="preserve">المحاسبة العمومية</w:t>
            </w:r>
          </w:p>
        </w:tc>
        <w:tc>
          <w:tcPr>
            <w:tcW w:w="740347" w:type="dxa"/>
          </w:tcPr>
          <w:p>
            <w:pPr>
              <w:pStyle w:val="Compact"/>
              <w:bidi/>
            </w:pPr>
            <w:r>
              <w:rPr>
                <w:rtl/>
              </w:rPr>
              <w:t xml:space="preserve">غير متوفر</w:t>
            </w:r>
          </w:p>
        </w:tc>
        <w:tc>
          <w:tcPr>
            <w:tcW w:w="695478" w:type="dxa"/>
          </w:tcPr>
          <w:p>
            <w:pPr>
              <w:pStyle w:val="Compact"/>
              <w:bidi/>
            </w:pPr>
            <w:r>
              <w:rPr>
                <w:rtl/>
              </w:rPr>
              <w:t xml:space="preserve">كامل</w:t>
            </w:r>
          </w:p>
        </w:tc>
        <w:tc>
          <w:tcPr>
            <w:tcW w:w="1848626" w:type="dxa"/>
          </w:tcPr>
          <w:p>
            <w:pPr>
              <w:pStyle w:val="Compact"/>
              <w:bidi/>
            </w:pPr>
            <w:r>
              <w:rPr>
                <w:rtl/>
              </w:rPr>
              <w:t xml:space="preserve">SIGLE يغطي الجانب المحاسبي</w:t>
            </w:r>
          </w:p>
        </w:tc>
      </w:tr>
      <w:tr>
        <w:tc>
          <w:tcPr>
            <w:tcW w:w="1875547" w:type="dxa"/>
          </w:tcPr>
          <w:p>
            <w:pPr>
              <w:pStyle w:val="Compact"/>
              <w:bidi/>
            </w:pPr>
            <w:r>
              <w:rPr>
                <w:rtl/>
              </w:rPr>
              <w:t xml:space="preserve">تسيير الميزانية</w:t>
            </w:r>
          </w:p>
        </w:tc>
        <w:tc>
          <w:tcPr>
            <w:tcW w:w="740347" w:type="dxa"/>
          </w:tcPr>
          <w:p>
            <w:pPr>
              <w:pStyle w:val="Compact"/>
              <w:bidi/>
            </w:pPr>
            <w:r>
              <w:rPr>
                <w:rtl/>
              </w:rPr>
              <w:t xml:space="preserve">غير متوفر</w:t>
            </w:r>
          </w:p>
        </w:tc>
        <w:tc>
          <w:tcPr>
            <w:tcW w:w="695478" w:type="dxa"/>
          </w:tcPr>
          <w:p>
            <w:pPr>
              <w:pStyle w:val="Compact"/>
              <w:bidi/>
            </w:pPr>
            <w:r>
              <w:rPr>
                <w:rtl/>
              </w:rPr>
              <w:t xml:space="preserve">كامل</w:t>
            </w:r>
          </w:p>
        </w:tc>
        <w:tc>
          <w:tcPr>
            <w:tcW w:w="1848626" w:type="dxa"/>
          </w:tcPr>
          <w:p>
            <w:pPr>
              <w:pStyle w:val="Compact"/>
              <w:bidi/>
            </w:pPr>
            <w:r>
              <w:rPr>
                <w:rtl/>
              </w:rPr>
              <w:t xml:space="preserve">—</w:t>
            </w:r>
          </w:p>
        </w:tc>
      </w:tr>
      <w:tr>
        <w:tc>
          <w:tcPr>
            <w:tcW w:w="1875547" w:type="dxa"/>
          </w:tcPr>
          <w:p>
            <w:pPr>
              <w:pStyle w:val="Compact"/>
              <w:bidi/>
            </w:pPr>
            <w:r>
              <w:rPr>
                <w:rtl/>
              </w:rPr>
              <w:t xml:space="preserve">التقارير المالية الرسمية</w:t>
            </w:r>
          </w:p>
        </w:tc>
        <w:tc>
          <w:tcPr>
            <w:tcW w:w="740347" w:type="dxa"/>
          </w:tcPr>
          <w:p>
            <w:pPr>
              <w:pStyle w:val="Compact"/>
              <w:bidi/>
            </w:pPr>
            <w:r>
              <w:rPr>
                <w:rtl/>
              </w:rPr>
              <w:t xml:space="preserve">غير متوفر</w:t>
            </w:r>
          </w:p>
        </w:tc>
        <w:tc>
          <w:tcPr>
            <w:tcW w:w="695478" w:type="dxa"/>
          </w:tcPr>
          <w:p>
            <w:pPr>
              <w:pStyle w:val="Compact"/>
              <w:bidi/>
            </w:pPr>
            <w:r>
              <w:rPr>
                <w:rtl/>
              </w:rPr>
              <w:t xml:space="preserve">كامل</w:t>
            </w:r>
          </w:p>
        </w:tc>
        <w:tc>
          <w:tcPr>
            <w:tcW w:w="1848626" w:type="dxa"/>
          </w:tcPr>
          <w:p>
            <w:pPr>
              <w:pStyle w:val="Compact"/>
              <w:bidi/>
            </w:pPr>
            <w:r>
              <w:rPr>
                <w:rtl/>
              </w:rPr>
              <w:t xml:space="preserve">—</w:t>
            </w:r>
          </w:p>
        </w:tc>
      </w:tr>
    </w:tbl>
    <w:bookmarkEnd w:id="173"/>
    <w:bookmarkStart w:id="174" w:name="ب.-آلية-الربط-التقني-المقترحة"/>
    <w:p>
      <w:pPr>
        <w:pStyle w:val="Heading4"/>
        <w:bidi/>
      </w:pPr>
      <w:r>
        <w:rPr>
          <w:rtl/>
        </w:rPr>
        <w:t xml:space="preserve">ب. آلية الربط التقني المقترحة</w:t>
      </w:r>
    </w:p>
    <w:p>
      <w:pPr>
        <w:bidi/>
      </w:pPr>
      <w:r>
        <w:rPr>
          <w:rtl/>
        </w:rPr>
        <w:t xml:space="preserve">DSS ──→ تصدير CSV/Excel ──→ استيراد SIGLE ──→ محاسبة عمومية ↑ │ │ ↓ ←── تحديث الأرصدة من SIGLE ←── مزامنة يدوية شهرية ←─── تقارير مالية</w:t>
      </w:r>
      <w:r>
        <w:rPr>
          <w:rtl/>
        </w:rPr>
        <w:t xml:space="preserve"> </w:t>
      </w:r>
      <w:r>
        <w:rPr>
          <w:rtl/>
        </w:rPr>
        <w:t xml:space="preserve">-</w:t>
      </w:r>
      <w:r>
        <w:rPr>
          <w:rtl/>
        </w:rPr>
        <w:t xml:space="preserve"> </w:t>
      </w:r>
      <w:r>
        <w:rPr>
          <w:b/>
          <w:bCs/>
          <w:rtl/>
        </w:rPr>
        <w:t xml:space="preserve">تصدير آلي: وحدة mod_ExportEngine تُصدِّر حركات المخزون بصيغة CSV متوافقة مع SIGLE</w:t>
      </w:r>
      <w:r>
        <w:rPr>
          <w:rtl/>
        </w:rPr>
        <w:t xml:space="preserve"> </w:t>
      </w:r>
      <w:r>
        <w:rPr>
          <w:rtl/>
        </w:rPr>
        <w:t xml:space="preserve">-</w:t>
      </w:r>
      <w:r>
        <w:rPr>
          <w:rtl/>
        </w:rPr>
        <w:t xml:space="preserve"> </w:t>
      </w:r>
      <w:r>
        <w:rPr>
          <w:b/>
          <w:bCs/>
          <w:rtl/>
        </w:rPr>
        <w:t xml:space="preserve">استيراد يدوي: المحاسب (comptable) يستورد الملف في SIGLE مرة شهرياً</w:t>
      </w:r>
      <w:r>
        <w:rPr>
          <w:rtl/>
        </w:rPr>
        <w:t xml:space="preserve"> </w:t>
      </w:r>
      <w:r>
        <w:rPr>
          <w:rtl/>
        </w:rPr>
        <w:t xml:space="preserve">-</w:t>
      </w:r>
      <w:r>
        <w:rPr>
          <w:rtl/>
        </w:rPr>
        <w:t xml:space="preserve"> </w:t>
      </w:r>
      <w:r>
        <w:rPr>
          <w:b/>
          <w:bCs/>
          <w:rtl/>
        </w:rPr>
        <w:t xml:space="preserve">مزامنة الأرصدة: SIGLE يُحدِّث الأرصدة المحاسبية في DSS عبر ملف Excel مشترك</w:t>
      </w:r>
    </w:p>
    <w:bookmarkEnd w:id="174"/>
    <w:bookmarkEnd w:id="175"/>
    <w:bookmarkStart w:id="176" w:name="X485db556af4b366bd62bc4eb581b99584ba2256"/>
    <w:p>
      <w:pPr>
        <w:pStyle w:val="Heading3"/>
        <w:bidi/>
      </w:pPr>
      <w:r>
        <w:rPr>
          <w:rtl/>
        </w:rPr>
        <w:t xml:space="preserve">6. الانسجام مع الاستراتيجية الوطنية للتحول الرقمي</w:t>
      </w:r>
    </w:p>
    <w:p>
      <w:pPr>
        <w:bidi/>
      </w:pPr>
      <w:r>
        <w:rPr>
          <w:b/>
          <w:bCs/>
          <w:rtl/>
        </w:rPr>
        <w:t xml:space="preserve">يتوافق نظام دعم القرار مع المحاور التالية من الخطة الوطنية للتحول الرقمي في الجزائر:</w:t>
      </w:r>
      <w:r>
        <w:rPr>
          <w:rtl/>
        </w:rPr>
        <w:t xml:space="preserve"> </w:t>
      </w:r>
      <w:r>
        <w:rPr>
          <w:b/>
          <w:bCs/>
          <w:rtl/>
        </w:rPr>
        <w:t xml:space="preserve">6. الانسجام مع الاستراتيجية الوطنية للتحول الرقمي</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1731527" w:type="dxa"/>
          </w:tcPr>
          <w:p>
            <w:pPr>
              <w:pStyle w:val="Compact"/>
              <w:bidi/>
            </w:pPr>
            <w:r>
              <w:rPr>
                <w:rtl/>
              </w:rPr>
              <w:t xml:space="preserve">محور الخطة الوطنية</w:t>
            </w:r>
          </w:p>
        </w:tc>
        <w:tc>
          <w:tcPr>
            <w:tcW w:w="3728472" w:type="dxa"/>
          </w:tcPr>
          <w:p>
            <w:pPr>
              <w:pStyle w:val="Compact"/>
              <w:bidi/>
            </w:pPr>
            <w:r>
              <w:rPr>
                <w:rtl/>
              </w:rPr>
              <w:t xml:space="preserve">التطبيق في DSS</w:t>
            </w:r>
          </w:p>
        </w:tc>
      </w:tr>
      <w:tr>
        <w:tc>
          <w:tcPr>
            <w:tcW w:w="1731527" w:type="dxa"/>
          </w:tcPr>
          <w:p>
            <w:pPr>
              <w:pStyle w:val="Compact"/>
              <w:bidi/>
            </w:pPr>
            <w:r>
              <w:rPr>
                <w:rtl/>
              </w:rPr>
              <w:t xml:space="preserve">رقمنة الإدارات العمومية</w:t>
            </w:r>
          </w:p>
        </w:tc>
        <w:tc>
          <w:tcPr>
            <w:tcW w:w="3728472" w:type="dxa"/>
          </w:tcPr>
          <w:p>
            <w:pPr>
              <w:pStyle w:val="Compact"/>
              <w:bidi/>
            </w:pPr>
            <w:r>
              <w:rPr>
                <w:rtl/>
              </w:rPr>
              <w:t xml:space="preserve">أتمتة دورة الشراء والتخزين في مديرية التربية</w:t>
            </w:r>
          </w:p>
        </w:tc>
      </w:tr>
      <w:tr>
        <w:tc>
          <w:tcPr>
            <w:tcW w:w="1731527" w:type="dxa"/>
          </w:tcPr>
          <w:p>
            <w:pPr>
              <w:pStyle w:val="Compact"/>
              <w:bidi/>
            </w:pPr>
            <w:r>
              <w:rPr>
                <w:rtl/>
              </w:rPr>
              <w:t xml:space="preserve">تقليل الاعتماد على الورق</w:t>
            </w:r>
          </w:p>
        </w:tc>
        <w:tc>
          <w:tcPr>
            <w:tcW w:w="3728472" w:type="dxa"/>
          </w:tcPr>
          <w:p>
            <w:pPr>
              <w:pStyle w:val="Compact"/>
              <w:bidi/>
            </w:pPr>
            <w:r>
              <w:rPr>
                <w:rtl/>
              </w:rPr>
              <w:t xml:space="preserve">توليد وثائق إلكترونية (DA/BC/BR/BS) بصيغة PDF</w:t>
            </w:r>
          </w:p>
        </w:tc>
      </w:tr>
      <w:tr>
        <w:tc>
          <w:tcPr>
            <w:tcW w:w="1731527" w:type="dxa"/>
          </w:tcPr>
          <w:p>
            <w:pPr>
              <w:pStyle w:val="Compact"/>
              <w:bidi/>
            </w:pPr>
            <w:r>
              <w:rPr>
                <w:rtl/>
              </w:rPr>
              <w:t xml:space="preserve">تعزيز الشفافية</w:t>
            </w:r>
          </w:p>
        </w:tc>
        <w:tc>
          <w:tcPr>
            <w:tcW w:w="3728472" w:type="dxa"/>
          </w:tcPr>
          <w:p>
            <w:pPr>
              <w:pStyle w:val="Compact"/>
              <w:bidi/>
            </w:pPr>
            <w:r>
              <w:rPr>
                <w:rtl/>
              </w:rPr>
              <w:t xml:space="preserve">سجل المراجعة غير قابل للتعديل</w:t>
            </w:r>
          </w:p>
        </w:tc>
      </w:tr>
      <w:tr>
        <w:tc>
          <w:tcPr>
            <w:tcW w:w="1731527" w:type="dxa"/>
          </w:tcPr>
          <w:p>
            <w:pPr>
              <w:pStyle w:val="Compact"/>
              <w:bidi/>
            </w:pPr>
            <w:r>
              <w:rPr>
                <w:rtl/>
              </w:rPr>
              <w:t xml:space="preserve">التكوين الرقمي للكوادر</w:t>
            </w:r>
          </w:p>
        </w:tc>
        <w:tc>
          <w:tcPr>
            <w:tcW w:w="3728472" w:type="dxa"/>
          </w:tcPr>
          <w:p>
            <w:pPr>
              <w:pStyle w:val="Compact"/>
              <w:bidi/>
            </w:pPr>
            <w:r>
              <w:rPr>
                <w:rtl/>
              </w:rPr>
              <w:t xml:space="preserve">واجهة Excel مألوفة للطاقم الإداري — لا يحتاج تكوين تقني</w:t>
            </w:r>
          </w:p>
        </w:tc>
      </w:tr>
      <w:tr>
        <w:tc>
          <w:tcPr>
            <w:tcW w:w="1731527" w:type="dxa"/>
          </w:tcPr>
          <w:p>
            <w:pPr>
              <w:pStyle w:val="Compact"/>
              <w:bidi/>
            </w:pPr>
            <w:r>
              <w:rPr>
                <w:rtl/>
              </w:rPr>
              <w:t xml:space="preserve">الحلول منخفضة التكلفة</w:t>
            </w:r>
          </w:p>
        </w:tc>
        <w:tc>
          <w:tcPr>
            <w:tcW w:w="3728472" w:type="dxa"/>
          </w:tcPr>
          <w:p>
            <w:pPr>
              <w:pStyle w:val="Compact"/>
              <w:bidi/>
            </w:pPr>
            <w:r>
              <w:rPr>
                <w:rtl/>
              </w:rPr>
              <w:t xml:space="preserve">تكلفة صفرية — يعتمد على Office المتوفر مسبقاً</w:t>
            </w:r>
          </w:p>
        </w:tc>
      </w:tr>
    </w:tbl>
    <w:bookmarkEnd w:id="176"/>
    <w:bookmarkStart w:id="177" w:name="إمكانية-التعميم-على-الولايات-الأخرى"/>
    <w:p>
      <w:pPr>
        <w:pStyle w:val="Heading3"/>
        <w:bidi/>
      </w:pPr>
      <w:r>
        <w:rPr>
          <w:rtl/>
        </w:rPr>
        <w:t xml:space="preserve">7. إمكانية التعميم على الولايات الأخرى</w:t>
      </w:r>
    </w:p>
    <w:p>
      <w:pPr>
        <w:bidi/>
      </w:pPr>
      <w:r>
        <w:rPr>
          <w:b/>
          <w:bCs/>
          <w:rtl/>
        </w:rPr>
        <w:t xml:space="preserve">يمكن نشر نظام دعم القرار في 58 ولاية جزائرية وفق النموذج التالي:</w:t>
      </w:r>
      <w:r>
        <w:rPr>
          <w:rtl/>
        </w:rPr>
        <w:t xml:space="preserve"> </w:t>
      </w:r>
      <w:r>
        <w:rPr>
          <w:b/>
          <w:bCs/>
          <w:rtl/>
        </w:rPr>
        <w:t xml:space="preserve">7. إمكانية التعميم على الولايات الأخرى</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514690" w:type="dxa"/>
          </w:tcPr>
          <w:p>
            <w:pPr>
              <w:pStyle w:val="Compact"/>
              <w:bidi/>
            </w:pPr>
            <w:r>
              <w:rPr>
                <w:rtl/>
              </w:rPr>
              <w:t xml:space="preserve">المرحلة</w:t>
            </w:r>
          </w:p>
        </w:tc>
        <w:tc>
          <w:tcPr>
            <w:tcW w:w="3531351" w:type="dxa"/>
          </w:tcPr>
          <w:p>
            <w:pPr>
              <w:pStyle w:val="Compact"/>
              <w:bidi/>
            </w:pPr>
            <w:r>
              <w:rPr>
                <w:rtl/>
              </w:rPr>
              <w:t xml:space="preserve">الإجراء</w:t>
            </w:r>
          </w:p>
        </w:tc>
        <w:tc>
          <w:tcPr>
            <w:tcW w:w="618343" w:type="dxa"/>
          </w:tcPr>
          <w:p>
            <w:pPr>
              <w:pStyle w:val="Compact"/>
              <w:bidi/>
            </w:pPr>
            <w:r>
              <w:rPr>
                <w:rtl/>
              </w:rPr>
              <w:t xml:space="preserve">المدة</w:t>
            </w:r>
          </w:p>
        </w:tc>
        <w:tc>
          <w:tcPr>
            <w:tcW w:w="495614" w:type="dxa"/>
          </w:tcPr>
          <w:p>
            <w:pPr>
              <w:pStyle w:val="Compact"/>
              <w:bidi/>
            </w:pPr>
            <w:r>
              <w:rPr>
                <w:rtl/>
              </w:rPr>
              <w:t xml:space="preserve">التكلفة</w:t>
            </w:r>
          </w:p>
        </w:tc>
      </w:tr>
      <w:tr>
        <w:tc>
          <w:tcPr>
            <w:tcW w:w="514690" w:type="dxa"/>
          </w:tcPr>
          <w:p>
            <w:pPr>
              <w:pStyle w:val="Compact"/>
              <w:bidi/>
            </w:pPr>
            <w:r>
              <w:rPr>
                <w:rtl/>
              </w:rPr>
              <w:t xml:space="preserve">1</w:t>
            </w:r>
          </w:p>
        </w:tc>
        <w:tc>
          <w:tcPr>
            <w:tcW w:w="3531351" w:type="dxa"/>
          </w:tcPr>
          <w:p>
            <w:pPr>
              <w:pStyle w:val="Compact"/>
              <w:bidi/>
            </w:pPr>
            <w:r>
              <w:rPr>
                <w:rtl/>
              </w:rPr>
              <w:t xml:space="preserve">نسخ ملف Excel إلى مديرية التربية</w:t>
            </w:r>
          </w:p>
        </w:tc>
        <w:tc>
          <w:tcPr>
            <w:tcW w:w="618343" w:type="dxa"/>
          </w:tcPr>
          <w:p>
            <w:pPr>
              <w:pStyle w:val="Compact"/>
              <w:bidi/>
            </w:pPr>
            <w:r>
              <w:rPr>
                <w:rtl/>
              </w:rPr>
              <w:t xml:space="preserve">يوم واحد</w:t>
            </w:r>
          </w:p>
        </w:tc>
        <w:tc>
          <w:tcPr>
            <w:tcW w:w="495614" w:type="dxa"/>
          </w:tcPr>
          <w:p>
            <w:pPr>
              <w:pStyle w:val="Compact"/>
              <w:bidi/>
            </w:pPr>
            <w:r>
              <w:rPr>
                <w:rtl/>
              </w:rPr>
              <w:t xml:space="preserve">0 دج</w:t>
            </w:r>
          </w:p>
        </w:tc>
      </w:tr>
      <w:tr>
        <w:tc>
          <w:tcPr>
            <w:tcW w:w="514690" w:type="dxa"/>
          </w:tcPr>
          <w:p>
            <w:pPr>
              <w:pStyle w:val="Compact"/>
              <w:bidi/>
            </w:pPr>
            <w:r>
              <w:rPr>
                <w:rtl/>
              </w:rPr>
              <w:t xml:space="preserve">2</w:t>
            </w:r>
          </w:p>
        </w:tc>
        <w:tc>
          <w:tcPr>
            <w:tcW w:w="3531351" w:type="dxa"/>
          </w:tcPr>
          <w:p>
            <w:pPr>
              <w:pStyle w:val="Compact"/>
              <w:bidi/>
            </w:pPr>
            <w:r>
              <w:rPr>
                <w:rtl/>
              </w:rPr>
              <w:t xml:space="preserve">تعديل البيانات المرجعية (أسماء الأصناف، الموردون المحليون)</w:t>
            </w:r>
          </w:p>
        </w:tc>
        <w:tc>
          <w:tcPr>
            <w:tcW w:w="618343" w:type="dxa"/>
          </w:tcPr>
          <w:p>
            <w:pPr>
              <w:pStyle w:val="Compact"/>
              <w:bidi/>
            </w:pPr>
            <w:r>
              <w:rPr>
                <w:rtl/>
              </w:rPr>
              <w:t xml:space="preserve">أسبوع واحد</w:t>
            </w:r>
          </w:p>
        </w:tc>
        <w:tc>
          <w:tcPr>
            <w:tcW w:w="495614" w:type="dxa"/>
          </w:tcPr>
          <w:p>
            <w:pPr>
              <w:pStyle w:val="Compact"/>
              <w:bidi/>
            </w:pPr>
            <w:r>
              <w:rPr>
                <w:rtl/>
              </w:rPr>
              <w:t xml:space="preserve">0 دج</w:t>
            </w:r>
          </w:p>
        </w:tc>
      </w:tr>
      <w:tr>
        <w:tc>
          <w:tcPr>
            <w:tcW w:w="514690" w:type="dxa"/>
          </w:tcPr>
          <w:p>
            <w:pPr>
              <w:pStyle w:val="Compact"/>
              <w:bidi/>
            </w:pPr>
            <w:r>
              <w:rPr>
                <w:rtl/>
              </w:rPr>
              <w:t xml:space="preserve">3</w:t>
            </w:r>
          </w:p>
        </w:tc>
        <w:tc>
          <w:tcPr>
            <w:tcW w:w="3531351" w:type="dxa"/>
          </w:tcPr>
          <w:p>
            <w:pPr>
              <w:pStyle w:val="Compact"/>
              <w:bidi/>
            </w:pPr>
            <w:r>
              <w:rPr>
                <w:rtl/>
              </w:rPr>
              <w:t xml:space="preserve">تدريب المسير على واجهة UserForms</w:t>
            </w:r>
          </w:p>
        </w:tc>
        <w:tc>
          <w:tcPr>
            <w:tcW w:w="618343" w:type="dxa"/>
          </w:tcPr>
          <w:p>
            <w:pPr>
              <w:pStyle w:val="Compact"/>
              <w:bidi/>
            </w:pPr>
            <w:r>
              <w:rPr>
                <w:rtl/>
              </w:rPr>
              <w:t xml:space="preserve">3 أيام</w:t>
            </w:r>
          </w:p>
        </w:tc>
        <w:tc>
          <w:tcPr>
            <w:tcW w:w="495614" w:type="dxa"/>
          </w:tcPr>
          <w:p>
            <w:pPr>
              <w:pStyle w:val="Compact"/>
              <w:bidi/>
            </w:pPr>
            <w:r>
              <w:rPr>
                <w:rtl/>
              </w:rPr>
              <w:t xml:space="preserve">0 دج</w:t>
            </w:r>
          </w:p>
        </w:tc>
      </w:tr>
      <w:tr>
        <w:tc>
          <w:tcPr>
            <w:tcW w:w="514690" w:type="dxa"/>
          </w:tcPr>
          <w:p>
            <w:pPr>
              <w:pStyle w:val="Compact"/>
              <w:bidi/>
            </w:pPr>
            <w:r>
              <w:rPr>
                <w:rtl/>
              </w:rPr>
              <w:t xml:space="preserve">4</w:t>
            </w:r>
          </w:p>
        </w:tc>
        <w:tc>
          <w:tcPr>
            <w:tcW w:w="3531351" w:type="dxa"/>
          </w:tcPr>
          <w:p>
            <w:pPr>
              <w:pStyle w:val="Compact"/>
              <w:bidi/>
            </w:pPr>
            <w:r>
              <w:rPr>
                <w:rtl/>
              </w:rPr>
              <w:t xml:space="preserve">تشغيل تجريبي + ضبط المعاملات (D, SS, ROP)</w:t>
            </w:r>
          </w:p>
        </w:tc>
        <w:tc>
          <w:tcPr>
            <w:tcW w:w="618343" w:type="dxa"/>
          </w:tcPr>
          <w:p>
            <w:pPr>
              <w:pStyle w:val="Compact"/>
              <w:bidi/>
            </w:pPr>
            <w:r>
              <w:rPr>
                <w:rtl/>
              </w:rPr>
              <w:t xml:space="preserve">أسبوعان</w:t>
            </w:r>
          </w:p>
        </w:tc>
        <w:tc>
          <w:tcPr>
            <w:tcW w:w="495614" w:type="dxa"/>
          </w:tcPr>
          <w:p>
            <w:pPr>
              <w:pStyle w:val="Compact"/>
              <w:bidi/>
            </w:pPr>
            <w:r>
              <w:rPr>
                <w:rtl/>
              </w:rPr>
              <w:t xml:space="preserve">0 دج</w:t>
            </w:r>
          </w:p>
        </w:tc>
      </w:tr>
      <w:tr>
        <w:tc>
          <w:tcPr>
            <w:tcW w:w="514690" w:type="dxa"/>
          </w:tcPr>
          <w:p>
            <w:pPr>
              <w:pStyle w:val="Compact"/>
              <w:bidi/>
            </w:pPr>
            <w:r>
              <w:rPr>
                <w:rtl/>
              </w:rPr>
              <w:t xml:space="preserve">الإجمالي</w:t>
            </w:r>
          </w:p>
        </w:tc>
        <w:tc>
          <w:tcPr>
            <w:tcW w:w="3531351" w:type="dxa"/>
          </w:tcPr>
          <w:p>
            <w:pPr>
              <w:pStyle w:val="Compact"/>
              <w:bidi/>
            </w:pPr>
            <w:r>
              <w:rPr>
                <w:rtl/>
              </w:rPr>
              <w:t xml:space="preserve">نشر كامل في أي ولاية</w:t>
            </w:r>
          </w:p>
        </w:tc>
        <w:tc>
          <w:tcPr>
            <w:tcW w:w="618343" w:type="dxa"/>
          </w:tcPr>
          <w:p>
            <w:pPr>
              <w:pStyle w:val="Compact"/>
              <w:bidi/>
            </w:pPr>
            <w:r>
              <w:rPr>
                <w:rtl/>
              </w:rPr>
              <w:t xml:space="preserve">3 أسابيع</w:t>
            </w:r>
          </w:p>
        </w:tc>
        <w:tc>
          <w:tcPr>
            <w:tcW w:w="495614" w:type="dxa"/>
          </w:tcPr>
          <w:p>
            <w:pPr>
              <w:pStyle w:val="Compact"/>
              <w:bidi/>
            </w:pPr>
            <w:r>
              <w:rPr>
                <w:rtl/>
              </w:rPr>
              <w:t xml:space="preserve">0 دج</w:t>
            </w:r>
          </w:p>
        </w:tc>
      </w:tr>
    </w:tbl>
    <w:bookmarkEnd w:id="177"/>
    <w:bookmarkStart w:id="178" w:name="مقارنة-التكلفة-dss-مقابل-الحلول-التجارية"/>
    <w:p>
      <w:pPr>
        <w:pStyle w:val="Heading3"/>
        <w:bidi/>
      </w:pPr>
      <w:r>
        <w:rPr>
          <w:rtl/>
        </w:rPr>
        <w:t xml:space="preserve">8. مقارنة التكلفة: DSS مقابل الحلول التجارية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2045589" w:type="dxa"/>
          </w:tcPr>
          <w:p>
            <w:pPr>
              <w:pStyle w:val="Compact"/>
              <w:bidi/>
            </w:pPr>
            <w:r>
              <w:rPr>
                <w:rtl/>
              </w:rPr>
              <w:t xml:space="preserve">البند</w:t>
            </w:r>
          </w:p>
        </w:tc>
        <w:tc>
          <w:tcPr>
            <w:tcW w:w="1135302" w:type="dxa"/>
          </w:tcPr>
          <w:p>
            <w:pPr>
              <w:pStyle w:val="Compact"/>
              <w:bidi/>
            </w:pPr>
            <w:r>
              <w:rPr>
                <w:rtl/>
              </w:rPr>
              <w:t xml:space="preserve">SAP Business One</w:t>
            </w:r>
          </w:p>
        </w:tc>
        <w:tc>
          <w:tcPr>
            <w:tcW w:w="1135302" w:type="dxa"/>
          </w:tcPr>
          <w:p>
            <w:pPr>
              <w:pStyle w:val="Compact"/>
              <w:bidi/>
            </w:pPr>
            <w:r>
              <w:rPr>
                <w:rtl/>
              </w:rPr>
              <w:t xml:space="preserve">Oracle NetSuite</w:t>
            </w:r>
          </w:p>
        </w:tc>
        <w:tc>
          <w:tcPr>
            <w:tcW w:w="843805" w:type="dxa"/>
          </w:tcPr>
          <w:p>
            <w:pPr>
              <w:pStyle w:val="Compact"/>
              <w:bidi/>
            </w:pPr>
            <w:r>
              <w:rPr>
                <w:rtl/>
              </w:rPr>
              <w:t xml:space="preserve">DSS (Excel/VBA)</w:t>
            </w:r>
          </w:p>
        </w:tc>
      </w:tr>
      <w:tr>
        <w:tc>
          <w:tcPr>
            <w:tcW w:w="2045589" w:type="dxa"/>
          </w:tcPr>
          <w:p>
            <w:pPr>
              <w:pStyle w:val="Compact"/>
              <w:bidi/>
            </w:pPr>
            <w:r>
              <w:rPr>
                <w:rtl/>
              </w:rPr>
              <w:t xml:space="preserve">ترخيص البرمجية</w:t>
            </w:r>
          </w:p>
        </w:tc>
        <w:tc>
          <w:tcPr>
            <w:tcW w:w="1135302" w:type="dxa"/>
          </w:tcPr>
          <w:p>
            <w:pPr>
              <w:pStyle w:val="Compact"/>
              <w:bidi/>
            </w:pPr>
            <w:r>
              <w:rPr>
                <w:rtl/>
              </w:rPr>
              <w:t xml:space="preserve">~5,000,000 دج/سنة</w:t>
            </w:r>
          </w:p>
        </w:tc>
        <w:tc>
          <w:tcPr>
            <w:tcW w:w="1135302" w:type="dxa"/>
          </w:tcPr>
          <w:p>
            <w:pPr>
              <w:pStyle w:val="Compact"/>
              <w:bidi/>
            </w:pPr>
            <w:r>
              <w:rPr>
                <w:rtl/>
              </w:rPr>
              <w:t xml:space="preserve">~3,500,000 دج/سنة</w:t>
            </w:r>
          </w:p>
        </w:tc>
        <w:tc>
          <w:tcPr>
            <w:tcW w:w="843805" w:type="dxa"/>
          </w:tcPr>
          <w:p>
            <w:pPr>
              <w:pStyle w:val="Compact"/>
              <w:bidi/>
            </w:pPr>
            <w:r>
              <w:rPr>
                <w:rtl/>
              </w:rPr>
              <w:t xml:space="preserve">0 دج</w:t>
            </w:r>
          </w:p>
        </w:tc>
      </w:tr>
      <w:tr>
        <w:tc>
          <w:tcPr>
            <w:tcW w:w="2045589" w:type="dxa"/>
          </w:tcPr>
          <w:p>
            <w:pPr>
              <w:pStyle w:val="Compact"/>
              <w:bidi/>
            </w:pPr>
            <w:r>
              <w:rPr>
                <w:rtl/>
              </w:rPr>
              <w:t xml:space="preserve">الخوادم والبنية التحتية</w:t>
            </w:r>
          </w:p>
        </w:tc>
        <w:tc>
          <w:tcPr>
            <w:tcW w:w="1135302" w:type="dxa"/>
          </w:tcPr>
          <w:p>
            <w:pPr>
              <w:pStyle w:val="Compact"/>
              <w:bidi/>
            </w:pPr>
            <w:r>
              <w:rPr>
                <w:rtl/>
              </w:rPr>
              <w:t xml:space="preserve">~2,000,000 دج</w:t>
            </w:r>
          </w:p>
        </w:tc>
        <w:tc>
          <w:tcPr>
            <w:tcW w:w="1135302" w:type="dxa"/>
          </w:tcPr>
          <w:p>
            <w:pPr>
              <w:pStyle w:val="Compact"/>
              <w:bidi/>
            </w:pPr>
            <w:r>
              <w:rPr>
                <w:rtl/>
              </w:rPr>
              <w:t xml:space="preserve">~1,500,000 دج</w:t>
            </w:r>
          </w:p>
        </w:tc>
        <w:tc>
          <w:tcPr>
            <w:tcW w:w="843805" w:type="dxa"/>
          </w:tcPr>
          <w:p>
            <w:pPr>
              <w:pStyle w:val="Compact"/>
              <w:bidi/>
            </w:pPr>
            <w:r>
              <w:rPr>
                <w:rtl/>
              </w:rPr>
              <w:t xml:space="preserve">0 دج</w:t>
            </w:r>
          </w:p>
        </w:tc>
      </w:tr>
      <w:tr>
        <w:tc>
          <w:tcPr>
            <w:tcW w:w="2045589" w:type="dxa"/>
          </w:tcPr>
          <w:p>
            <w:pPr>
              <w:pStyle w:val="Compact"/>
              <w:bidi/>
            </w:pPr>
            <w:r>
              <w:rPr>
                <w:rtl/>
              </w:rPr>
              <w:t xml:space="preserve">التكوين والتأهيل</w:t>
            </w:r>
          </w:p>
        </w:tc>
        <w:tc>
          <w:tcPr>
            <w:tcW w:w="1135302" w:type="dxa"/>
          </w:tcPr>
          <w:p>
            <w:pPr>
              <w:pStyle w:val="Compact"/>
              <w:bidi/>
            </w:pPr>
            <w:r>
              <w:rPr>
                <w:rtl/>
              </w:rPr>
              <w:t xml:space="preserve">~1,000,000 دج</w:t>
            </w:r>
          </w:p>
        </w:tc>
        <w:tc>
          <w:tcPr>
            <w:tcW w:w="1135302" w:type="dxa"/>
          </w:tcPr>
          <w:p>
            <w:pPr>
              <w:pStyle w:val="Compact"/>
              <w:bidi/>
            </w:pPr>
            <w:r>
              <w:rPr>
                <w:rtl/>
              </w:rPr>
              <w:t xml:space="preserve">~800,000 دج</w:t>
            </w:r>
          </w:p>
        </w:tc>
        <w:tc>
          <w:tcPr>
            <w:tcW w:w="843805" w:type="dxa"/>
          </w:tcPr>
          <w:p>
            <w:pPr>
              <w:pStyle w:val="Compact"/>
              <w:bidi/>
            </w:pPr>
            <w:r>
              <w:rPr>
                <w:rtl/>
              </w:rPr>
              <w:t xml:space="preserve">0 دج</w:t>
            </w:r>
          </w:p>
        </w:tc>
      </w:tr>
      <w:tr>
        <w:tc>
          <w:tcPr>
            <w:tcW w:w="2045589" w:type="dxa"/>
          </w:tcPr>
          <w:p>
            <w:pPr>
              <w:pStyle w:val="Compact"/>
              <w:bidi/>
            </w:pPr>
            <w:r>
              <w:rPr>
                <w:rtl/>
              </w:rPr>
              <w:t xml:space="preserve">الصيانة السنوية</w:t>
            </w:r>
          </w:p>
        </w:tc>
        <w:tc>
          <w:tcPr>
            <w:tcW w:w="1135302" w:type="dxa"/>
          </w:tcPr>
          <w:p>
            <w:pPr>
              <w:pStyle w:val="Compact"/>
              <w:bidi/>
            </w:pPr>
            <w:r>
              <w:rPr>
                <w:rtl/>
              </w:rPr>
              <w:t xml:space="preserve">~500,000 دج</w:t>
            </w:r>
          </w:p>
        </w:tc>
        <w:tc>
          <w:tcPr>
            <w:tcW w:w="1135302" w:type="dxa"/>
          </w:tcPr>
          <w:p>
            <w:pPr>
              <w:pStyle w:val="Compact"/>
              <w:bidi/>
            </w:pPr>
            <w:r>
              <w:rPr>
                <w:rtl/>
              </w:rPr>
              <w:t xml:space="preserve">~350,000 دج</w:t>
            </w:r>
          </w:p>
        </w:tc>
        <w:tc>
          <w:tcPr>
            <w:tcW w:w="843805" w:type="dxa"/>
          </w:tcPr>
          <w:p>
            <w:pPr>
              <w:pStyle w:val="Compact"/>
              <w:bidi/>
            </w:pPr>
            <w:r>
              <w:rPr>
                <w:rtl/>
              </w:rPr>
              <w:t xml:space="preserve">0 دج</w:t>
            </w:r>
          </w:p>
        </w:tc>
      </w:tr>
      <w:tr>
        <w:tc>
          <w:tcPr>
            <w:tcW w:w="2045589" w:type="dxa"/>
          </w:tcPr>
          <w:p>
            <w:pPr>
              <w:pStyle w:val="Compact"/>
              <w:bidi/>
            </w:pPr>
            <w:r>
              <w:rPr>
                <w:rtl/>
              </w:rPr>
              <w:t xml:space="preserve">الاتصال بالإنترنت</w:t>
            </w:r>
          </w:p>
        </w:tc>
        <w:tc>
          <w:tcPr>
            <w:tcW w:w="1135302" w:type="dxa"/>
          </w:tcPr>
          <w:p>
            <w:pPr>
              <w:pStyle w:val="Compact"/>
              <w:bidi/>
            </w:pPr>
            <w:r>
              <w:rPr>
                <w:rtl/>
              </w:rPr>
              <w:t xml:space="preserve">مطلوب</w:t>
            </w:r>
          </w:p>
        </w:tc>
        <w:tc>
          <w:tcPr>
            <w:tcW w:w="1135302" w:type="dxa"/>
          </w:tcPr>
          <w:p>
            <w:pPr>
              <w:pStyle w:val="Compact"/>
              <w:bidi/>
            </w:pPr>
            <w:r>
              <w:rPr>
                <w:rtl/>
              </w:rPr>
              <w:t xml:space="preserve">مطلوب</w:t>
            </w:r>
          </w:p>
        </w:tc>
        <w:tc>
          <w:tcPr>
            <w:tcW w:w="843805" w:type="dxa"/>
          </w:tcPr>
          <w:p>
            <w:pPr>
              <w:pStyle w:val="Compact"/>
              <w:bidi/>
            </w:pPr>
            <w:r>
              <w:rPr>
                <w:rtl/>
              </w:rPr>
              <w:t xml:space="preserve">غير مطلوب</w:t>
            </w:r>
          </w:p>
        </w:tc>
      </w:tr>
      <w:tr>
        <w:tc>
          <w:tcPr>
            <w:tcW w:w="2045589" w:type="dxa"/>
          </w:tcPr>
          <w:p>
            <w:pPr>
              <w:pStyle w:val="Compact"/>
              <w:bidi/>
            </w:pPr>
            <w:r>
              <w:rPr>
                <w:rtl/>
              </w:rPr>
              <w:t xml:space="preserve">الإجمالي السنوي</w:t>
            </w:r>
          </w:p>
        </w:tc>
        <w:tc>
          <w:tcPr>
            <w:tcW w:w="1135302" w:type="dxa"/>
          </w:tcPr>
          <w:p>
            <w:pPr>
              <w:pStyle w:val="Compact"/>
              <w:bidi/>
            </w:pPr>
            <w:r>
              <w:rPr>
                <w:rtl/>
              </w:rPr>
              <w:t xml:space="preserve">~8,500,000 دج</w:t>
            </w:r>
          </w:p>
        </w:tc>
        <w:tc>
          <w:tcPr>
            <w:tcW w:w="1135302" w:type="dxa"/>
          </w:tcPr>
          <w:p>
            <w:pPr>
              <w:pStyle w:val="Compact"/>
              <w:bidi/>
            </w:pPr>
            <w:r>
              <w:rPr>
                <w:rtl/>
              </w:rPr>
              <w:t xml:space="preserve">~6,150,000 دج</w:t>
            </w:r>
          </w:p>
        </w:tc>
        <w:tc>
          <w:tcPr>
            <w:tcW w:w="843805" w:type="dxa"/>
          </w:tcPr>
          <w:p>
            <w:pPr>
              <w:pStyle w:val="Compact"/>
              <w:bidi/>
            </w:pPr>
            <w:r>
              <w:rPr>
                <w:rtl/>
              </w:rPr>
              <w:t xml:space="preserve">0 دج</w:t>
            </w:r>
          </w:p>
        </w:tc>
      </w:tr>
    </w:tbl>
    <w:bookmarkEnd w:id="178"/>
    <w:bookmarkStart w:id="182" w:name="خلاصة-المرجعية-الجزائرية"/>
    <w:p>
      <w:pPr>
        <w:pStyle w:val="Heading3"/>
        <w:bidi/>
      </w:pPr>
      <w:r>
        <w:rPr>
          <w:rtl/>
        </w:rPr>
        <w:t xml:space="preserve">9. خلاصة المرجعية الجزائرية</w:t>
      </w:r>
    </w:p>
    <w:p>
      <w:pPr>
        <w:bidi/>
      </w:pPr>
      <w:r>
        <w:rPr>
          <w:rtl/>
        </w:rPr>
        <w:t xml:space="preserve">نظام دعم القرار لتسيير المخزون ليس مشروعاً تقنياً معزولاً، بل هو:</w:t>
      </w:r>
      <w:r>
        <w:rPr>
          <w:rtl/>
        </w:rPr>
        <w:t xml:space="preserve"> </w:t>
      </w:r>
      <w:r>
        <w:rPr>
          <w:rtl/>
        </w:rPr>
        <w:t xml:space="preserve">-</w:t>
      </w:r>
      <w:r>
        <w:rPr>
          <w:rtl/>
        </w:rPr>
        <w:t xml:space="preserve"> </w:t>
      </w:r>
      <w:r>
        <w:rPr>
          <w:b/>
          <w:bCs/>
          <w:rtl/>
        </w:rPr>
        <w:t xml:space="preserve">تطبيق منهجي لمنهاج CNEPD TAG1801 في بيئة عمل حقيقية (92.9% من معايير التقييم)</w:t>
      </w:r>
      <w:r>
        <w:rPr>
          <w:rtl/>
        </w:rPr>
        <w:t xml:space="preserve"> </w:t>
      </w:r>
      <w:r>
        <w:rPr>
          <w:rtl/>
        </w:rPr>
        <w:t xml:space="preserve">-</w:t>
      </w:r>
      <w:r>
        <w:rPr>
          <w:rtl/>
        </w:rPr>
        <w:t xml:space="preserve"> </w:t>
      </w:r>
      <w:r>
        <w:rPr>
          <w:b/>
          <w:bCs/>
          <w:rtl/>
        </w:rPr>
        <w:t xml:space="preserve">استجابة تنظيمية للمراسيم والمنشورات المنظمة لتسيير المخزون العمومي</w:t>
      </w:r>
      <w:r>
        <w:rPr>
          <w:rtl/>
        </w:rPr>
        <w:t xml:space="preserve"> </w:t>
      </w:r>
      <w:r>
        <w:rPr>
          <w:rtl/>
        </w:rPr>
        <w:t xml:space="preserve">-</w:t>
      </w:r>
      <w:r>
        <w:rPr>
          <w:rtl/>
        </w:rPr>
        <w:t xml:space="preserve"> </w:t>
      </w:r>
      <w:r>
        <w:rPr>
          <w:b/>
          <w:bCs/>
          <w:rtl/>
        </w:rPr>
        <w:t xml:space="preserve">ابتكار معتمد يتوافق مع معايير CNEPD لقياس درجة الأصالة (5/5 مساهمات موثقة)</w:t>
      </w:r>
      <w:r>
        <w:rPr>
          <w:rtl/>
        </w:rPr>
        <w:t xml:space="preserve"> </w:t>
      </w:r>
      <w:r>
        <w:rPr>
          <w:rtl/>
        </w:rPr>
        <w:t xml:space="preserve">-</w:t>
      </w:r>
      <w:r>
        <w:rPr>
          <w:rtl/>
        </w:rPr>
        <w:t xml:space="preserve"> </w:t>
      </w:r>
      <w:r>
        <w:rPr>
          <w:b/>
          <w:bCs/>
          <w:rtl/>
        </w:rPr>
        <w:t xml:space="preserve">أداة رقمنة بتكلفة صفرية تستجيب لقيود القطاع التعليمي الجزائري (توفير ~8.5 مليون دج/سنة)</w:t>
      </w:r>
      <w:r>
        <w:rPr>
          <w:rtl/>
        </w:rPr>
        <w:t xml:space="preserve"> </w:t>
      </w:r>
      <w:r>
        <w:rPr>
          <w:rtl/>
        </w:rPr>
        <w:t xml:space="preserve">-</w:t>
      </w:r>
      <w:r>
        <w:rPr>
          <w:rtl/>
        </w:rPr>
        <w:t xml:space="preserve"> </w:t>
      </w:r>
      <w:r>
        <w:rPr>
          <w:b/>
          <w:bCs/>
          <w:rtl/>
        </w:rPr>
        <w:t xml:space="preserve">جسر أكاديمي-تقني يربط بين النظرية اللوجستية والممارسة الميدانية</w:t>
      </w:r>
      <w:r>
        <w:rPr>
          <w:rtl/>
        </w:rPr>
        <w:t xml:space="preserve"> </w:t>
      </w:r>
      <w:r>
        <w:rPr>
          <w:rtl/>
        </w:rPr>
        <w:t xml:space="preserve">-</w:t>
      </w:r>
      <w:r>
        <w:rPr>
          <w:rtl/>
        </w:rPr>
        <w:t xml:space="preserve"> </w:t>
      </w:r>
      <w:r>
        <w:rPr>
          <w:b/>
          <w:bCs/>
          <w:rtl/>
        </w:rPr>
        <w:t xml:space="preserve">نواة قابلة للتعميم على 58 ولاية جزائرية بتكلفة نشر صفرية</w:t>
      </w:r>
      <w:r>
        <w:rPr>
          <w:rtl/>
        </w:rPr>
        <w:t xml:space="preserve"> </w:t>
      </w:r>
      <w:r>
        <w:rPr>
          <w:rtl/>
        </w:rPr>
        <w:t xml:space="preserve">-</w:t>
      </w:r>
      <w:r>
        <w:rPr>
          <w:rtl/>
        </w:rPr>
        <w:t xml:space="preserve"> </w:t>
      </w:r>
      <w:r>
        <w:rPr>
          <w:b/>
          <w:bCs/>
          <w:rtl/>
        </w:rPr>
        <w:t xml:space="preserve">حل مرحلي يتكامل مستقبلاً مع منظومة SIGLE للمحاسبة العمومية</w:t>
      </w:r>
    </w:p>
    <w:p>
      <w:pPr>
        <w:bidi/>
      </w:pPr>
      <w:r>
        <w:rPr>
          <w:rtl/>
        </w:rPr>
        <w:t xml:space="preserve">انتهت المذكرة</w:t>
      </w:r>
      <w:r>
        <w:rPr>
          <w:rtl/>
        </w:rPr>
        <w:t xml:space="preserve"> </w:t>
      </w:r>
      <w:r>
        <w:rPr>
          <w:rStyle w:val="FootnoteReference"/>
        </w:rPr>
        <w:footnoteReference w:id="179"/>
      </w:r>
      <w:r>
        <w:rPr>
          <w:rtl/>
        </w:rPr>
        <w:t xml:space="preserve"> </w:t>
      </w:r>
      <w:r>
        <w:rPr>
          <w:rStyle w:val="FootnoteReference"/>
        </w:rPr>
        <w:footnoteReference w:id="180"/>
      </w:r>
      <w:r>
        <w:rPr>
          <w:rtl/>
        </w:rPr>
        <w:t xml:space="preserve"> </w:t>
      </w:r>
      <w:r>
        <w:rPr>
          <w:rStyle w:val="FootnoteReference"/>
        </w:rPr>
        <w:footnoteReference w:id="181"/>
      </w:r>
    </w:p>
    <w:bookmarkEnd w:id="182"/>
    <w:bookmarkEnd w:id="183"/>
    <w:bookmarkEnd w:id="184"/>
    <w:sectPr>
      <w:pgNumType w:fmt="decimal" w:start="1"/>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bidi/>
      </w:pPr>
      <w:r>
        <w:rPr>
          <w:rStyle w:val="FootnoteReference"/>
        </w:rPr>
        <w:footnoteRef/>
      </w:r>
      <w:r>
        <w:rPr>
          <w:rtl/>
        </w:rPr>
        <w:t xml:space="preserve"> </w:t>
      </w:r>
      <w:r>
        <w:rPr>
          <w:rtl/>
        </w:rPr>
        <w:t xml:space="preserve"> </w:t>
      </w:r>
      <w:r>
        <w:rPr>
          <w:rtl/>
        </w:rPr>
        <w:t xml:space="preserve">راجع: M. C. Cooper, D. M. Lambert &amp; J. D. Pagh,</w:t>
      </w:r>
      <w:r>
        <w:rPr>
          <w:rtl/>
        </w:rPr>
        <w:t xml:space="preserve"> </w:t>
      </w:r>
      <w:r>
        <w:rPr>
          <w:rtl/>
        </w:rPr>
        <w:t xml:space="preserve">“Supply Chain Management: More Than a New Name for Logistics”</w:t>
      </w:r>
      <w:r>
        <w:rPr>
          <w:rtl/>
        </w:rPr>
        <w:t xml:space="preserve">, The International Journal of Logistics Management, Vol. 8, N° 1, 1997, p. 1.</w:t>
      </w:r>
    </w:p>
  </w:footnote>
  <w:footnote w:id="23">
    <w:p>
      <w:pPr>
        <w:pStyle w:val="FootnoteText"/>
        <w:bidi/>
      </w:pPr>
      <w:r>
        <w:rPr>
          <w:rStyle w:val="FootnoteReference"/>
        </w:rPr>
        <w:footnoteRef/>
      </w:r>
      <w:r>
        <w:rPr>
          <w:rtl/>
        </w:rPr>
        <w:t xml:space="preserve"> </w:t>
      </w:r>
      <w:r>
        <w:rPr>
          <w:rtl/>
        </w:rPr>
        <w:t xml:space="preserve"> </w:t>
      </w:r>
      <w:r>
        <w:rPr>
          <w:rtl/>
        </w:rPr>
        <w:t xml:space="preserve">راجع: S. Chopra &amp; P. Meindl, Supply Chain Management: Strategy, Planning, and Operation, 7th ed., Pearson, 2019, p. 5.</w:t>
      </w:r>
    </w:p>
  </w:footnote>
  <w:footnote w:id="25">
    <w:p>
      <w:pPr>
        <w:pStyle w:val="FootnoteText"/>
        <w:bidi/>
      </w:pPr>
      <w:r>
        <w:rPr>
          <w:rStyle w:val="FootnoteReference"/>
        </w:rPr>
        <w:footnoteRef/>
      </w:r>
      <w:r>
        <w:rPr>
          <w:rtl/>
        </w:rPr>
        <w:t xml:space="preserve"> </w:t>
      </w:r>
      <w:r>
        <w:rPr>
          <w:rtl/>
        </w:rPr>
        <w:t xml:space="preserve"> </w:t>
      </w:r>
      <w:r>
        <w:rPr>
          <w:rtl/>
        </w:rPr>
        <w:t xml:space="preserve">راجع: D. M. Lambert &amp; J. R. Stock, Strategic Logistics Management, 3rd ed., Irwin, 1993, p. 412.</w:t>
      </w:r>
    </w:p>
  </w:footnote>
  <w:footnote w:id="26">
    <w:p>
      <w:pPr>
        <w:pStyle w:val="FootnoteText"/>
        <w:bidi/>
      </w:pPr>
      <w:r>
        <w:rPr>
          <w:rStyle w:val="FootnoteReference"/>
        </w:rPr>
        <w:footnoteRef/>
      </w:r>
      <w:r>
        <w:rPr>
          <w:rtl/>
        </w:rPr>
        <w:t xml:space="preserve"> </w:t>
      </w:r>
      <w:r>
        <w:rPr>
          <w:rtl/>
        </w:rPr>
        <w:t xml:space="preserve"> </w:t>
      </w:r>
      <w:r>
        <w:rPr>
          <w:rtl/>
        </w:rPr>
        <w:t xml:space="preserve">راجع: J. R. Stock &amp; D. M. Lambert، المرجع السابق، ص. 421.</w:t>
      </w:r>
    </w:p>
  </w:footnote>
  <w:footnote w:id="31">
    <w:p>
      <w:pPr>
        <w:pStyle w:val="FootnoteText"/>
        <w:bidi/>
      </w:pPr>
      <w:r>
        <w:rPr>
          <w:rStyle w:val="FootnoteReference"/>
        </w:rPr>
        <w:footnoteRef/>
      </w:r>
      <w:r>
        <w:rPr>
          <w:rtl/>
        </w:rPr>
        <w:t xml:space="preserve"> </w:t>
      </w:r>
      <w:r>
        <w:rPr>
          <w:rtl/>
        </w:rPr>
        <w:t xml:space="preserve"> </w:t>
      </w:r>
      <w:r>
        <w:rPr>
          <w:rtl/>
        </w:rPr>
        <w:t xml:space="preserve">راجع: الجمهورية الجزائرية الديمقراطية الشعبية، المرسوم الرئاسي رقم 15-247 المؤرخ في 16 سبتمبر 2015 المتعلق بتنظيم الصفقات العمومية وتسييرها، الجريدة الرسمية، العدد 50، 2015.</w:t>
      </w:r>
    </w:p>
  </w:footnote>
  <w:footnote w:id="32">
    <w:p>
      <w:pPr>
        <w:pStyle w:val="FootnoteText"/>
        <w:bidi/>
      </w:pPr>
      <w:r>
        <w:rPr>
          <w:rStyle w:val="FootnoteReference"/>
        </w:rPr>
        <w:footnoteRef/>
      </w:r>
      <w:r>
        <w:rPr>
          <w:rtl/>
        </w:rPr>
        <w:t xml:space="preserve"> </w:t>
      </w:r>
      <w:r>
        <w:rPr>
          <w:rtl/>
        </w:rPr>
        <w:t xml:space="preserve"> </w:t>
      </w:r>
      <w:r>
        <w:rPr>
          <w:rtl/>
        </w:rPr>
        <w:t xml:space="preserve">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35">
    <w:p>
      <w:pPr>
        <w:pStyle w:val="FootnoteText"/>
        <w:bidi/>
      </w:pPr>
      <w:r>
        <w:rPr>
          <w:rStyle w:val="FootnoteReference"/>
        </w:rPr>
        <w:footnoteRef/>
      </w:r>
      <w:r>
        <w:rPr>
          <w:rtl/>
        </w:rPr>
        <w:t xml:space="preserve"> </w:t>
      </w:r>
      <w:r>
        <w:rPr>
          <w:rtl/>
        </w:rPr>
        <w:t xml:space="preserve"> </w:t>
      </w:r>
      <w:r>
        <w:rPr>
          <w:rtl/>
        </w:rPr>
        <w:t xml:space="preserve">راجع: A. J. Van Weele, Purchasing and Supply Chain Management, 5th ed., Cengage Learning, 2010, p. 8.</w:t>
      </w:r>
    </w:p>
  </w:footnote>
  <w:footnote w:id="40">
    <w:p>
      <w:pPr>
        <w:pStyle w:val="FootnoteText"/>
        <w:bidi/>
      </w:pPr>
      <w:r>
        <w:rPr>
          <w:rStyle w:val="FootnoteReference"/>
        </w:rPr>
        <w:footnoteRef/>
      </w:r>
      <w:r>
        <w:rPr>
          <w:rtl/>
        </w:rPr>
        <w:t xml:space="preserve"> </w:t>
      </w:r>
      <w:r>
        <w:rPr>
          <w:rtl/>
        </w:rPr>
        <w:t xml:space="preserve"> </w:t>
      </w:r>
      <w:r>
        <w:rPr>
          <w:rtl/>
        </w:rPr>
        <w:t xml:space="preserve">راجع: M. E. A. Belhadi, Modélisation et optimisation de la gestion de stocks des pièces de rechange : application SASACE-Algérie, Mémoire PFE, École Nationale Polytechnique d’Alger, 2015, p. 34.</w:t>
      </w:r>
    </w:p>
  </w:footnote>
  <w:footnote w:id="42">
    <w:p>
      <w:pPr>
        <w:pStyle w:val="FootnoteText"/>
        <w:bidi/>
      </w:pPr>
      <w:r>
        <w:rPr>
          <w:rStyle w:val="FootnoteReference"/>
        </w:rPr>
        <w:footnoteRef/>
      </w:r>
      <w:r>
        <w:rPr>
          <w:rtl/>
        </w:rPr>
        <w:t xml:space="preserve"> </w:t>
      </w:r>
      <w:r>
        <w:rPr>
          <w:rtl/>
        </w:rPr>
        <w:t xml:space="preserve"> </w:t>
      </w:r>
      <w:r>
        <w:rPr>
          <w:rtl/>
        </w:rPr>
        <w:t xml:space="preserve">راجع: E. A. Silver, D. F. Pyke &amp; D. J. Thomas, Inventory and Production Management in Supply Chains, 4th ed., Springer, 2017, p. 74. وكذلك: P. H. Zipkin, Foundations of Inventory Management, McGraw-Hill, 2000, p. 52.</w:t>
      </w:r>
    </w:p>
  </w:footnote>
  <w:footnote w:id="48">
    <w:p>
      <w:pPr>
        <w:pStyle w:val="FootnoteText"/>
        <w:bidi/>
      </w:pPr>
      <w:r>
        <w:rPr>
          <w:rStyle w:val="FootnoteReference"/>
        </w:rPr>
        <w:footnoteRef/>
      </w:r>
      <w:r>
        <w:rPr>
          <w:rtl/>
        </w:rPr>
        <w:t xml:space="preserve"> </w:t>
      </w:r>
      <w:r>
        <w:rPr>
          <w:rtl/>
        </w:rPr>
        <w:t xml:space="preserve"> </w:t>
      </w:r>
      <w:r>
        <w:rPr>
          <w:rtl/>
        </w:rPr>
        <w:t xml:space="preserve">راجع: T. E. Vollmann, W. L. Berry, D. C. Whybark &amp; F. R. Jacobs, Manufacturing Planning and Control for Supply Chain Management, 5th ed., McGraw-Hill, 2005, p. 3.</w:t>
      </w:r>
    </w:p>
  </w:footnote>
  <w:footnote w:id="52">
    <w:p>
      <w:pPr>
        <w:pStyle w:val="FootnoteText"/>
        <w:bidi/>
      </w:pPr>
      <w:r>
        <w:rPr>
          <w:rStyle w:val="FootnoteReference"/>
        </w:rPr>
        <w:footnoteRef/>
      </w:r>
      <w:r>
        <w:rPr>
          <w:rtl/>
        </w:rPr>
        <w:t xml:space="preserve"> </w:t>
      </w:r>
      <w:r>
        <w:rPr>
          <w:rtl/>
        </w:rPr>
        <w:t xml:space="preserve"> </w:t>
      </w:r>
      <w:r>
        <w:rPr>
          <w:rtl/>
        </w:rPr>
        <w:t xml:space="preserve">راجع: R. H. Wilson,</w:t>
      </w:r>
      <w:r>
        <w:rPr>
          <w:rtl/>
        </w:rPr>
        <w:t xml:space="preserve"> </w:t>
      </w:r>
      <w:r>
        <w:rPr>
          <w:rtl/>
        </w:rPr>
        <w:t xml:space="preserve">“A Scientific Routine for Stock Control”</w:t>
      </w:r>
      <w:r>
        <w:rPr>
          <w:rtl/>
        </w:rPr>
        <w:t xml:space="preserve">, Harvard Business Review, Vol. 13, N° 1, 1934, p. 120. وكذلك: F. W. Harris,</w:t>
      </w:r>
      <w:r>
        <w:rPr>
          <w:rtl/>
        </w:rPr>
        <w:t xml:space="preserve"> </w:t>
      </w:r>
      <w:r>
        <w:rPr>
          <w:rtl/>
        </w:rPr>
        <w:t xml:space="preserve">“How Many Parts to Make at Once”</w:t>
      </w:r>
      <w:r>
        <w:rPr>
          <w:rtl/>
        </w:rPr>
        <w:t xml:space="preserve">, Factory, The Magazine of Management, Vol. 10, N° 2, 1913, p. 136.</w:t>
      </w:r>
    </w:p>
  </w:footnote>
  <w:footnote w:id="53">
    <w:p>
      <w:pPr>
        <w:pStyle w:val="FootnoteText"/>
        <w:bidi/>
      </w:pPr>
      <w:r>
        <w:rPr>
          <w:rStyle w:val="FootnoteReference"/>
        </w:rPr>
        <w:footnoteRef/>
      </w:r>
      <w:r>
        <w:rPr>
          <w:rtl/>
        </w:rPr>
        <w:t xml:space="preserve"> </w:t>
      </w:r>
      <w:r>
        <w:rPr>
          <w:rtl/>
        </w:rPr>
        <w:t xml:space="preserve"> </w:t>
      </w:r>
      <w:r>
        <w:rPr>
          <w:rtl/>
        </w:rPr>
        <w:t xml:space="preserve">راجع: E. A. Silver, D. F. Pyke &amp; D. J. Thomas, Inventory and Production Management in Supply Chains, 4th ed., Springer, 2017, p. 74.</w:t>
      </w:r>
    </w:p>
  </w:footnote>
  <w:footnote w:id="55">
    <w:p>
      <w:pPr>
        <w:pStyle w:val="FootnoteText"/>
        <w:bidi/>
      </w:pPr>
      <w:r>
        <w:rPr>
          <w:rStyle w:val="FootnoteReference"/>
        </w:rPr>
        <w:footnoteRef/>
      </w:r>
      <w:r>
        <w:rPr>
          <w:rtl/>
        </w:rPr>
        <w:t xml:space="preserve"> </w:t>
      </w:r>
      <w:r>
        <w:rPr>
          <w:rtl/>
        </w:rPr>
        <w:t xml:space="preserve"> </w:t>
      </w:r>
      <w:r>
        <w:rPr>
          <w:rtl/>
        </w:rPr>
        <w:t xml:space="preserve">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63">
    <w:p>
      <w:pPr>
        <w:pStyle w:val="FootnoteText"/>
        <w:bidi/>
      </w:pPr>
      <w:r>
        <w:rPr>
          <w:rStyle w:val="FootnoteReference"/>
        </w:rPr>
        <w:footnoteRef/>
      </w:r>
      <w:r>
        <w:rPr>
          <w:rtl/>
        </w:rPr>
        <w:t xml:space="preserve"> </w:t>
      </w:r>
      <w:r>
        <w:rPr>
          <w:rtl/>
        </w:rPr>
        <w:t xml:space="preserve"> </w:t>
      </w:r>
      <w:r>
        <w:rPr>
          <w:rtl/>
        </w:rPr>
        <w:t xml:space="preserve">راجع: Chopra, S., &amp; Meindl, P.. (2019).</w:t>
      </w:r>
      <w:r>
        <w:rPr>
          <w:rtl/>
        </w:rPr>
        <w:t xml:space="preserve"> </w:t>
      </w:r>
      <w:r>
        <w:rPr>
          <w:i/>
          <w:iCs/>
          <w:rtl/>
        </w:rPr>
        <w:t xml:space="preserve">Supply Chain Management: Strategy, Planning, and Operation</w:t>
      </w:r>
      <w:r>
        <w:rPr>
          <w:rtl/>
        </w:rPr>
        <w:t xml:space="preserve"> </w:t>
      </w:r>
      <w:r>
        <w:rPr>
          <w:rtl/>
        </w:rPr>
        <w:t xml:space="preserve">(7th ed.). Pearson.</w:t>
      </w:r>
    </w:p>
  </w:footnote>
  <w:footnote w:id="64">
    <w:p>
      <w:pPr>
        <w:pStyle w:val="FootnoteText"/>
        <w:bidi/>
      </w:pPr>
      <w:r>
        <w:rPr>
          <w:rStyle w:val="FootnoteReference"/>
        </w:rPr>
        <w:footnoteRef/>
      </w:r>
      <w:r>
        <w:rPr>
          <w:rtl/>
        </w:rPr>
        <w:t xml:space="preserve"> </w:t>
      </w:r>
      <w:r>
        <w:rPr>
          <w:rtl/>
        </w:rPr>
        <w:t xml:space="preserve"> </w:t>
      </w:r>
      <w:r>
        <w:rPr>
          <w:rtl/>
        </w:rPr>
        <w:t xml:space="preserve">راجع: Cooper, M. C., Lambert, D. M., &amp; Pagh, J. D.. (1997). Supply Chain Management: More Than a New Name for Logistics.</w:t>
      </w:r>
      <w:r>
        <w:rPr>
          <w:rtl/>
        </w:rPr>
        <w:t xml:space="preserve"> </w:t>
      </w:r>
      <w:r>
        <w:rPr>
          <w:i/>
          <w:iCs/>
          <w:rtl/>
        </w:rPr>
        <w:t xml:space="preserve">The International Journal of Logistics Management</w:t>
      </w:r>
      <w:r>
        <w:rPr>
          <w:rtl/>
        </w:rPr>
        <w:t xml:space="preserve">, 8(1), 1–14.</w:t>
      </w:r>
    </w:p>
  </w:footnote>
  <w:footnote w:id="65">
    <w:p>
      <w:pPr>
        <w:pStyle w:val="FootnoteText"/>
        <w:bidi/>
      </w:pPr>
      <w:r>
        <w:rPr>
          <w:rStyle w:val="FootnoteReference"/>
        </w:rPr>
        <w:footnoteRef/>
      </w:r>
      <w:r>
        <w:rPr>
          <w:rtl/>
        </w:rPr>
        <w:t xml:space="preserve"> </w:t>
      </w:r>
      <w:r>
        <w:rPr>
          <w:rtl/>
        </w:rPr>
        <w:t xml:space="preserve"> </w:t>
      </w:r>
      <w:r>
        <w:rPr>
          <w:rtl/>
        </w:rPr>
        <w:t xml:space="preserve">راجع: Lambert, D. M., &amp; Stock, J. R.. (1993).</w:t>
      </w:r>
      <w:r>
        <w:rPr>
          <w:rtl/>
        </w:rPr>
        <w:t xml:space="preserve"> </w:t>
      </w:r>
      <w:r>
        <w:rPr>
          <w:i/>
          <w:iCs/>
          <w:rtl/>
        </w:rPr>
        <w:t xml:space="preserve">Strategic Logistics Management</w:t>
      </w:r>
      <w:r>
        <w:rPr>
          <w:rtl/>
        </w:rPr>
        <w:t xml:space="preserve"> </w:t>
      </w:r>
      <w:r>
        <w:rPr>
          <w:rtl/>
        </w:rPr>
        <w:t xml:space="preserve">(3rd ed.). Irwin.</w:t>
      </w:r>
    </w:p>
  </w:footnote>
  <w:footnote w:id="66">
    <w:p>
      <w:pPr>
        <w:pStyle w:val="FootnoteText"/>
        <w:bidi/>
      </w:pPr>
      <w:r>
        <w:rPr>
          <w:rStyle w:val="FootnoteReference"/>
        </w:rPr>
        <w:footnoteRef/>
      </w:r>
      <w:r>
        <w:rPr>
          <w:rtl/>
        </w:rPr>
        <w:t xml:space="preserve"> </w:t>
      </w:r>
      <w:r>
        <w:rPr>
          <w:rtl/>
        </w:rPr>
        <w:t xml:space="preserve"> </w:t>
      </w:r>
      <w:r>
        <w:rPr>
          <w:rtl/>
        </w:rPr>
        <w:t xml:space="preserve">راجع: Harris, F. W.. (1913). How Many Parts to Make at Once.</w:t>
      </w:r>
      <w:r>
        <w:rPr>
          <w:rtl/>
        </w:rPr>
        <w:t xml:space="preserve"> </w:t>
      </w:r>
      <w:r>
        <w:rPr>
          <w:i/>
          <w:iCs/>
          <w:rtl/>
        </w:rPr>
        <w:t xml:space="preserve">Factory, The Magazine of Management</w:t>
      </w:r>
      <w:r>
        <w:rPr>
          <w:rtl/>
        </w:rPr>
        <w:t xml:space="preserve">, 10(2), 135–136, 152.</w:t>
      </w:r>
    </w:p>
  </w:footnote>
  <w:footnote w:id="67">
    <w:p>
      <w:pPr>
        <w:pStyle w:val="FootnoteText"/>
        <w:bidi/>
      </w:pPr>
      <w:r>
        <w:rPr>
          <w:rStyle w:val="FootnoteReference"/>
        </w:rPr>
        <w:footnoteRef/>
      </w:r>
      <w:r>
        <w:rPr>
          <w:rtl/>
        </w:rPr>
        <w:t xml:space="preserve"> </w:t>
      </w:r>
      <w:r>
        <w:rPr>
          <w:rtl/>
        </w:rPr>
        <w:t xml:space="preserve"> </w:t>
      </w:r>
      <w:r>
        <w:rPr>
          <w:rtl/>
        </w:rPr>
        <w:t xml:space="preserve">راجع: Silver, E. A., Pyke, D. F., &amp; Thomas, D. J.. (2017).</w:t>
      </w:r>
      <w:r>
        <w:rPr>
          <w:rtl/>
        </w:rPr>
        <w:t xml:space="preserve"> </w:t>
      </w:r>
      <w:r>
        <w:rPr>
          <w:i/>
          <w:iCs/>
          <w:rtl/>
        </w:rPr>
        <w:t xml:space="preserve">Inventory and Production Management in Supply Chains</w:t>
      </w:r>
      <w:r>
        <w:rPr>
          <w:rtl/>
        </w:rPr>
        <w:t xml:space="preserve"> </w:t>
      </w:r>
      <w:r>
        <w:rPr>
          <w:rtl/>
        </w:rPr>
        <w:t xml:space="preserve">(4th ed.). Springer.</w:t>
      </w:r>
    </w:p>
  </w:footnote>
  <w:footnote w:id="68">
    <w:p>
      <w:pPr>
        <w:pStyle w:val="FootnoteText"/>
        <w:bidi/>
      </w:pPr>
      <w:r>
        <w:rPr>
          <w:rStyle w:val="FootnoteReference"/>
        </w:rPr>
        <w:footnoteRef/>
      </w:r>
      <w:r>
        <w:rPr>
          <w:rtl/>
        </w:rPr>
        <w:t xml:space="preserve"> </w:t>
      </w:r>
      <w:r>
        <w:rPr>
          <w:rtl/>
        </w:rPr>
        <w:t xml:space="preserve"> </w:t>
      </w:r>
      <w:r>
        <w:rPr>
          <w:rtl/>
        </w:rPr>
        <w:t xml:space="preserve">راجع: Stock, J. R., &amp; Lambert, D. M.. (2001).</w:t>
      </w:r>
      <w:r>
        <w:rPr>
          <w:rtl/>
        </w:rPr>
        <w:t xml:space="preserve"> </w:t>
      </w:r>
      <w:r>
        <w:rPr>
          <w:i/>
          <w:iCs/>
          <w:rtl/>
        </w:rPr>
        <w:t xml:space="preserve">Strategic Logistics Management</w:t>
      </w:r>
      <w:r>
        <w:rPr>
          <w:rtl/>
        </w:rPr>
        <w:t xml:space="preserve"> </w:t>
      </w:r>
      <w:r>
        <w:rPr>
          <w:rtl/>
        </w:rPr>
        <w:t xml:space="preserve">(4th ed.). McGraw-Hill.</w:t>
      </w:r>
    </w:p>
  </w:footnote>
  <w:footnote w:id="69">
    <w:p>
      <w:pPr>
        <w:pStyle w:val="FootnoteText"/>
        <w:bidi/>
      </w:pPr>
      <w:r>
        <w:rPr>
          <w:rStyle w:val="FootnoteReference"/>
        </w:rPr>
        <w:footnoteRef/>
      </w:r>
      <w:r>
        <w:rPr>
          <w:rtl/>
        </w:rPr>
        <w:t xml:space="preserve"> </w:t>
      </w:r>
      <w:r>
        <w:rPr>
          <w:rtl/>
        </w:rPr>
        <w:t xml:space="preserve"> </w:t>
      </w:r>
      <w:r>
        <w:rPr>
          <w:rtl/>
        </w:rPr>
        <w:t xml:space="preserve">راجع: Van Weele, A. J.. (2010).</w:t>
      </w:r>
      <w:r>
        <w:rPr>
          <w:rtl/>
        </w:rPr>
        <w:t xml:space="preserve"> </w:t>
      </w:r>
      <w:r>
        <w:rPr>
          <w:i/>
          <w:iCs/>
          <w:rtl/>
        </w:rPr>
        <w:t xml:space="preserve">Purchasing and Supply Chain Management: Analysis, Strategy, Planning and Practice</w:t>
      </w:r>
      <w:r>
        <w:rPr>
          <w:rtl/>
        </w:rPr>
        <w:t xml:space="preserve"> </w:t>
      </w:r>
      <w:r>
        <w:rPr>
          <w:rtl/>
        </w:rPr>
        <w:t xml:space="preserve">(5th ed.). Cengage Learning.</w:t>
      </w:r>
    </w:p>
  </w:footnote>
  <w:footnote w:id="70">
    <w:p>
      <w:pPr>
        <w:pStyle w:val="FootnoteText"/>
        <w:bidi/>
      </w:pPr>
      <w:r>
        <w:rPr>
          <w:rStyle w:val="FootnoteReference"/>
        </w:rPr>
        <w:footnoteRef/>
      </w:r>
      <w:r>
        <w:rPr>
          <w:rtl/>
        </w:rPr>
        <w:t xml:space="preserve"> </w:t>
      </w:r>
      <w:r>
        <w:rPr>
          <w:rtl/>
        </w:rPr>
        <w:t xml:space="preserve"> </w:t>
      </w:r>
      <w:r>
        <w:rPr>
          <w:rtl/>
        </w:rPr>
        <w:t xml:space="preserve">راجع: Vollmann, T. E., Berry, W. L., Whybark, D. C., &amp; Jacobs, F. R.. (2005).</w:t>
      </w:r>
      <w:r>
        <w:rPr>
          <w:rtl/>
        </w:rPr>
        <w:t xml:space="preserve"> </w:t>
      </w:r>
      <w:r>
        <w:rPr>
          <w:i/>
          <w:iCs/>
          <w:rtl/>
        </w:rPr>
        <w:t xml:space="preserve">Manufacturing Planning and Control for Supply Chain Management</w:t>
      </w:r>
      <w:r>
        <w:rPr>
          <w:rtl/>
        </w:rPr>
        <w:t xml:space="preserve"> </w:t>
      </w:r>
      <w:r>
        <w:rPr>
          <w:rtl/>
        </w:rPr>
        <w:t xml:space="preserve">(5th ed.). McGraw-Hill.</w:t>
      </w:r>
    </w:p>
  </w:footnote>
  <w:footnote w:id="71">
    <w:p>
      <w:pPr>
        <w:pStyle w:val="FootnoteText"/>
        <w:bidi/>
      </w:pPr>
      <w:r>
        <w:rPr>
          <w:rStyle w:val="FootnoteReference"/>
        </w:rPr>
        <w:footnoteRef/>
      </w:r>
      <w:r>
        <w:rPr>
          <w:rtl/>
        </w:rPr>
        <w:t xml:space="preserve"> </w:t>
      </w:r>
      <w:r>
        <w:rPr>
          <w:rtl/>
        </w:rPr>
        <w:t xml:space="preserve"> </w:t>
      </w:r>
      <w:r>
        <w:rPr>
          <w:rtl/>
        </w:rPr>
        <w:t xml:space="preserve">راجع: Wilson, R. H.. (1934). A Scientific Routine for Stock Control.</w:t>
      </w:r>
      <w:r>
        <w:rPr>
          <w:rtl/>
        </w:rPr>
        <w:t xml:space="preserve"> </w:t>
      </w:r>
      <w:r>
        <w:rPr>
          <w:i/>
          <w:iCs/>
          <w:rtl/>
        </w:rPr>
        <w:t xml:space="preserve">Harvard Business Review</w:t>
      </w:r>
      <w:r>
        <w:rPr>
          <w:rtl/>
        </w:rPr>
        <w:t xml:space="preserve">, 13(1), 116–128.</w:t>
      </w:r>
    </w:p>
  </w:footnote>
  <w:footnote w:id="72">
    <w:p>
      <w:pPr>
        <w:pStyle w:val="FootnoteText"/>
        <w:bidi/>
      </w:pPr>
      <w:r>
        <w:rPr>
          <w:rStyle w:val="FootnoteReference"/>
        </w:rPr>
        <w:footnoteRef/>
      </w:r>
      <w:r>
        <w:rPr>
          <w:rtl/>
        </w:rPr>
        <w:t xml:space="preserve"> </w:t>
      </w:r>
      <w:r>
        <w:rPr>
          <w:rtl/>
        </w:rPr>
        <w:t xml:space="preserve"> </w:t>
      </w:r>
      <w:r>
        <w:rPr>
          <w:rtl/>
        </w:rPr>
        <w:t xml:space="preserve">راجع: Zipkin, P. H.. (2000).</w:t>
      </w:r>
      <w:r>
        <w:rPr>
          <w:rtl/>
        </w:rPr>
        <w:t xml:space="preserve"> </w:t>
      </w:r>
      <w:r>
        <w:rPr>
          <w:i/>
          <w:iCs/>
          <w:rtl/>
        </w:rPr>
        <w:t xml:space="preserve">Foundations of Inventory Management</w:t>
      </w:r>
      <w:r>
        <w:rPr>
          <w:rtl/>
        </w:rPr>
        <w:t xml:space="preserve">. McGraw-Hill.</w:t>
      </w:r>
    </w:p>
  </w:footnote>
  <w:footnote w:id="78">
    <w:p>
      <w:pPr>
        <w:pStyle w:val="FootnoteText"/>
        <w:bidi/>
      </w:pPr>
      <w:r>
        <w:rPr>
          <w:rStyle w:val="FootnoteReference"/>
        </w:rPr>
        <w:footnoteRef/>
      </w:r>
      <w:r>
        <w:rPr>
          <w:rtl/>
        </w:rPr>
        <w:t xml:space="preserve"> </w:t>
      </w:r>
      <w:r>
        <w:rPr>
          <w:rtl/>
        </w:rPr>
        <w:t xml:space="preserve"> </w:t>
      </w:r>
      <w:r>
        <w:rPr>
          <w:rtl/>
        </w:rPr>
        <w:t xml:space="preserve">راجع: الجمهورية الجزائرية الديمقراطية الشعبية، المرسوم التنفيذي رقم 20-270 المتعلق بتنظيم الميزانية والمحاسبة العمومية، الجريدة الرسمية، 2020.</w:t>
      </w:r>
    </w:p>
  </w:footnote>
  <w:footnote w:id="82">
    <w:p>
      <w:pPr>
        <w:pStyle w:val="FootnoteText"/>
        <w:bidi/>
      </w:pPr>
      <w:r>
        <w:rPr>
          <w:rStyle w:val="FootnoteReference"/>
        </w:rPr>
        <w:footnoteRef/>
      </w:r>
      <w:r>
        <w:rPr>
          <w:rtl/>
        </w:rPr>
        <w:t xml:space="preserve"> </w:t>
      </w:r>
      <w:r>
        <w:rPr>
          <w:rtl/>
        </w:rPr>
        <w:t xml:space="preserve"> </w:t>
      </w:r>
      <w:r>
        <w:rPr>
          <w:rtl/>
        </w:rPr>
        <w:t xml:space="preserve">راجع: وزارة المالية ووزارة التربية الوطنية، المنشور الوزاري المشترك المتعلق بتسيير المستودعات في المؤسسات التربوية، وثيقة داخلية، 2023.</w:t>
      </w:r>
    </w:p>
  </w:footnote>
  <w:footnote w:id="91">
    <w:p>
      <w:pPr>
        <w:pStyle w:val="FootnoteText"/>
        <w:bidi/>
      </w:pPr>
      <w:r>
        <w:rPr>
          <w:rStyle w:val="FootnoteReference"/>
        </w:rPr>
        <w:footnoteRef/>
      </w:r>
      <w:r>
        <w:rPr>
          <w:rtl/>
        </w:rPr>
        <w:t xml:space="preserve"> </w:t>
      </w:r>
      <w:r>
        <w:rPr>
          <w:rtl/>
        </w:rPr>
        <w:t xml:space="preserve"> </w:t>
      </w:r>
      <w:r>
        <w:rPr>
          <w:rtl/>
        </w:rPr>
        <w:t xml:space="preserve">راجع: الجمهورية الجزائرية الديمقراطية الشعبية.. (2003). الأمر رقم 03-07 المؤرخ في 19 جمادى الأولى 1424 الموافق 19 يوليو 2003 المتعلق ببراءات الاختراع.</w:t>
      </w:r>
      <w:r>
        <w:rPr>
          <w:rtl/>
        </w:rPr>
        <w:t xml:space="preserve"> </w:t>
      </w:r>
      <w:r>
        <w:rPr>
          <w:i/>
          <w:iCs/>
          <w:rtl/>
        </w:rPr>
        <w:t xml:space="preserve">الجريدة الرسمية</w:t>
      </w:r>
      <w:r>
        <w:rPr>
          <w:rtl/>
        </w:rPr>
        <w:t xml:space="preserve">.</w:t>
      </w:r>
    </w:p>
  </w:footnote>
  <w:footnote w:id="92">
    <w:p>
      <w:pPr>
        <w:pStyle w:val="FootnoteText"/>
        <w:bidi/>
      </w:pPr>
      <w:r>
        <w:rPr>
          <w:rStyle w:val="FootnoteReference"/>
        </w:rPr>
        <w:footnoteRef/>
      </w:r>
      <w:r>
        <w:rPr>
          <w:rtl/>
        </w:rPr>
        <w:t xml:space="preserve"> </w:t>
      </w:r>
      <w:r>
        <w:rPr>
          <w:rtl/>
        </w:rPr>
        <w:t xml:space="preserve"> </w:t>
      </w:r>
      <w:r>
        <w:rPr>
          <w:rtl/>
        </w:rPr>
        <w:t xml:space="preserve">راجع: الجمهورية الجزائرية الديمقراطية الشعبية.. (2003). الأمر رقم 03-05 المؤرخ في 19 جمادى الأولى 1424 الموافق 19 يوليو 2003 المتعلق بحقوق المؤلف والحقوق المجاورة.</w:t>
      </w:r>
      <w:r>
        <w:rPr>
          <w:rtl/>
        </w:rPr>
        <w:t xml:space="preserve"> </w:t>
      </w:r>
      <w:r>
        <w:rPr>
          <w:i/>
          <w:iCs/>
          <w:rtl/>
        </w:rPr>
        <w:t xml:space="preserve">الجريدة الرسمية</w:t>
      </w:r>
      <w:r>
        <w:rPr>
          <w:rtl/>
        </w:rPr>
        <w:t xml:space="preserve">.</w:t>
      </w:r>
    </w:p>
  </w:footnote>
  <w:footnote w:id="93">
    <w:p>
      <w:pPr>
        <w:pStyle w:val="FootnoteText"/>
        <w:bidi/>
      </w:pPr>
      <w:r>
        <w:rPr>
          <w:rStyle w:val="FootnoteReference"/>
        </w:rPr>
        <w:footnoteRef/>
      </w:r>
      <w:r>
        <w:rPr>
          <w:rtl/>
        </w:rPr>
        <w:t xml:space="preserve"> </w:t>
      </w:r>
      <w:r>
        <w:rPr>
          <w:rtl/>
        </w:rPr>
        <w:t xml:space="preserve"> </w:t>
      </w:r>
      <w:r>
        <w:rPr>
          <w:rtl/>
        </w:rPr>
        <w:t xml:space="preserve">راجع: الجمهورية الجزائرية الديمقراطية الشعبية.. (2015). المرسوم الرئاسي رقم 15-247 المؤرخ في 16 سبتمبر 2015 المتعلق بتنظيم الصفقات العمومية وتسييرها.</w:t>
      </w:r>
      <w:r>
        <w:rPr>
          <w:rtl/>
        </w:rPr>
        <w:t xml:space="preserve"> </w:t>
      </w:r>
      <w:r>
        <w:rPr>
          <w:i/>
          <w:iCs/>
          <w:rtl/>
        </w:rPr>
        <w:t xml:space="preserve">الجريدة الرسمية</w:t>
      </w:r>
      <w:r>
        <w:rPr>
          <w:rtl/>
        </w:rPr>
        <w:t xml:space="preserve">.</w:t>
      </w:r>
    </w:p>
  </w:footnote>
  <w:footnote w:id="94">
    <w:p>
      <w:pPr>
        <w:pStyle w:val="FootnoteText"/>
        <w:bidi/>
      </w:pPr>
      <w:r>
        <w:rPr>
          <w:rStyle w:val="FootnoteReference"/>
        </w:rPr>
        <w:footnoteRef/>
      </w:r>
      <w:r>
        <w:rPr>
          <w:rtl/>
        </w:rPr>
        <w:t xml:space="preserve"> </w:t>
      </w:r>
      <w:r>
        <w:rPr>
          <w:rtl/>
        </w:rPr>
        <w:t xml:space="preserve"> </w:t>
      </w:r>
      <w:r>
        <w:rPr>
          <w:rtl/>
        </w:rPr>
        <w:t xml:space="preserve">راجع: الجمهورية الجزائرية الديمقراطية الشعبية.. (2020). المرسوم التنفيذي رقم 20-270 المتعلق بتنظيم الميزانية والمحاسبة العمومية.</w:t>
      </w:r>
      <w:r>
        <w:rPr>
          <w:rtl/>
        </w:rPr>
        <w:t xml:space="preserve"> </w:t>
      </w:r>
      <w:r>
        <w:rPr>
          <w:i/>
          <w:iCs/>
          <w:rtl/>
        </w:rPr>
        <w:t xml:space="preserve">الجريدة الرسمية</w:t>
      </w:r>
      <w:r>
        <w:rPr>
          <w:rtl/>
        </w:rPr>
        <w:t xml:space="preserve">.</w:t>
      </w:r>
    </w:p>
  </w:footnote>
  <w:footnote w:id="95">
    <w:p>
      <w:pPr>
        <w:pStyle w:val="FootnoteText"/>
        <w:bidi/>
      </w:pPr>
      <w:r>
        <w:rPr>
          <w:rStyle w:val="FootnoteReference"/>
        </w:rPr>
        <w:footnoteRef/>
      </w:r>
      <w:r>
        <w:rPr>
          <w:rtl/>
        </w:rPr>
        <w:t xml:space="preserve"> </w:t>
      </w:r>
      <w:r>
        <w:rPr>
          <w:rtl/>
        </w:rPr>
        <w:t xml:space="preserve"> </w:t>
      </w:r>
      <w:r>
        <w:rPr>
          <w:rtl/>
        </w:rPr>
        <w:t xml:space="preserve">راجع: وزارة المالية ووزارة التربية الوطنية.. (2023). المنشور الوزاري المشترك المتعلق بتسيير المستودعات في المؤسسات التربوية. وثيقة داخلية.</w:t>
      </w:r>
    </w:p>
  </w:footnote>
  <w:footnote w:id="100">
    <w:p>
      <w:pPr>
        <w:pStyle w:val="FootnoteText"/>
        <w:bidi/>
      </w:pPr>
      <w:r>
        <w:rPr>
          <w:rStyle w:val="FootnoteReference"/>
        </w:rPr>
        <w:footnoteRef/>
      </w:r>
      <w:r>
        <w:rPr>
          <w:rtl/>
        </w:rPr>
        <w:t xml:space="preserve"> </w:t>
      </w:r>
      <w:r>
        <w:rPr>
          <w:rtl/>
        </w:rPr>
        <w:t xml:space="preserve"> </w:t>
      </w:r>
      <w:r>
        <w:rPr>
          <w:rtl/>
        </w:rPr>
        <w:t xml:space="preserve">راجع: A. Sebti, Élaboration d’un outil d’aide à la décision pour la gestion des stocks basé sur l’étude prévisionnelle, Mémoire PFE, École Nationale Polytechnique d’Alger, 1993, p. 12.</w:t>
      </w:r>
    </w:p>
  </w:footnote>
  <w:footnote w:id="101">
    <w:p>
      <w:pPr>
        <w:pStyle w:val="FootnoteText"/>
        <w:bidi/>
      </w:pPr>
      <w:r>
        <w:rPr>
          <w:rStyle w:val="FootnoteReference"/>
        </w:rPr>
        <w:footnoteRef/>
      </w:r>
      <w:r>
        <w:rPr>
          <w:rtl/>
        </w:rPr>
        <w:t xml:space="preserve"> </w:t>
      </w:r>
      <w:r>
        <w:rPr>
          <w:rtl/>
        </w:rPr>
        <w:t xml:space="preserve"> </w:t>
      </w:r>
      <w:r>
        <w:rPr>
          <w:rtl/>
        </w:rPr>
        <w:t xml:space="preserve">راجع: A. Yahi, Élaboration d’un logiciel de gestion de stocks de pièces de rechange, Mémoire PFE, École Nationale Polytechnique d’Alger, 1992, p. 8.</w:t>
      </w:r>
    </w:p>
  </w:footnote>
  <w:footnote w:id="102">
    <w:p>
      <w:pPr>
        <w:pStyle w:val="FootnoteText"/>
        <w:bidi/>
      </w:pPr>
      <w:r>
        <w:rPr>
          <w:rStyle w:val="FootnoteReference"/>
        </w:rPr>
        <w:footnoteRef/>
      </w:r>
      <w:r>
        <w:rPr>
          <w:rtl/>
        </w:rPr>
        <w:t xml:space="preserve"> </w:t>
      </w:r>
      <w:r>
        <w:rPr>
          <w:rtl/>
        </w:rPr>
        <w:t xml:space="preserve"> </w:t>
      </w:r>
      <w:r>
        <w:rPr>
          <w:rtl/>
        </w:rPr>
        <w:t xml:space="preserve">راجع: M. Bouchahlata, Contribution à l’amélioration du lead time de la chaîne logistique en combinant une solution VBA et la business intelligence : application Ericsson Algérie, Mémoire PFE, École Nationale Polytechnique d’Alger, 2021, p. 45.</w:t>
      </w:r>
    </w:p>
  </w:footnote>
  <w:footnote w:id="109">
    <w:p>
      <w:pPr>
        <w:pStyle w:val="FootnoteText"/>
        <w:bidi/>
      </w:pPr>
      <w:r>
        <w:rPr>
          <w:rStyle w:val="FootnoteReference"/>
        </w:rPr>
        <w:footnoteRef/>
      </w:r>
      <w:r>
        <w:rPr>
          <w:rtl/>
        </w:rPr>
        <w:t xml:space="preserve"> </w:t>
      </w:r>
      <w:r>
        <w:rPr>
          <w:rtl/>
        </w:rPr>
        <w:t xml:space="preserve"> </w:t>
      </w:r>
      <w:r>
        <w:rPr>
          <w:rtl/>
        </w:rPr>
        <w:t xml:space="preserve">راجع: Microsoft Corporation, VBA Reference — Visual Basic for Applications, Microsoft Docs, 2023.</w:t>
      </w:r>
    </w:p>
  </w:footnote>
  <w:footnote w:id="110">
    <w:p>
      <w:pPr>
        <w:pStyle w:val="FootnoteText"/>
        <w:bidi/>
      </w:pPr>
      <w:r>
        <w:rPr>
          <w:rStyle w:val="FootnoteReference"/>
        </w:rPr>
        <w:footnoteRef/>
      </w:r>
      <w:r>
        <w:rPr>
          <w:rtl/>
        </w:rPr>
        <w:t xml:space="preserve"> </w:t>
      </w:r>
      <w:r>
        <w:rPr>
          <w:rtl/>
        </w:rPr>
        <w:t xml:space="preserve"> </w:t>
      </w:r>
      <w:r>
        <w:rPr>
          <w:rtl/>
        </w:rPr>
        <w:t xml:space="preserve">راجع: Microsoft Corporation, Excel Object Model Overview, Microsoft Docs, 2019.</w:t>
      </w:r>
    </w:p>
  </w:footnote>
  <w:footnote w:id="125">
    <w:p>
      <w:pPr>
        <w:pStyle w:val="FootnoteText"/>
        <w:bidi/>
      </w:pPr>
      <w:r>
        <w:rPr>
          <w:rStyle w:val="FootnoteReference"/>
        </w:rPr>
        <w:footnoteRef/>
      </w:r>
      <w:r>
        <w:rPr>
          <w:rtl/>
        </w:rPr>
        <w:t xml:space="preserve"> </w:t>
      </w:r>
      <w:r>
        <w:rPr>
          <w:rtl/>
        </w:rPr>
        <w:t xml:space="preserve"> </w:t>
      </w:r>
      <w:r>
        <w:rPr>
          <w:rtl/>
        </w:rPr>
        <w:t xml:space="preserve">راجع: Kamel, M, ERP_Académie v13.3 — Système d’Aide à la Décision pour la Gestion des Stocks. GitHub. https://github.com/kamelmh/lsm-vba-core 2026</w:t>
      </w:r>
    </w:p>
  </w:footnote>
  <w:footnote w:id="126">
    <w:p>
      <w:pPr>
        <w:pStyle w:val="FootnoteText"/>
        <w:bidi/>
      </w:pPr>
      <w:r>
        <w:rPr>
          <w:rStyle w:val="FootnoteReference"/>
        </w:rPr>
        <w:footnoteRef/>
      </w:r>
      <w:r>
        <w:rPr>
          <w:rtl/>
        </w:rPr>
        <w:t xml:space="preserve"> </w:t>
      </w:r>
      <w:r>
        <w:rPr>
          <w:rtl/>
        </w:rPr>
        <w:t xml:space="preserve"> </w:t>
      </w:r>
      <w:r>
        <w:rPr>
          <w:rtl/>
        </w:rPr>
        <w:t xml:space="preserve">راجع: Microsoft Corporation.. (2023). VBA Reference — Visual Basic for Applications.</w:t>
      </w:r>
      <w:r>
        <w:rPr>
          <w:rtl/>
        </w:rPr>
        <w:t xml:space="preserve"> </w:t>
      </w:r>
      <w:r>
        <w:rPr>
          <w:i/>
          <w:iCs/>
          <w:rtl/>
        </w:rPr>
        <w:t xml:space="preserve">Microsoft Docs</w:t>
      </w:r>
      <w:r>
        <w:rPr>
          <w:rtl/>
        </w:rPr>
        <w:t xml:space="preserve">.</w:t>
      </w:r>
    </w:p>
  </w:footnote>
  <w:footnote w:id="127">
    <w:p>
      <w:pPr>
        <w:pStyle w:val="FootnoteText"/>
        <w:bidi/>
      </w:pPr>
      <w:r>
        <w:rPr>
          <w:rStyle w:val="FootnoteReference"/>
        </w:rPr>
        <w:footnoteRef/>
      </w:r>
      <w:r>
        <w:rPr>
          <w:rtl/>
        </w:rPr>
        <w:t xml:space="preserve"> </w:t>
      </w:r>
      <w:r>
        <w:rPr>
          <w:rtl/>
        </w:rPr>
        <w:t xml:space="preserve"> </w:t>
      </w:r>
      <w:r>
        <w:rPr>
          <w:rtl/>
        </w:rPr>
        <w:t xml:space="preserve">راجع: Microsoft Corporation.. (2019). Excel Object Model Overview.</w:t>
      </w:r>
      <w:r>
        <w:rPr>
          <w:rtl/>
        </w:rPr>
        <w:t xml:space="preserve"> </w:t>
      </w:r>
      <w:r>
        <w:rPr>
          <w:i/>
          <w:iCs/>
          <w:rtl/>
        </w:rPr>
        <w:t xml:space="preserve">Microsoft Docs</w:t>
      </w:r>
      <w:r>
        <w:rPr>
          <w:rtl/>
        </w:rPr>
        <w:t xml:space="preserve">.</w:t>
      </w:r>
    </w:p>
  </w:footnote>
  <w:footnote w:id="141">
    <w:p>
      <w:pPr>
        <w:pStyle w:val="FootnoteText"/>
        <w:bidi/>
      </w:pPr>
      <w:r>
        <w:rPr>
          <w:rStyle w:val="FootnoteReference"/>
        </w:rPr>
        <w:footnoteRef/>
      </w:r>
      <w:r>
        <w:rPr>
          <w:rtl/>
        </w:rPr>
        <w:t xml:space="preserve"> </w:t>
      </w:r>
      <w:r>
        <w:rPr>
          <w:rtl/>
        </w:rPr>
        <w:t xml:space="preserve"> </w:t>
      </w:r>
      <w:r>
        <w:rPr>
          <w:rtl/>
        </w:rPr>
        <w:t xml:space="preserve">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155">
    <w:p>
      <w:pPr>
        <w:pStyle w:val="FootnoteText"/>
        <w:bidi/>
      </w:pPr>
      <w:r>
        <w:rPr>
          <w:rStyle w:val="FootnoteReference"/>
        </w:rPr>
        <w:footnoteRef/>
      </w:r>
      <w:r>
        <w:rPr>
          <w:rtl/>
        </w:rPr>
        <w:t xml:space="preserve"> </w:t>
      </w:r>
      <w:r>
        <w:rPr>
          <w:rtl/>
        </w:rPr>
        <w:t xml:space="preserve"> </w:t>
      </w:r>
      <w:r>
        <w:rPr>
          <w:rtl/>
        </w:rPr>
        <w:t xml:space="preserve">راجع: Bouchahlata, M.. (2021).</w:t>
      </w:r>
      <w:r>
        <w:rPr>
          <w:rtl/>
        </w:rPr>
        <w:t xml:space="preserve"> </w:t>
      </w:r>
      <w:r>
        <w:rPr>
          <w:i/>
          <w:iCs/>
          <w:rtl/>
        </w:rPr>
        <w:t xml:space="preserve">Contribution à l’amélioration du lead time de la chaîne logistique en combinant une solution VBA et la business intelligence : application Ericsson Algérie</w:t>
      </w:r>
      <w:r>
        <w:rPr>
          <w:rtl/>
        </w:rPr>
        <w:t xml:space="preserve">. Mémoire de Projet de Fin d’Études, École Nationale Polytechnique d’Alger.</w:t>
      </w:r>
    </w:p>
  </w:footnote>
  <w:footnote w:id="156">
    <w:p>
      <w:pPr>
        <w:pStyle w:val="FootnoteText"/>
        <w:bidi/>
      </w:pPr>
      <w:r>
        <w:rPr>
          <w:rStyle w:val="FootnoteReference"/>
        </w:rPr>
        <w:footnoteRef/>
      </w:r>
      <w:r>
        <w:rPr>
          <w:rtl/>
        </w:rPr>
        <w:t xml:space="preserve"> </w:t>
      </w:r>
      <w:r>
        <w:rPr>
          <w:rtl/>
        </w:rPr>
        <w:t xml:space="preserve"> </w:t>
      </w:r>
      <w:r>
        <w:rPr>
          <w:rtl/>
        </w:rPr>
        <w:t xml:space="preserve">راجع: Sebti, A.. (1993).</w:t>
      </w:r>
      <w:r>
        <w:rPr>
          <w:rtl/>
        </w:rPr>
        <w:t xml:space="preserve"> </w:t>
      </w:r>
      <w:r>
        <w:rPr>
          <w:i/>
          <w:iCs/>
          <w:rtl/>
        </w:rPr>
        <w:t xml:space="preserve">Élaboration d’un outil d’aide à la décision pour la gestion des stocks basé sur l’étude prévisionnelle</w:t>
      </w:r>
      <w:r>
        <w:rPr>
          <w:rtl/>
        </w:rPr>
        <w:t xml:space="preserve">. Mémoire de Projet de Fin d’Études, École Nationale Polytechnique d’Alger.</w:t>
      </w:r>
    </w:p>
  </w:footnote>
  <w:footnote w:id="157">
    <w:p>
      <w:pPr>
        <w:pStyle w:val="FootnoteText"/>
        <w:bidi/>
      </w:pPr>
      <w:r>
        <w:rPr>
          <w:rStyle w:val="FootnoteReference"/>
        </w:rPr>
        <w:footnoteRef/>
      </w:r>
      <w:r>
        <w:rPr>
          <w:rtl/>
        </w:rPr>
        <w:t xml:space="preserve"> </w:t>
      </w:r>
      <w:r>
        <w:rPr>
          <w:rtl/>
        </w:rPr>
        <w:t xml:space="preserve"> </w:t>
      </w:r>
      <w:r>
        <w:rPr>
          <w:rtl/>
        </w:rPr>
        <w:t xml:space="preserve">راجع: Yahi, A.. (1992).</w:t>
      </w:r>
      <w:r>
        <w:rPr>
          <w:rtl/>
        </w:rPr>
        <w:t xml:space="preserve"> </w:t>
      </w:r>
      <w:r>
        <w:rPr>
          <w:i/>
          <w:iCs/>
          <w:rtl/>
        </w:rPr>
        <w:t xml:space="preserve">Élaboration d’un logiciel de gestion de stocks de pièces de rechange</w:t>
      </w:r>
      <w:r>
        <w:rPr>
          <w:rtl/>
        </w:rPr>
        <w:t xml:space="preserve">. Mémoire de Projet de Fin d’Études, École Nationale Polytechnique d’Alger.</w:t>
      </w:r>
    </w:p>
  </w:footnote>
  <w:footnote w:id="158">
    <w:p>
      <w:pPr>
        <w:pStyle w:val="FootnoteText"/>
        <w:bidi/>
      </w:pPr>
      <w:r>
        <w:rPr>
          <w:rStyle w:val="FootnoteReference"/>
        </w:rPr>
        <w:footnoteRef/>
      </w:r>
      <w:r>
        <w:rPr>
          <w:rtl/>
        </w:rPr>
        <w:t xml:space="preserve"> </w:t>
      </w:r>
      <w:r>
        <w:rPr>
          <w:rtl/>
        </w:rPr>
        <w:t xml:space="preserve"> </w:t>
      </w:r>
      <w:r>
        <w:rPr>
          <w:rtl/>
        </w:rPr>
        <w:t xml:space="preserve">راجع: Belhadi, M. E. A.. (2015).</w:t>
      </w:r>
      <w:r>
        <w:rPr>
          <w:rtl/>
        </w:rPr>
        <w:t xml:space="preserve"> </w:t>
      </w:r>
      <w:r>
        <w:rPr>
          <w:i/>
          <w:iCs/>
          <w:rtl/>
        </w:rPr>
        <w:t xml:space="preserve">Modélisation et optimisation de la gestion de stocks des pièces de rechange : application SASACE-Algérie</w:t>
      </w:r>
      <w:r>
        <w:rPr>
          <w:rtl/>
        </w:rPr>
        <w:t xml:space="preserve">. Mémoire de Projet de Fin d’Études, École Nationale Polytechnique d’Alger.</w:t>
      </w:r>
    </w:p>
  </w:footnote>
  <w:footnote w:id="179">
    <w:p>
      <w:pPr>
        <w:pStyle w:val="FootnoteText"/>
        <w:bidi/>
      </w:pPr>
      <w:r>
        <w:rPr>
          <w:rStyle w:val="FootnoteReference"/>
        </w:rPr>
        <w:footnoteRef/>
      </w:r>
      <w:r>
        <w:rPr>
          <w:rtl/>
        </w:rPr>
        <w:t xml:space="preserve"> </w:t>
      </w:r>
      <w:r>
        <w:rPr>
          <w:rtl/>
        </w:rPr>
        <w:t xml:space="preserve"> </w:t>
      </w:r>
      <w:r>
        <w:rPr>
          <w:rtl/>
        </w:rPr>
        <w:t xml:space="preserve">راجع: مديرية التربية لولاية البيض — مصلحة المخازن.. (2025). السجلات السنوية لحركة المخزون (الفصلية). وثائق داخلية غير منشورة.</w:t>
      </w:r>
    </w:p>
  </w:footnote>
  <w:footnote w:id="180">
    <w:p>
      <w:pPr>
        <w:pStyle w:val="FootnoteText"/>
        <w:bidi/>
      </w:pPr>
      <w:r>
        <w:rPr>
          <w:rStyle w:val="FootnoteReference"/>
        </w:rPr>
        <w:footnoteRef/>
      </w:r>
      <w:r>
        <w:rPr>
          <w:rtl/>
        </w:rPr>
        <w:t xml:space="preserve"> </w:t>
      </w:r>
      <w:r>
        <w:rPr>
          <w:rtl/>
        </w:rPr>
        <w:t xml:space="preserve"> </w:t>
      </w:r>
      <w:r>
        <w:rPr>
          <w:rtl/>
        </w:rPr>
        <w:t xml:space="preserve">راجع: مديرية التربية لولاية البيض — مصلحة الميزانية.. (2025). بيانات تكاليف الطلب والاحتفاظ. وثائق داخلية غير منشورة.</w:t>
      </w:r>
    </w:p>
  </w:footnote>
  <w:footnote w:id="181">
    <w:p>
      <w:pPr>
        <w:pStyle w:val="FootnoteText"/>
        <w:bidi/>
      </w:pPr>
      <w:r>
        <w:rPr>
          <w:rStyle w:val="FootnoteReference"/>
        </w:rPr>
        <w:footnoteRef/>
      </w:r>
      <w:r>
        <w:rPr>
          <w:rtl/>
        </w:rPr>
        <w:t xml:space="preserve"> </w:t>
      </w:r>
      <w:r>
        <w:rPr>
          <w:rtl/>
        </w:rPr>
        <w:t xml:space="preserve"> </w:t>
      </w:r>
      <w:r>
        <w:rPr>
          <w:rtl/>
        </w:rPr>
        <w:t xml:space="preserve">راجع: Kamel, M.. (2026). ERP_Académie v13.3 — Système d’Aide à la Décision pour la Gestion des Stocks.</w:t>
      </w:r>
      <w:r>
        <w:rPr>
          <w:rtl/>
        </w:rPr>
        <w:t xml:space="preserve"> </w:t>
      </w:r>
      <w:r>
        <w:rPr>
          <w:i/>
          <w:iCs/>
          <w:rtl/>
        </w:rPr>
        <w:t xml:space="preserve">GitHub</w:t>
      </w:r>
      <w:r>
        <w:rPr>
          <w:rtl/>
        </w:rPr>
        <w:t xml:space="preserve">. https://github.com/kamelmh/lsm-vba-core.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raditional Arabic" w:cs="Traditional Arabic" w:eastAsia="Traditional Arabic" w:hAnsi="Traditional Arabic"/>
        <w:sz w:val="28"/>
        <w:szCs w:val="28"/>
        <w:lang w:bidi="ar" w:eastAsia="en-US" w:val="en-US"/>
      </w:rPr>
    </w:rPrDefault>
    <w:pPrDefault>
      <w:pPr>
        <w:spacing w:line="360" w:lineRule="auto"/>
      </w:pPr>
    </w:pPrDefault>
  </w:docDefaults>
  <w:latentStyles w:count="276" w:defLockedState="0" w:defQFormat="0" w:defSemiHidden="0" w:defUIPriority="0" w:defUnhideWhenUsed="0"/>
  <w:style w:default="1" w:styleId="Normal" w:type="paragraph">
    <w:pPr>
      <w:bidi/>
      <w:spacing w:line="360" w:lineRule="auto"/>
      <w:jc w:val="right"/>
    </w:pPr>
    <w:name w:val="Normal"/>
    <w:qFormat/>
    <w:rPr>
      <w:rFonts w:cs="Times New Roman" w:ascii="Traditional Arabic" w:hAnsi="Traditional Arabic"/>
      <w:sz w:val="28"/>
    </w:rPr>
  </w:style>
  <w:style w:styleId="BodyText" w:type="paragraph">
    <w:name w:val="Body Text"/>
    <w:basedOn w:val="Normal"/>
    <w:link w:val="BodyTextChar"/>
    <w:qFormat/>
    <w:pPr>
      <w:bidi/>
      <w:spacing w:after="180" w:before="180" w:line="360" w:lineRule="auto"/>
      <w:jc w:val="right"/>
    </w:pPr>
    <w:rPr>
      <w:rFonts w:ascii="Traditional Arabic" w:hAnsi="Traditional Arabic"/>
      <w:sz w:val="28"/>
    </w:rPr>
  </w:style>
  <w:style w:customStyle="1" w:styleId="FirstParagraph" w:type="paragraph">
    <w:name w:val="First Paragraph"/>
    <w:basedOn w:val="BodyText"/>
    <w:next w:val="BodyText"/>
    <w:qFormat/>
    <w:rPr/>
  </w:style>
  <w:style w:customStyle="1" w:styleId="Compact" w:type="paragraph">
    <w:name w:val="Compact"/>
    <w:basedOn w:val="BodyText"/>
    <w:qFormat/>
    <w:pPr>
      <w:bidi/>
      <w:spacing w:after="36" w:before="36" w:line="360" w:lineRule="auto"/>
      <w:jc w:val="right"/>
    </w:pPr>
    <w:rPr>
      <w:rFonts w:ascii="Traditional Arabic" w:hAnsi="Traditional Arabic"/>
      <w:sz w:val="2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bidi/>
      <w:keepNext/>
      <w:keepLines/>
      <w:spacing w:after="80" w:before="360"/>
      <w:outlineLvl w:val="0"/>
      <w:jc w:val="right"/>
      <w:keepNext/>
      <w:keepLines/>
    </w:pPr>
    <w:rPr>
      <w:rFonts w:ascii="Traditional Arabic" w:asciiTheme="majorHAnsi" w:cstheme="majorBidi" w:eastAsiaTheme="majorEastAsia" w:hAnsi="Traditional Arabic" w:hAnsiTheme="majorHAnsi"/>
      <w:color w:val="1B2631"/>
      <w:sz w:val="44"/>
      <w:szCs w:val="32"/>
      <w:b/>
    </w:rPr>
  </w:style>
  <w:style w:styleId="Heading2" w:type="paragraph">
    <w:name w:val="heading 2"/>
    <w:basedOn w:val="Normal"/>
    <w:next w:val="BodyText"/>
    <w:link w:val="Heading2Char"/>
    <w:uiPriority w:val="9"/>
    <w:qFormat/>
    <w:rsid w:val="00A10FD9"/>
    <w:pPr>
      <w:bidi/>
      <w:keepNext/>
      <w:keepLines/>
      <w:spacing w:after="80" w:before="160"/>
      <w:outlineLvl w:val="1"/>
      <w:jc w:val="right"/>
      <w:keepNext/>
      <w:keepLines/>
    </w:pPr>
    <w:rPr>
      <w:rFonts w:ascii="Traditional Arabic" w:asciiTheme="majorHAnsi" w:cstheme="majorBidi" w:eastAsiaTheme="majorEastAsia" w:hAnsi="Traditional Arabic" w:hAnsiTheme="majorHAnsi"/>
      <w:color w:val="0C447C"/>
      <w:sz w:val="36"/>
      <w:szCs w:val="26"/>
      <w:b/>
    </w:rPr>
  </w:style>
  <w:style w:styleId="Heading3" w:type="paragraph">
    <w:name w:val="heading 3"/>
    <w:basedOn w:val="Normal"/>
    <w:next w:val="BodyText"/>
    <w:link w:val="Heading3Char"/>
    <w:uiPriority w:val="9"/>
    <w:qFormat/>
    <w:rsid w:val="00A10FD9"/>
    <w:pPr>
      <w:bidi/>
      <w:keepNext/>
      <w:keepLines/>
      <w:spacing w:after="80" w:before="160"/>
      <w:outlineLvl w:val="2"/>
      <w:jc w:val="right"/>
      <w:keepNext/>
      <w:keepLines/>
    </w:pPr>
    <w:rPr>
      <w:rFonts w:ascii="Traditional Arabic" w:cstheme="majorBidi" w:eastAsiaTheme="majorEastAsia" w:hAnsi="Traditional Arabic"/>
      <w:color w:val="0C447C"/>
      <w:sz w:val="32"/>
      <w:szCs w:val="24"/>
      <w:b/>
    </w:rPr>
  </w:style>
  <w:style w:styleId="Heading4" w:type="paragraph">
    <w:name w:val="heading 4"/>
    <w:basedOn w:val="Normal"/>
    <w:next w:val="BodyText"/>
    <w:link w:val="Heading4Char"/>
    <w:uiPriority w:val="9"/>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qFormat/>
    <w:pPr>
      <w:spacing w:after="100" w:before="100"/>
      <w:ind w:firstLine="0" w:left="480" w:right="480"/>
    </w:pPr>
    <w:rPr/>
  </w:style>
  <w:style w:styleId="FootnoteText" w:type="paragraph">
    <w:pPr>
      <w:spacing w:line="240" w:lineRule="auto"/>
    </w:pPr>
    <w:name w:val="Footnote Text"/>
    <w:basedOn w:val="Normal"/>
    <w:next w:val="FootnoteText"/>
    <w:uiPriority w:val="9"/>
    <w:qFormat/>
    <w:rPr>
      <w:sz w:val="20"/>
      <w:szCs w:val="20"/>
    </w:rPr>
  </w:style>
  <w:style w:styleId="FootnoteBlockText" w:type="paragraph">
    <w:name w:val="Footnote Block Text"/>
    <w:basedOn w:val="FootnoteText"/>
    <w:next w:val="FootnoteText"/>
    <w:uiPriority w:val="9"/>
    <w:qFormat/>
    <w:pPr>
      <w:spacing w:after="100" w:before="100"/>
      <w:ind w:firstLine="0" w:left="480" w:right="480"/>
    </w:pPr>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r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style>
  <w:style w:customStyle="1" w:styleId="ImageCaption" w:type="paragraph">
    <w:name w:val="Image Caption"/>
    <w:basedOn w:val="Caption"/>
    <w:rPr/>
  </w:style>
  <w:style w:customStyle="1" w:styleId="Figure" w:type="paragraph">
    <w:name w:val="Figure"/>
    <w:basedOn w:val="Normal"/>
    <w:rPr/>
  </w:style>
  <w:style w:customStyle="1" w:styleId="CaptionedFigure" w:type="paragraph">
    <w:name w:val="Captioned Figure"/>
    <w:basedOn w:val="Figure"/>
    <w:pPr>
      <w:keepNext/>
    </w:pPr>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qFormat/>
    <w:pPr>
      <w:spacing w:before="240" w:line="259" w:lineRule="auto"/>
      <w:outlineLvl w:val="9"/>
    </w:pPr>
    <w:rPr>
      <w:rFonts w:asciiTheme="majorHAnsi" w:cstheme="majorBidi" w:eastAsiaTheme="majorEastAsia" w:hAnsiTheme="majorHAnsi"/>
      <w:b w:val="0"/>
      <w:bCs w:val="0"/>
      <w:color w:themeColor="accent1" w:themeShade="BF" w:val="0F476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dc:language>ar</dc:language>
  <cp:keywords/>
  <dcterms:created xsi:type="dcterms:W3CDTF">2026-06-11T18:46:32Z</dcterms:created>
  <dcterms:modified xsi:type="dcterms:W3CDTF">2026-06-11T18:46:32Z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ies>
</file>