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371FB">
      <w:p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吴一星，又名日星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0"/>
      </w:r>
      <w:r>
        <w:rPr>
          <w:rFonts w:hint="eastAsia"/>
          <w:sz w:val="28"/>
          <w:szCs w:val="36"/>
          <w:lang w:val="en-US" w:eastAsia="zh-CN"/>
        </w:rPr>
        <w:t>，又名细娘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1"/>
      </w:r>
      <w:r>
        <w:rPr>
          <w:rFonts w:hint="eastAsia"/>
          <w:sz w:val="28"/>
          <w:szCs w:val="36"/>
          <w:lang w:val="en-US" w:eastAsia="zh-CN"/>
        </w:rPr>
        <w:t>（又作赛娘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2"/>
      </w:r>
      <w:r>
        <w:rPr>
          <w:rFonts w:hint="eastAsia"/>
          <w:sz w:val="28"/>
          <w:szCs w:val="36"/>
          <w:lang w:val="en-US" w:eastAsia="zh-CN"/>
        </w:rPr>
        <w:t>），顺昌人，丁亥，一星兄弟从德化王起兵将军寨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3"/>
      </w:r>
      <w:r>
        <w:rPr>
          <w:rFonts w:hint="eastAsia"/>
          <w:sz w:val="28"/>
          <w:szCs w:val="36"/>
          <w:lang w:val="en-US" w:eastAsia="zh-CN"/>
        </w:rPr>
        <w:t>，以白莲教聚众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4"/>
      </w:r>
      <w:r>
        <w:rPr>
          <w:rFonts w:hint="eastAsia"/>
          <w:sz w:val="28"/>
          <w:szCs w:val="36"/>
          <w:lang w:val="en-US" w:eastAsia="zh-CN"/>
        </w:rPr>
        <w:t>，及德化王兵败，一星率二百余人往来将乐、归化之界，不扰平民，专报私怨。其御卒颇严，屡以寡挫众，官兵惮之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5"/>
      </w:r>
      <w:r>
        <w:rPr>
          <w:rFonts w:hint="eastAsia"/>
          <w:sz w:val="28"/>
          <w:szCs w:val="36"/>
          <w:lang w:val="en-US" w:eastAsia="zh-CN"/>
        </w:rPr>
        <w:t>。一星年久熟识形势，于仙人堂营为窟宅，结七十二寨，有红旗、铁门、酒埕等名，而红旗为诸寨之门户，以高临下，捕者束手无策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6"/>
      </w:r>
      <w:r>
        <w:rPr>
          <w:rFonts w:hint="eastAsia"/>
          <w:sz w:val="28"/>
          <w:szCs w:val="36"/>
          <w:lang w:val="en-US" w:eastAsia="zh-CN"/>
        </w:rPr>
        <w:t>。辛卯九月，一星会宁文龙、林珍、黄徽印战大清兵汀州镇副将王之纲、守备黄通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7"/>
      </w:r>
      <w:r>
        <w:rPr>
          <w:rFonts w:hint="eastAsia"/>
          <w:sz w:val="28"/>
          <w:szCs w:val="36"/>
          <w:lang w:val="en-US" w:eastAsia="zh-CN"/>
        </w:rPr>
        <w:t>，一星与黄兵战，杀伤相当，而文龙所召林黄二将袖手不救，一星知文龙且败，乃同黄徽印、林珍解营去。一星等部经过宁化约二千人、秋毫无所犯。十月，王之纲遣副将高守贵取道宁化,追剿昊,林等至尝坪龙西山。一星兵卒皆上下崖壁如猿猱，飞弹雨注,大清兵不敢逼而还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8"/>
      </w:r>
      <w:r>
        <w:rPr>
          <w:rFonts w:hint="eastAsia"/>
          <w:sz w:val="28"/>
          <w:szCs w:val="36"/>
          <w:lang w:val="en-US" w:eastAsia="zh-CN"/>
        </w:rPr>
        <w:t>。辛卯，郑成功围漳州，一星于延平应之，后至云霄结寨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9"/>
      </w:r>
      <w:r>
        <w:rPr>
          <w:rFonts w:hint="eastAsia"/>
          <w:sz w:val="28"/>
          <w:szCs w:val="36"/>
          <w:lang w:val="en-US" w:eastAsia="zh-CN"/>
        </w:rPr>
        <w:t>。壬戊三月，王之纲破其三寨，一星退走，后复结寨夏阳乡，聚众万人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10"/>
      </w:r>
      <w:r>
        <w:rPr>
          <w:rFonts w:hint="eastAsia"/>
          <w:sz w:val="28"/>
          <w:szCs w:val="36"/>
          <w:lang w:val="en-US" w:eastAsia="zh-CN"/>
        </w:rPr>
        <w:t>。甲午四月初一，郑成功遣其官邓会招一星，授伯爵，用永历年号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11"/>
      </w:r>
      <w:r>
        <w:rPr>
          <w:rFonts w:hint="eastAsia"/>
          <w:sz w:val="28"/>
          <w:szCs w:val="36"/>
          <w:lang w:val="en-US" w:eastAsia="zh-CN"/>
        </w:rPr>
        <w:t>。后大清兵破一星与萧芬萧凤于夏阳，一星于九月十三日由贡川杉溪过河，大清兵五路合围，一星溃走瓦溪山。大清兵获一星将邓满，知一星在死溪深山之中，乃派兵合围，一星为千总柴自新所杀。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12"/>
      </w:r>
      <w:r>
        <w:rPr>
          <w:rFonts w:hint="eastAsia"/>
          <w:sz w:val="28"/>
          <w:szCs w:val="36"/>
          <w:lang w:val="en-US" w:eastAsia="zh-CN"/>
        </w:rPr>
        <w:t>或曰为侯全授计使柴自新杀于归化之白莲意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13"/>
      </w:r>
      <w:r>
        <w:rPr>
          <w:rFonts w:hint="eastAsia"/>
          <w:sz w:val="28"/>
          <w:szCs w:val="36"/>
          <w:lang w:val="en-US" w:eastAsia="zh-CN"/>
        </w:rPr>
        <w:t>，李世熊言一星为其党林翼阳所卖，不知孰是</w:t>
      </w:r>
      <w:r>
        <w:rPr>
          <w:rStyle w:val="5"/>
          <w:rFonts w:hint="eastAsia"/>
          <w:sz w:val="28"/>
          <w:szCs w:val="36"/>
          <w:lang w:val="en-US" w:eastAsia="zh-CN"/>
        </w:rPr>
        <w:footnoteReference w:id="14"/>
      </w:r>
      <w:r>
        <w:rPr>
          <w:rFonts w:hint="eastAsia"/>
          <w:sz w:val="28"/>
          <w:szCs w:val="36"/>
          <w:lang w:val="en-US" w:eastAsia="zh-CN"/>
        </w:rPr>
        <w:t>。</w:t>
      </w:r>
    </w:p>
    <w:p w14:paraId="1B8AFA48">
      <w:p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参考资料：</w:t>
      </w:r>
    </w:p>
    <w:p w14:paraId="655C667F">
      <w:p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钱海岳《南明史》</w:t>
      </w:r>
    </w:p>
    <w:p w14:paraId="16B2DC30">
      <w:p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李世熊《寇变纪》</w:t>
      </w:r>
    </w:p>
    <w:p w14:paraId="751D6937">
      <w:p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周亮工《周亮工全集》</w:t>
      </w:r>
    </w:p>
    <w:p w14:paraId="0C267714">
      <w:pPr>
        <w:ind w:firstLine="560" w:firstLineChars="20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佟国器《三抚捷功奏疏》</w:t>
      </w:r>
    </w:p>
    <w:p w14:paraId="20249770">
      <w:pPr>
        <w:ind w:firstLine="560" w:firstLineChars="20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佟国器《三抚密奏疏稿》</w:t>
      </w:r>
    </w:p>
    <w:p w14:paraId="5B73F9F1">
      <w:pPr>
        <w:ind w:firstLine="560" w:firstLineChars="200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连城璧《蹇愚集》</w:t>
      </w:r>
    </w:p>
    <w:p w14:paraId="2E88D105">
      <w:p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李世熊《宁化县志》</w:t>
      </w:r>
    </w:p>
    <w:p w14:paraId="470E3E6E">
      <w:p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同治《延平府志》</w:t>
      </w:r>
    </w:p>
    <w:p w14:paraId="6A1DB2C1">
      <w:pPr>
        <w:ind w:firstLine="560" w:firstLineChars="20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乾隆《建宁县志》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30">
    <w:p>
      <w:r>
        <w:separator/>
      </w:r>
    </w:p>
  </w:footnote>
  <w:footnote w:type="continuationSeparator" w:id="31">
    <w:p>
      <w:r>
        <w:continuationSeparator/>
      </w:r>
    </w:p>
  </w:footnote>
  <w:footnote w:id="0">
    <w:p w14:paraId="2D4F90C1">
      <w:pPr>
        <w:pStyle w:val="2"/>
        <w:snapToGrid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ootnoteRef/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钱海岳《南明史》卷66，列传42，《建宁县志》卷十寇警6b页，乾隆二十四年本。</w:t>
      </w:r>
    </w:p>
  </w:footnote>
  <w:footnote w:id="1">
    <w:p w14:paraId="0E1885FD">
      <w:pPr>
        <w:pStyle w:val="2"/>
        <w:snapToGrid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ootnoteRef/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李世熊《寇变纪》，《清史资料》第一辑第45页。</w:t>
      </w:r>
    </w:p>
  </w:footnote>
  <w:footnote w:id="2">
    <w:p w14:paraId="7573CB6C">
      <w:pPr>
        <w:pStyle w:val="2"/>
        <w:snapToGrid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ootnoteRef/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题为塘报擒斩积年渠逵查明题报事》，佟国器《三抚捷功奏疏》第16a页，国家图书馆藏，此外《延平府志》、《归化县志》等地方志亦有记录，此处不赘述。</w:t>
      </w:r>
    </w:p>
  </w:footnote>
  <w:footnote w:id="3">
    <w:p w14:paraId="0F95A635">
      <w:pPr>
        <w:pStyle w:val="2"/>
        <w:snapToGrid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ootnoteRef/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李世熊《寇变纪》，《清史资料》第一辑第45页。德化王起兵详情见林时对《</w:t>
      </w:r>
      <w:r>
        <w:rPr>
          <w:rFonts w:ascii="宋体" w:hAnsi="宋体" w:eastAsia="宋体" w:cs="宋体"/>
          <w:sz w:val="24"/>
          <w:szCs w:val="24"/>
        </w:rPr>
        <w:t>荷牐丛谈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》卷四“</w:t>
      </w:r>
      <w:r>
        <w:rPr>
          <w:rFonts w:ascii="宋体" w:hAnsi="宋体" w:eastAsia="宋体" w:cs="宋体"/>
          <w:sz w:val="24"/>
          <w:szCs w:val="24"/>
        </w:rPr>
        <w:t>汀、邵群盗并起，据延、建，奉德化王慈烨为帅，踞将军寨，破大田、尤溪，攻顺昌、将乐，闽邮为阻。戊子冬，北兵再入闽，破建宁，屠之。德化王被获，督师刘中藻守福宁州，援绝服毒死。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</w:p>
  </w:footnote>
  <w:footnote w:id="4">
    <w:p w14:paraId="0C226443">
      <w:pPr>
        <w:pStyle w:val="2"/>
        <w:snapToGrid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footnoteRef/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（清） 傅尔泰 著《延平府志》卷十一，同治12年徐震耀刻本，第22页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</w:footnote>
  <w:footnote w:id="5">
    <w:p w14:paraId="0EF16261">
      <w:pPr>
        <w:pStyle w:val="2"/>
        <w:snapToGrid w:val="0"/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ascii="宋体" w:hAnsi="宋体" w:eastAsia="宋体" w:cs="宋体"/>
          <w:sz w:val="24"/>
          <w:szCs w:val="24"/>
        </w:rPr>
        <w:footnoteRef/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李世熊《寇变纪》，《清史资料》第一辑第45页，同见李世熊《宁化县志》卷七寇变纪第447页。</w:t>
      </w:r>
    </w:p>
  </w:footnote>
  <w:footnote w:id="6">
    <w:p w14:paraId="089D6D09">
      <w:pPr>
        <w:pStyle w:val="2"/>
        <w:snapToGrid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ootnoteRef/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（清） 傅尔泰 著《延平府志》卷十一，同治12年徐震耀刻本，第22页。</w:t>
      </w:r>
    </w:p>
  </w:footnote>
  <w:footnote w:id="7">
    <w:p w14:paraId="4DB7C629">
      <w:pPr>
        <w:pStyle w:val="2"/>
        <w:snapToGrid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ootnoteRef/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宁化县志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谓十月，《寇变纪》谓九月，今从后者。</w:t>
      </w:r>
    </w:p>
  </w:footnote>
  <w:footnote w:id="8">
    <w:p w14:paraId="22B90B6E">
      <w:pPr>
        <w:pStyle w:val="2"/>
        <w:snapToGrid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footnoteRef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李世熊《寇变纪》，《清史资料》第一辑第45页。</w:t>
      </w:r>
    </w:p>
  </w:footnote>
  <w:footnote w:id="9">
    <w:p w14:paraId="3E646375">
      <w:pPr>
        <w:pStyle w:val="2"/>
        <w:snapToGrid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ootnoteRef/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周在浚《周亮工行述》：“建宁有陈和尚之乱，则委公曰：以建南讨之。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延平有吴赛娘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，邵武有耿虎之乱，则委公曰：代某守建道，而以其兵进战”，《周亮工全集》2第998页，</w:t>
      </w:r>
      <w:r>
        <w:rPr>
          <w:rFonts w:hint="eastAsia" w:ascii="宋体" w:hAnsi="宋体" w:eastAsia="宋体" w:cs="宋体"/>
          <w:sz w:val="24"/>
          <w:szCs w:val="24"/>
        </w:rPr>
        <w:t>《题为塘报擒斩积年渠逵查明题报事》，佟国器《三抚</w:t>
      </w:r>
      <w:bookmarkStart w:id="0" w:name="_GoBack"/>
      <w:r>
        <w:rPr>
          <w:rFonts w:hint="eastAsia" w:ascii="宋体" w:hAnsi="宋体" w:eastAsia="宋体" w:cs="宋体"/>
          <w:sz w:val="24"/>
          <w:szCs w:val="24"/>
        </w:rPr>
        <w:t>捷功奏疏》16a，国家图书馆藏。</w:t>
      </w:r>
    </w:p>
    <w:bookmarkEnd w:id="0"/>
  </w:footnote>
  <w:footnote w:id="10">
    <w:p w14:paraId="19D407CB">
      <w:pPr>
        <w:pStyle w:val="2"/>
        <w:snapToGrid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ootnoteRef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《题为塘报擒斩积年渠逵查明题报事》，佟国器《三抚捷功奏疏》第16b页，</w:t>
      </w:r>
    </w:p>
  </w:footnote>
  <w:footnote w:id="11">
    <w:p w14:paraId="29666583">
      <w:pPr>
        <w:pStyle w:val="2"/>
        <w:snapToGrid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ootnoteRef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《密奏海上抚后情形》佟国器《三抚密奏疏稿》抚闽上，第9b-10a,《题为塘报擒斩积年渠逵查明题报事》，佟国器《三抚捷功奏疏》第20b页，《丁酋四月四月十九疏》，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连城璧《蹇愚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集</w:t>
      </w:r>
      <w:r>
        <w:rPr>
          <w:rFonts w:hint="default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。此处伯爵与官职当为永历七年永历使者至厦门所授予，见杨英《先王实录》。</w:t>
      </w:r>
    </w:p>
  </w:footnote>
  <w:footnote w:id="12">
    <w:p w14:paraId="68E6B502">
      <w:pPr>
        <w:pStyle w:val="2"/>
        <w:snapToGrid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ootnoteRef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《题为塘报擒斩积年渠逵查明题报事》，佟国器《三抚捷功奏疏》。</w:t>
      </w:r>
    </w:p>
  </w:footnote>
  <w:footnote w:id="13">
    <w:p w14:paraId="6A1E4B3C">
      <w:pPr>
        <w:pStyle w:val="2"/>
        <w:snapToGrid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ootnoteRef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同上文，又白莲意当为白莲驿，华廷献《闽游月记》：“</w:t>
      </w:r>
      <w:r>
        <w:rPr>
          <w:rFonts w:ascii="宋体" w:hAnsi="宋体" w:eastAsia="宋体" w:cs="宋体"/>
          <w:b/>
          <w:bCs/>
          <w:sz w:val="24"/>
          <w:szCs w:val="24"/>
        </w:rPr>
        <w:t>由顺昌从陆至白莲驿</w:t>
      </w:r>
      <w:r>
        <w:rPr>
          <w:rFonts w:ascii="宋体" w:hAnsi="宋体" w:eastAsia="宋体" w:cs="宋体"/>
          <w:sz w:val="24"/>
          <w:szCs w:val="24"/>
        </w:rPr>
        <w:t>，东为将乐、西为归化。时清和将尽，或云例忌月杪、或云例忌五月；余总不暇顾，遂于朔日莅任。孤城斗绝，四面皆山。忆初至宁城遇王子房，每讽「一片孤城万仞山」之句；今再讽矣。近邑为铁岭，山形相峙如龟蛇；龟山先生庐舍邱陇，依稀在焉。更忆宁为昌黎故都；愚至谫劣，抑何与前哲有缘耶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</w:p>
  </w:footnote>
  <w:footnote w:id="14">
    <w:p w14:paraId="17678554">
      <w:pPr>
        <w:pStyle w:val="2"/>
        <w:snapToGrid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ootnoteRef/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 李世熊《寇变纪》，《清史资料》第一辑第45页。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30"/>
    <w:footnote w:id="3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C61A9C"/>
    <w:rsid w:val="56F026B0"/>
    <w:rsid w:val="71C5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uiPriority w:val="0"/>
    <w:pPr>
      <w:snapToGrid w:val="0"/>
      <w:jc w:val="left"/>
    </w:pPr>
    <w:rPr>
      <w:sz w:val="18"/>
    </w:rPr>
  </w:style>
  <w:style w:type="character" w:styleId="5">
    <w:name w:val="footnote reference"/>
    <w:basedOn w:val="4"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391</Words>
  <Characters>391</Characters>
  <Lines>0</Lines>
  <Paragraphs>0</Paragraphs>
  <TotalTime>429</TotalTime>
  <ScaleCrop>false</ScaleCrop>
  <LinksUpToDate>false</LinksUpToDate>
  <CharactersWithSpaces>391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2025-12-01T03:52:00Z</dcterms:created>
  <dc:creator>xx</dc:creator>
  <cp:lastModifiedBy>xx</cp:lastModifiedBy>
  <dcterms:modified xsi:type="dcterms:W3CDTF">2025-12-01T13:46:18Z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6B9F2E1B932E4A2D8F93F209A7477872_11</vt:lpwstr>
  </property>
  <property fmtid="{D5CDD505-2E9C-101B-9397-08002B2CF9AE}" pid="4" name="KSOTemplateDocerSaveRecord">
    <vt:lpwstr>eyJoZGlkIjoiZDNlMzU2YmZhYTIxMzI2MjZhMzhhNTMyZWI3ZThkYTUiLCJ1c2VySWQiOiI0NzQwMTAwMjkifQ==</vt:lpwstr>
  </property>
</Properties>
</file>