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82E98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明史列传补.杨时宁传</w:t>
      </w:r>
    </w:p>
    <w:p w14:paraId="2565E25D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作者：那个谁</w:t>
      </w:r>
    </w:p>
    <w:p w14:paraId="1C5B9C9D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杨时宁，字子安，号小林。河南开封府祥符县人</w:t>
      </w:r>
      <w:bookmarkStart w:id="0" w:name="_GoBack"/>
      <w:bookmarkEnd w:id="0"/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，籍江西鄱阳。嘉靖十六年十二月生，万历三十七年十一月卒，年七十三。性沉毅，有干略，毕生勋业萃于边圉。</w:t>
      </w:r>
    </w:p>
    <w:p w14:paraId="735FE6BC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 xml:space="preserve">嘉靖四十年，时宁举河南乡试第七十八名。隆庆二年，成进士，殿试三甲第七十五名，初授山西曲沃知县。县治繁剧，时宁厘剔积弊，兴修水利，民德之。  </w:t>
      </w:r>
    </w:p>
    <w:p w14:paraId="473A932D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隆庆五年，擢吏部主事，始预中枢机务。万历元年京察，坐事降两淮盐运司判官。时宁处之泰然，厘盐政、绝私贩，淮扬商民称便。</w:t>
      </w:r>
    </w:p>
    <w:p w14:paraId="4069EC98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万历十四年正月，起南京兵部武选司主事，署郎中事，寻迁陕西按察司佥事。明年八月，转山西按察司佥事，旋晋陕西布政司右参议。</w:t>
      </w:r>
    </w:p>
    <w:p w14:paraId="18F48A67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二十年，迁陕西按察司副使，治兵固原。会宁夏副总兵哱拜勾蒙古叛，全陕震动。时宁当机立断，疏请“全陕钱粮听其挪借，所属官兵听其委用”，且促户、兵二部速发饷银以励士气。既而亲督兵助剿，调度馈饷无阙。十一月，兵变平，以从征督饷功，赐银币，晋佥都御史，巡抚宁夏。</w:t>
      </w:r>
    </w:p>
    <w:p w14:paraId="6B2387FB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时宁为官宽而不松，其时，宁夏虽隶边镇，然其偏安一隅，虏每至，官兵以堡自结御敌，实不为万全之计。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巡抚任内，时宁厉兵秣马、积粮储备、谨固边防。</w:t>
      </w:r>
    </w:p>
    <w:p w14:paraId="14453079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二十四年九月，蒙古入寇，宁督官兵奋力击之，斩二百七十五级，兵部勘实以闻。明年七月，论功加右副都御史，荫一子锦衣卫试百户，赏银五十两、纻丝四表里。</w:t>
      </w:r>
    </w:p>
    <w:p w14:paraId="7CB25124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二十七年，河套蒙古犯延绥、宁夏，时宁会两镇兵御之，斩三千余级，数捣其驻地，边患少息。闰四月，再录战功，赏赉有加。</w:t>
      </w:r>
    </w:p>
    <w:p w14:paraId="70D11526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二十八年，以病乞休，不允。会西路参将吴宗尧当寇犯中卫时按兵不动，时宁劾其“庸怯误事”，宗尧遂解职，军威为之一振。</w:t>
      </w:r>
    </w:p>
    <w:p w14:paraId="64206E76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二十九年三月，擢兵部右侍郎兼右佥都御史，总督宣大山西等处。到任即条议“修险隘、增将领、议升赏”三事，兵部覆准施行。</w:t>
      </w:r>
    </w:p>
    <w:p w14:paraId="4FC4F07F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 xml:space="preserve">三十年闰二月，以二十七年宁夏两捷，晋兵部尚书兼右副都御史，仍总督宣大，赏银四十两、大红飞鱼一袭，荫一子指挥佥事世袭。时宣大山西三镇为京师屏蔽，边务至重，时宁以“守边先审形胜”，于三十年组织三镇文武将吏实地踏勘，图绘山川、城堡、边墙，详载兵马、钱粮、互市诸事，一图一说，纲举目张。   </w:t>
      </w:r>
    </w:p>
    <w:p w14:paraId="6D7A44BC">
      <w:pPr>
        <w:keepNext w:val="0"/>
        <w:keepLines w:val="0"/>
        <w:widowControl/>
        <w:suppressLineNumbers w:val="0"/>
        <w:spacing w:line="360" w:lineRule="auto"/>
        <w:ind w:firstLine="720" w:firstLineChars="30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三十一年十二月，《宣大山西三镇图说》成，进呈御览，上嘉纳之。是书凡三卷，首列总图，次分镇、路、城堡逐级详述，保留明蒙互市、防务建设等珍贵史料，为后世治边者所重。</w:t>
      </w:r>
    </w:p>
    <w:p w14:paraId="4502A435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三十二年四月，三年考满，加太子太保。</w:t>
      </w:r>
    </w:p>
    <w:p w14:paraId="32403290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三十三年十一月，晋太子太傅，赏银四十两、大红纻丝三表里。时宁居边十余年，与蒙古部落谨守款贡之约，岁时赏赉皆循旧制，边境晏然。三十四年，致仕归，郑汝璧代之。三十七年卒，赠谥如例。</w:t>
      </w:r>
    </w:p>
    <w:p w14:paraId="0605CBE6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时宁精熟边事，其仕宦多在边地，所著尚有《宁夏奏议》、《督抚奏议》，皆关边务要略。其治边，务在实政，不尚虚文；编图，详于实效，不为浮饰，可谓明季边臣之翘楚。</w:t>
      </w:r>
    </w:p>
    <w:p w14:paraId="7C15ED76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赞曰：明季边患，北虏为剧，宣大山西三镇，屏蔽畿甸，安危所系。时宁起自县令，累功至督师，平哱拜之乱，固宁夏之防，镇抚宣大，边尘不扰。所撰《图说》，图实说详，为筹边之鸿宝。盖其沉毅有谋，躬亲实务，故能建竖如是。视世之徒尚空谈者，远矣！</w:t>
      </w:r>
    </w:p>
    <w:p w14:paraId="57BD809D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</w:p>
    <w:p w14:paraId="159E5A4E">
      <w:pPr>
        <w:rPr>
          <w:rFonts w:hint="default" w:eastAsiaTheme="minorEastAsia"/>
          <w:sz w:val="22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sz w:val="22"/>
          <w:szCs w:val="28"/>
          <w:lang w:val="en-US" w:eastAsia="zh-CN"/>
        </w:rPr>
        <w:t xml:space="preserve"> 参考资料：《明神宗实录》、《宣大山西三镇图说》、《隆庆二年登科录》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7E4FED"/>
    <w:rsid w:val="2B3758CC"/>
    <w:rsid w:val="5399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2025-12-12T16:00:09Z</dcterms:created>
  <dc:creator>Administrator</dc:creator>
  <cp:lastModifiedBy>那个谁</cp:lastModifiedBy>
  <dcterms:modified xsi:type="dcterms:W3CDTF">2025-12-12T16:24:56Z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eyJoZGlkIjoiMWU3YjU0ZjVkNTNmZTVlNzMyZTc1ODYzODVlODhlZTkiLCJ1c2VySWQiOiIzMDQ2Mzc4NDcifQ==</vt:lpwstr>
  </property>
  <property fmtid="{D5CDD505-2E9C-101B-9397-08002B2CF9AE}" pid="4" name="ICV">
    <vt:lpwstr>077633921CBD4F12B744E90F48060013_12</vt:lpwstr>
  </property>
</Properties>
</file>