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4615" w14:textId="77777777" w:rsidR="00A97762" w:rsidRDefault="00000000">
      <w:pPr>
        <w:rPr>
          <w:rFonts w:hint="eastAsia"/>
        </w:rPr>
      </w:pPr>
      <w:r>
        <w:rPr>
          <w:rFonts w:hint="eastAsia"/>
        </w:rPr>
        <w:t>补明史·袁黄传</w:t>
      </w:r>
    </w:p>
    <w:p w14:paraId="27988167" w14:textId="77777777" w:rsidR="00A97762" w:rsidRDefault="00000000">
      <w:pPr>
        <w:rPr>
          <w:rFonts w:hint="eastAsia"/>
        </w:rPr>
      </w:pPr>
      <w:r>
        <w:rPr>
          <w:rFonts w:hint="eastAsia"/>
        </w:rPr>
        <w:t>文/直江信纲</w:t>
      </w:r>
    </w:p>
    <w:p w14:paraId="20A903F1" w14:textId="77777777" w:rsidR="00A97762" w:rsidRDefault="00000000">
      <w:pPr>
        <w:rPr>
          <w:rFonts w:hint="eastAsia"/>
        </w:rPr>
      </w:pPr>
      <w:r>
        <w:rPr>
          <w:rFonts w:hint="eastAsia"/>
        </w:rPr>
        <w:t>袁黄，本名表，字坤仪，号学海，后改了凡，时人多以号称之，谓“了凡先生”。浙江嘉善人，嘉靖十二年生。先祖杞山，与黄子澄善，成祖</w:t>
      </w:r>
      <w:r>
        <w:t>下</w:t>
      </w:r>
      <w:r>
        <w:rPr>
          <w:rFonts w:hint="eastAsia"/>
        </w:rPr>
        <w:t>京师，图谋恢复，事败而亡，二十余年方归</w:t>
      </w:r>
      <w:r>
        <w:t>乡</w:t>
      </w:r>
      <w:r>
        <w:rPr>
          <w:rFonts w:hint="eastAsia"/>
        </w:rPr>
        <w:t>。祖祥、父仁，皆不仕，世以医为业。仁雅好儒学，尝就学于王守仁、王艮父子，颇有所得。</w:t>
      </w:r>
    </w:p>
    <w:p w14:paraId="0F08FEE2" w14:textId="77777777" w:rsidR="00A97762" w:rsidRDefault="00000000">
      <w:pPr>
        <w:rPr>
          <w:rFonts w:hint="eastAsia"/>
        </w:rPr>
      </w:pPr>
      <w:r>
        <w:rPr>
          <w:rFonts w:hint="eastAsia"/>
        </w:rPr>
        <w:t>黄幼而孤，从母命，弃举业而术岐黄。遇云南易者孔氏，言黄明年当补贡生，后以贡生为知县，黄乃就学。明年，果补贡生，考校名次、廪米斗石之数，一如孔氏所言。后遇云谷禅师，坐对辩难，黄叹服，益信释家言，改号了凡。乃发三千愿，撰《功过格》，逐日记己之功过。</w:t>
      </w:r>
      <w:r>
        <w:t>兢兢自守，</w:t>
      </w:r>
      <w:r>
        <w:rPr>
          <w:rFonts w:hint="eastAsia"/>
        </w:rPr>
        <w:t>遇人憎毁，恬然容受不校也。</w:t>
      </w:r>
    </w:p>
    <w:p w14:paraId="6726DEC5" w14:textId="77777777" w:rsidR="00A97762" w:rsidRDefault="00000000">
      <w:pPr>
        <w:rPr>
          <w:rFonts w:hint="eastAsia"/>
        </w:rPr>
      </w:pPr>
      <w:r>
        <w:rPr>
          <w:rFonts w:hint="eastAsia"/>
        </w:rPr>
        <w:t>万历五年会试，以策论忤试官，不第。</w:t>
      </w:r>
    </w:p>
    <w:p w14:paraId="593D0E05" w14:textId="6CFEC3C8" w:rsidR="00A97762" w:rsidRDefault="00000000">
      <w:pPr>
        <w:rPr>
          <w:rFonts w:hint="eastAsia"/>
        </w:rPr>
      </w:pPr>
      <w:r>
        <w:rPr>
          <w:rFonts w:hint="eastAsia"/>
        </w:rPr>
        <w:t>十四年中进士，</w:t>
      </w:r>
      <w:r w:rsidR="006D7150">
        <w:rPr>
          <w:rFonts w:hint="eastAsia"/>
        </w:rPr>
        <w:t>奉都察院札</w:t>
      </w:r>
      <w:r>
        <w:rPr>
          <w:rFonts w:hint="eastAsia"/>
        </w:rPr>
        <w:t>清核苏松钱粮，上《赋役</w:t>
      </w:r>
      <w:r w:rsidR="006D7150">
        <w:rPr>
          <w:rFonts w:hint="eastAsia"/>
        </w:rPr>
        <w:t>议</w:t>
      </w:r>
      <w:r>
        <w:rPr>
          <w:rFonts w:hint="eastAsia"/>
        </w:rPr>
        <w:t>》</w:t>
      </w:r>
      <w:r w:rsidR="007F1620">
        <w:rPr>
          <w:rFonts w:hint="eastAsia"/>
        </w:rPr>
        <w:t>五条</w:t>
      </w:r>
      <w:r>
        <w:rPr>
          <w:rFonts w:hint="eastAsia"/>
        </w:rPr>
        <w:t>，又请减免加派，为豪右所沮。</w:t>
      </w:r>
    </w:p>
    <w:p w14:paraId="164FC995" w14:textId="77777777" w:rsidR="00A97762" w:rsidRDefault="00000000">
      <w:pPr>
        <w:rPr>
          <w:rFonts w:hint="eastAsia"/>
        </w:rPr>
      </w:pPr>
      <w:r>
        <w:rPr>
          <w:rFonts w:hint="eastAsia"/>
        </w:rPr>
        <w:t>十六年知宝坻县。是年大水，黄捐俸济民，全活甚众。又请</w:t>
      </w:r>
      <w:r>
        <w:t>蠲</w:t>
      </w:r>
      <w:r>
        <w:rPr>
          <w:rFonts w:hint="eastAsia"/>
        </w:rPr>
        <w:t>免逋赋、加派万余两。潞王之国，供亿不赀，黄委曲调剂，事集而民不劳。刊《劝农书》《水利说》数千言，劝民稼穑，田土日辟。每断囚，以祸福因果谕，囚亦为之感泣。一夕狱墙圮，囚偃然，无逸者。</w:t>
      </w:r>
    </w:p>
    <w:p w14:paraId="0DF524F6" w14:textId="77777777" w:rsidR="00A97762" w:rsidRDefault="00000000">
      <w:pPr>
        <w:rPr>
          <w:rFonts w:hint="eastAsia"/>
        </w:rPr>
      </w:pPr>
      <w:r>
        <w:rPr>
          <w:rFonts w:hint="eastAsia"/>
        </w:rPr>
        <w:t>时蓟镇备虏，养主客兵二十余万，年例、屯田、民运诸项，岁耗银一百五十余万。黄乃条陈巡抚十策，以革虚费、汰冗员为要，人谓其知兵。</w:t>
      </w:r>
    </w:p>
    <w:p w14:paraId="10979DF4" w14:textId="77777777" w:rsidR="00A97762" w:rsidRDefault="00000000">
      <w:pPr>
        <w:rPr>
          <w:rFonts w:hint="eastAsia"/>
        </w:rPr>
      </w:pPr>
      <w:r>
        <w:rPr>
          <w:rFonts w:hint="eastAsia"/>
        </w:rPr>
        <w:t>二十年任兵部职方司主事。会倭酋丰臣秀吉起大兵十五万犯朝鲜，朝廷命将东征，以兵部左侍郎宋应昌为经略，宁远伯李成梁子如松提督军务，黄以军前赞画随应昌东行，亲诣天津、宝坻、山海关等处地方，申饬守臣，严海防、补阙员。入朝鲜，代应昌草来往文书，交结朝鲜君臣，督理粮秣、军械，运米十余万石于辽东。</w:t>
      </w:r>
    </w:p>
    <w:p w14:paraId="2393500A" w14:textId="77777777" w:rsidR="00A97762" w:rsidRDefault="00000000">
      <w:pPr>
        <w:rPr>
          <w:rFonts w:hint="eastAsia"/>
        </w:rPr>
      </w:pPr>
      <w:r>
        <w:rPr>
          <w:rFonts w:hint="eastAsia"/>
        </w:rPr>
        <w:t>二十一年正月，黄偕主事刘黄裳咨朝鲜王，劝朝鲜大兴义兵，袭倭之后。略曰：</w:t>
      </w:r>
    </w:p>
    <w:p w14:paraId="65726486" w14:textId="77777777" w:rsidR="00A97762" w:rsidRDefault="00000000">
      <w:pPr>
        <w:rPr>
          <w:rFonts w:hint="eastAsia"/>
        </w:rPr>
      </w:pPr>
      <w:r>
        <w:rPr>
          <w:rFonts w:hint="eastAsia"/>
        </w:rPr>
        <w:t>倭夷不道，长驱荐食，致尔君臣越在草莽，琐尾流离，何其困也！我大明皇帝，念尔二百年来恪守臣节，不惜万金之费，命将徂征。宜乘天威震叠，速招集义兵，各提一旅之师，共申九伐之志。</w:t>
      </w:r>
    </w:p>
    <w:p w14:paraId="70876129" w14:textId="77777777" w:rsidR="00A97762" w:rsidRDefault="00000000">
      <w:pPr>
        <w:rPr>
          <w:rFonts w:hint="eastAsia"/>
        </w:rPr>
      </w:pPr>
      <w:r>
        <w:rPr>
          <w:rFonts w:hint="eastAsia"/>
        </w:rPr>
        <w:t>今倭夷逞强，其势必亡，尔国虽微，其势必兴。我大国雄兵如虎如熊，无敌大炮一发千步，彼不量力，当成齑粉。经略宋沈机蓄谋，神鬼难测，提督李一腔忠义，</w:t>
      </w:r>
      <w:r>
        <w:rPr>
          <w:rFonts w:hint="eastAsia"/>
        </w:rPr>
        <w:lastRenderedPageBreak/>
        <w:t>百战余勇，有古名将风，二职素仗忠贞，同心协赞，誓灭此贼，以报天子。</w:t>
      </w:r>
    </w:p>
    <w:p w14:paraId="14A76519" w14:textId="77777777" w:rsidR="00A97762" w:rsidRDefault="00000000">
      <w:pPr>
        <w:rPr>
          <w:rFonts w:hint="eastAsia"/>
        </w:rPr>
      </w:pPr>
      <w:r>
        <w:rPr>
          <w:rFonts w:hint="eastAsia"/>
        </w:rPr>
        <w:t>我朝出令，不论我国尔国，但有人能擒斩平秀吉以下有名诸酋，封赏有差。须速传示各道臣民、义兵，已起者便为前进，未起者速为招集，或协力以挫其威武，或迭出以分其势，或邀其惰归，或断其饷道，诸所机宜，皆听自便。</w:t>
      </w:r>
    </w:p>
    <w:p w14:paraId="74DE25A7" w14:textId="77777777" w:rsidR="00A97762" w:rsidRDefault="00000000">
      <w:pPr>
        <w:rPr>
          <w:rFonts w:hint="eastAsia"/>
        </w:rPr>
      </w:pPr>
      <w:r>
        <w:rPr>
          <w:rFonts w:hint="eastAsia"/>
        </w:rPr>
        <w:t>明军纪律颇涣散，有往来军将劫夺朝鲜财物、毁坏驿站者。黄乃严申军法，令每驿置循环簿二扇，五日一换，有军情则飞马传达</w:t>
      </w:r>
      <w:r>
        <w:t>，逐驿画押</w:t>
      </w:r>
      <w:r>
        <w:rPr>
          <w:rFonts w:hint="eastAsia"/>
        </w:rPr>
        <w:t>，不得愆期；有不遵约束者，开名飞报，依令处斩。</w:t>
      </w:r>
    </w:p>
    <w:p w14:paraId="09577301" w14:textId="77777777" w:rsidR="00A97762" w:rsidRDefault="00000000">
      <w:pPr>
        <w:rPr>
          <w:rFonts w:hint="eastAsia"/>
        </w:rPr>
      </w:pPr>
      <w:r>
        <w:rPr>
          <w:rFonts w:hint="eastAsia"/>
        </w:rPr>
        <w:t>时朝野咸以为御倭当用南人，乃调吴惟忠、骆尚志、王必迪等戚家军旧将东征。至克平壤一役，吴惟忠先登，而提督李如松右北将，叙弟如柏、张世爵功最，军中南北之争渐</w:t>
      </w:r>
      <w:r>
        <w:t>萌</w:t>
      </w:r>
      <w:r>
        <w:rPr>
          <w:rFonts w:hint="eastAsia"/>
        </w:rPr>
        <w:t>。宋应昌、袁黄皆右南将，北军上首功，必谓之杀朝鲜人而剃头，伪为倭首。一日议功，黄与李如松相对而言曰：“老爷何为如此之事乎？”如松怒，攘臂大叱曰：“可恶老和尚，何处</w:t>
      </w:r>
      <w:r>
        <w:rPr>
          <w:rFonts w:ascii="Segoe UI Emoji" w:hAnsi="Segoe UI Emoji" w:cs="Segoe UI Emoji" w:hint="eastAsia"/>
        </w:rPr>
        <w:t>得闻此语？</w:t>
      </w:r>
      <w:r>
        <w:rPr>
          <w:rFonts w:hint="eastAsia"/>
        </w:rPr>
        <w:t>”黄曰：“此公论也。”其后，黄谢以闻之误，而北将亦叩头谢罪。如松出旗牌慰南军，调吴惟忠等北</w:t>
      </w:r>
      <w:r>
        <w:t>归守御</w:t>
      </w:r>
      <w:r>
        <w:rPr>
          <w:rFonts w:hint="eastAsia"/>
        </w:rPr>
        <w:t>，且谓“愿留者留，愿去者归”，南将意乃解。然</w:t>
      </w:r>
      <w:r>
        <w:t>如松</w:t>
      </w:r>
      <w:r>
        <w:rPr>
          <w:rFonts w:hint="eastAsia"/>
        </w:rPr>
        <w:t>、</w:t>
      </w:r>
      <w:r>
        <w:t>黄</w:t>
      </w:r>
      <w:r>
        <w:rPr>
          <w:rFonts w:hint="eastAsia"/>
        </w:rPr>
        <w:t>终不谐。黄之下人谓朝鲜大臣曰：“</w:t>
      </w:r>
      <w:r>
        <w:t>袁</w:t>
      </w:r>
      <w:r>
        <w:rPr>
          <w:rFonts w:hint="eastAsia"/>
        </w:rPr>
        <w:t>主事同年二百余人，布在台阁，此言必闻之，闻之则大事必生”。如松亦惴惴，闻锦衣卫指挥使、浙人黄应旸来朝鲜，叹曰：“吾之事，为功为罪，未可知也。”</w:t>
      </w:r>
    </w:p>
    <w:p w14:paraId="7AE3A03C" w14:textId="77777777" w:rsidR="00A97762" w:rsidRDefault="00000000">
      <w:pPr>
        <w:rPr>
          <w:rFonts w:hint="eastAsia"/>
        </w:rPr>
      </w:pPr>
      <w:r>
        <w:rPr>
          <w:rFonts w:hint="eastAsia"/>
        </w:rPr>
        <w:t>黄在朝鲜，与朝鲜人论文，逐节非毁朱熹《四书集注》，倡阳明之学，与亲友书曰“吾道学大肆于外国”。又好佛、道，持身如僧，垂念珠而临大军，入平壤而望云气。是以朝鲜</w:t>
      </w:r>
      <w:r>
        <w:t>君臣，</w:t>
      </w:r>
      <w:r>
        <w:rPr>
          <w:rFonts w:hint="eastAsia"/>
        </w:rPr>
        <w:t>多不喜黄。</w:t>
      </w:r>
    </w:p>
    <w:p w14:paraId="09872AD1" w14:textId="77777777" w:rsidR="00A97762" w:rsidRDefault="00000000">
      <w:pPr>
        <w:rPr>
          <w:rFonts w:hint="eastAsia"/>
        </w:rPr>
      </w:pPr>
      <w:r>
        <w:rPr>
          <w:rFonts w:hint="eastAsia"/>
        </w:rPr>
        <w:t>二十一年京察，吏部尚书孙鑨、考功司郎中赵南星主事，大黜政府私人，赵志皋之弟亦在黜列。拾遗时，乃有言官劾员外郎虞淳熙、职方司郎中杨于廷、主事袁黄三人</w:t>
      </w:r>
      <w:r>
        <w:t>，</w:t>
      </w:r>
      <w:r>
        <w:rPr>
          <w:rFonts w:hint="eastAsia"/>
        </w:rPr>
        <w:t>谓黄著《四书删正》诋毁朱熹，左道非儒，</w:t>
      </w:r>
      <w:r>
        <w:t>又尝</w:t>
      </w:r>
      <w:r>
        <w:rPr>
          <w:rFonts w:hint="eastAsia"/>
        </w:rPr>
        <w:t>于宝坻知县任上纵民逋税。或曰李如松亦以十罪劾黄。淳熙，鑨乡人也；于廷有功于宁夏未叙；黄于朝鲜军前未归。孙鑨疏辩，谓袁黄可黜，虞、杨二人无过。帝闻言大怒，以鑨、南星专权结党，黜之，救南星者皆不获免，言官为之一空。</w:t>
      </w:r>
    </w:p>
    <w:p w14:paraId="218241B6" w14:textId="29750AA2" w:rsidR="00A97762" w:rsidRDefault="00000000">
      <w:pPr>
        <w:rPr>
          <w:rFonts w:hint="eastAsia"/>
        </w:rPr>
      </w:pPr>
      <w:r>
        <w:rPr>
          <w:rFonts w:hint="eastAsia"/>
        </w:rPr>
        <w:t>黄</w:t>
      </w:r>
      <w:r>
        <w:t>以布衣自东还，</w:t>
      </w:r>
      <w:r>
        <w:rPr>
          <w:rFonts w:hint="eastAsia"/>
        </w:rPr>
        <w:t>隐居吴江，自号“赵田逸农”，闭户以著书为业。撰《了凡四训》《功过格》《立命篇》等善书，劝民向善，至今仍有依其“功过格”行事者。于举业之书，亦多著述，如《群书备考》《游艺墅文规》《古今文苑举业精华》等。</w:t>
      </w:r>
      <w:r>
        <w:rPr>
          <w:rFonts w:hint="eastAsia"/>
        </w:rPr>
        <w:lastRenderedPageBreak/>
        <w:t>万历三十四年卒，年七十四。</w:t>
      </w:r>
      <w:r w:rsidR="00265FA1">
        <w:rPr>
          <w:rFonts w:hint="eastAsia"/>
        </w:rPr>
        <w:t>子俨，天启五年进士，知高要县。</w:t>
      </w:r>
      <w:r>
        <w:rPr>
          <w:rFonts w:hint="eastAsia"/>
        </w:rPr>
        <w:t>天启中，赵南星为吏部尚书，议追叙袁黄征倭功，赠尚宝司少卿。</w:t>
      </w:r>
    </w:p>
    <w:p w14:paraId="1D1F95EC" w14:textId="77777777" w:rsidR="00A97762" w:rsidRDefault="00000000">
      <w:pPr>
        <w:widowControl/>
        <w:spacing w:line="240" w:lineRule="auto"/>
        <w:jc w:val="left"/>
        <w:rPr>
          <w:rFonts w:hint="eastAsia"/>
        </w:rPr>
      </w:pPr>
      <w:r>
        <w:br w:type="page"/>
      </w:r>
    </w:p>
    <w:p w14:paraId="5FC7380E" w14:textId="77777777" w:rsidR="00A97762" w:rsidRDefault="00000000">
      <w:pPr>
        <w:rPr>
          <w:rFonts w:hint="eastAsia"/>
        </w:rPr>
      </w:pPr>
      <w:r>
        <w:rPr>
          <w:rFonts w:hint="eastAsia"/>
        </w:rPr>
        <w:lastRenderedPageBreak/>
        <w:t>参考文献</w:t>
      </w:r>
    </w:p>
    <w:p w14:paraId="78BE4933" w14:textId="77777777" w:rsidR="00A97762" w:rsidRDefault="00000000">
      <w:pPr>
        <w:rPr>
          <w:rFonts w:hint="eastAsia"/>
        </w:rPr>
      </w:pPr>
      <w:r>
        <w:rPr>
          <w:rFonts w:hint="eastAsia"/>
        </w:rPr>
        <w:t>《了凡四训》《立命篇》《游艺塾文规》</w:t>
      </w:r>
    </w:p>
    <w:p w14:paraId="370B1ABF" w14:textId="77777777" w:rsidR="00A97762" w:rsidRDefault="00000000">
      <w:pPr>
        <w:rPr>
          <w:rFonts w:hint="eastAsia"/>
        </w:rPr>
      </w:pPr>
      <w:r>
        <w:rPr>
          <w:rFonts w:hint="eastAsia"/>
        </w:rPr>
        <w:t>《明实录》《朝鲜宣祖实录·宣祖修正实录》《明史纪事本末》</w:t>
      </w:r>
    </w:p>
    <w:p w14:paraId="400DD68C" w14:textId="77777777" w:rsidR="00A97762" w:rsidRDefault="00000000">
      <w:pPr>
        <w:rPr>
          <w:rFonts w:hint="eastAsia"/>
        </w:rPr>
      </w:pPr>
      <w:r>
        <w:rPr>
          <w:rFonts w:hint="eastAsia"/>
        </w:rPr>
        <w:t>《罪惟录·李贽袁黄传》《居士传·袁了凡传》《愚庵小集·袁黄传》《寓林集·孙鑨传》</w:t>
      </w:r>
    </w:p>
    <w:p w14:paraId="6DEC856F" w14:textId="77777777" w:rsidR="00A97762" w:rsidRDefault="00000000">
      <w:pPr>
        <w:rPr>
          <w:rFonts w:hint="eastAsia"/>
        </w:rPr>
      </w:pPr>
      <w:r>
        <w:rPr>
          <w:rFonts w:hint="eastAsia"/>
        </w:rPr>
        <w:t>《乾隆宝坻县志》《浙江通志》</w:t>
      </w:r>
    </w:p>
    <w:p w14:paraId="25C7E597" w14:textId="77777777" w:rsidR="00A97762" w:rsidRDefault="00000000">
      <w:pPr>
        <w:rPr>
          <w:rFonts w:hint="eastAsia"/>
        </w:rPr>
      </w:pPr>
      <w:r>
        <w:rPr>
          <w:rFonts w:hint="eastAsia"/>
        </w:rPr>
        <w:t>《中国善书研究》酒井忠夫</w:t>
      </w:r>
    </w:p>
    <w:p w14:paraId="00BFABD9" w14:textId="77777777" w:rsidR="00A97762" w:rsidRDefault="00000000">
      <w:pPr>
        <w:rPr>
          <w:rFonts w:hint="eastAsia"/>
        </w:rPr>
      </w:pPr>
      <w:r>
        <w:rPr>
          <w:rFonts w:hint="eastAsia"/>
        </w:rPr>
        <w:t>《万历援朝战争初期的内部纷争：以赞画袁黄为中心的考察》张金奎</w:t>
      </w:r>
    </w:p>
    <w:p w14:paraId="54305D14" w14:textId="77777777" w:rsidR="00A97762" w:rsidRDefault="00000000">
      <w:pPr>
        <w:rPr>
          <w:rFonts w:hint="eastAsia"/>
        </w:rPr>
      </w:pPr>
      <w:r>
        <w:rPr>
          <w:rFonts w:hint="eastAsia"/>
        </w:rPr>
        <w:t>《万历朝鲜战争初期袁黄朝鲜行迹新考》齐畅</w:t>
      </w:r>
    </w:p>
    <w:p w14:paraId="5E6F996A" w14:textId="77777777" w:rsidR="00A97762" w:rsidRDefault="00000000">
      <w:pPr>
        <w:rPr>
          <w:rFonts w:hint="eastAsia"/>
        </w:rPr>
      </w:pPr>
      <w:r>
        <w:rPr>
          <w:rFonts w:hint="eastAsia"/>
        </w:rPr>
        <w:t>《袁黄万历援朝战争史事钩沉》刁书仁</w:t>
      </w:r>
    </w:p>
    <w:sectPr w:rsidR="00A977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62"/>
    <w:rsid w:val="00265FA1"/>
    <w:rsid w:val="00283FBC"/>
    <w:rsid w:val="006D7150"/>
    <w:rsid w:val="007F1620"/>
    <w:rsid w:val="00A9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accent1" w:t1="dark1" w:bg2="accent1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9BB3"/>
  <w15:docId w15:val="{13A28A23-27EC-4F00-99BF-09FF784C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宋体" w:eastAsia="宋体" w:hAnsi="宋体"/>
      <w:sz w:val="24"/>
      <w:szCs w:val="28"/>
    </w:rPr>
  </w:style>
  <w:style w:type="paragraph" w:styleId="1">
    <w:name w:val="heading 1"/>
    <w:basedOn w:val="a"/>
    <w:link w:val="10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/>
      <w:color w:val="0F4761"/>
      <w:sz w:val="48"/>
      <w:szCs w:val="48"/>
    </w:rPr>
  </w:style>
  <w:style w:type="paragraph" w:styleId="2">
    <w:name w:val="heading 2"/>
    <w:basedOn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等线 Light" w:eastAsia="等线 Light" w:hAnsi="等线 Light"/>
      <w:color w:val="0F4761"/>
      <w:sz w:val="40"/>
      <w:szCs w:val="40"/>
    </w:rPr>
  </w:style>
  <w:style w:type="paragraph" w:styleId="3">
    <w:name w:val="heading 3"/>
    <w:basedOn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="等线 Light" w:eastAsia="等线 Light" w:hAnsi="等线 Light"/>
      <w:color w:val="0F4761"/>
      <w:sz w:val="32"/>
      <w:szCs w:val="32"/>
    </w:rPr>
  </w:style>
  <w:style w:type="paragraph" w:styleId="4">
    <w:name w:val="heading 4"/>
    <w:basedOn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="等线" w:eastAsia="等线" w:hAnsi="等线"/>
      <w:color w:val="0F4761"/>
      <w:sz w:val="28"/>
    </w:rPr>
  </w:style>
  <w:style w:type="paragraph" w:styleId="5">
    <w:name w:val="heading 5"/>
    <w:basedOn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="等线" w:eastAsia="等线" w:hAnsi="等线"/>
      <w:color w:val="0F4761"/>
      <w:szCs w:val="24"/>
    </w:rPr>
  </w:style>
  <w:style w:type="paragraph" w:styleId="6">
    <w:name w:val="heading 6"/>
    <w:basedOn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="等线" w:eastAsia="等线" w:hAnsi="等线"/>
      <w:b/>
      <w:bCs/>
      <w:color w:val="0F4761"/>
    </w:rPr>
  </w:style>
  <w:style w:type="paragraph" w:styleId="7">
    <w:name w:val="heading 7"/>
    <w:basedOn w:val="a"/>
    <w:link w:val="70"/>
    <w:uiPriority w:val="9"/>
    <w:qFormat/>
    <w:pPr>
      <w:keepNext/>
      <w:keepLines/>
      <w:spacing w:before="40"/>
      <w:outlineLvl w:val="6"/>
    </w:pPr>
    <w:rPr>
      <w:rFonts w:ascii="等线" w:eastAsia="等线" w:hAnsi="等线"/>
      <w:b/>
      <w:bCs/>
      <w:color w:val="595959"/>
    </w:rPr>
  </w:style>
  <w:style w:type="paragraph" w:styleId="8">
    <w:name w:val="heading 8"/>
    <w:basedOn w:val="a"/>
    <w:link w:val="80"/>
    <w:uiPriority w:val="9"/>
    <w:qFormat/>
    <w:pPr>
      <w:keepNext/>
      <w:keepLines/>
      <w:outlineLvl w:val="7"/>
    </w:pPr>
    <w:rPr>
      <w:rFonts w:ascii="等线" w:eastAsia="等线" w:hAnsi="等线"/>
      <w:color w:val="595959"/>
    </w:rPr>
  </w:style>
  <w:style w:type="paragraph" w:styleId="9">
    <w:name w:val="heading 9"/>
    <w:basedOn w:val="a"/>
    <w:link w:val="90"/>
    <w:uiPriority w:val="9"/>
    <w:qFormat/>
    <w:pPr>
      <w:keepNext/>
      <w:keepLines/>
      <w:outlineLvl w:val="8"/>
    </w:pPr>
    <w:rPr>
      <w:rFonts w:ascii="等线" w:eastAsia="等线 Light" w:hAnsi="等线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等线 Light" w:eastAsia="等线 Light" w:hAnsi="等线 Light" w:cs="宋体"/>
      <w:color w:val="0F4761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等线 Light" w:eastAsia="等线 Light" w:hAnsi="等线 Light" w:cs="宋体"/>
      <w:color w:val="0F4761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="等线 Light" w:eastAsia="等线 Light" w:hAnsi="等线 Light" w:cs="宋体"/>
      <w:color w:val="0F4761"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cs="宋体"/>
      <w:color w:val="0F4761"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rFonts w:cs="宋体"/>
      <w:color w:val="0F4761"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cs="宋体"/>
      <w:b/>
      <w:bCs/>
      <w:color w:val="0F4761"/>
      <w:sz w:val="24"/>
      <w:szCs w:val="28"/>
    </w:rPr>
  </w:style>
  <w:style w:type="character" w:customStyle="1" w:styleId="70">
    <w:name w:val="标题 7 字符"/>
    <w:basedOn w:val="a0"/>
    <w:link w:val="7"/>
    <w:uiPriority w:val="9"/>
    <w:rPr>
      <w:rFonts w:cs="宋体"/>
      <w:b/>
      <w:bCs/>
      <w:color w:val="595959"/>
      <w:sz w:val="24"/>
      <w:szCs w:val="28"/>
    </w:rPr>
  </w:style>
  <w:style w:type="character" w:customStyle="1" w:styleId="80">
    <w:name w:val="标题 8 字符"/>
    <w:basedOn w:val="a0"/>
    <w:link w:val="8"/>
    <w:uiPriority w:val="9"/>
    <w:rPr>
      <w:rFonts w:cs="宋体"/>
      <w:color w:val="595959"/>
      <w:sz w:val="24"/>
      <w:szCs w:val="28"/>
    </w:rPr>
  </w:style>
  <w:style w:type="character" w:customStyle="1" w:styleId="90">
    <w:name w:val="标题 9 字符"/>
    <w:basedOn w:val="a0"/>
    <w:link w:val="9"/>
    <w:uiPriority w:val="9"/>
    <w:rPr>
      <w:rFonts w:eastAsia="等线 Light" w:cs="宋体"/>
      <w:color w:val="595959"/>
      <w:sz w:val="24"/>
      <w:szCs w:val="28"/>
    </w:rPr>
  </w:style>
  <w:style w:type="paragraph" w:styleId="a3">
    <w:name w:val="Title"/>
    <w:basedOn w:val="a"/>
    <w:link w:val="a4"/>
    <w:uiPriority w:val="10"/>
    <w:qFormat/>
    <w:pPr>
      <w:spacing w:after="80" w:line="240" w:lineRule="auto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Pr>
      <w:rFonts w:ascii="等线 Light" w:eastAsia="等线 Light" w:hAnsi="等线 Light" w:cs="宋体"/>
      <w:spacing w:val="-10"/>
      <w:kern w:val="28"/>
      <w:sz w:val="56"/>
      <w:szCs w:val="56"/>
    </w:rPr>
  </w:style>
  <w:style w:type="paragraph" w:styleId="a5">
    <w:name w:val="Subtitle"/>
    <w:basedOn w:val="a"/>
    <w:link w:val="a6"/>
    <w:uiPriority w:val="11"/>
    <w:qFormat/>
    <w:pPr>
      <w:numPr>
        <w:ilvl w:val="1"/>
      </w:numPr>
      <w:spacing w:after="160"/>
      <w:jc w:val="center"/>
    </w:pPr>
    <w:rPr>
      <w:rFonts w:ascii="等线 Light" w:eastAsia="等线 Light" w:hAnsi="等线 Light"/>
      <w:color w:val="595959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Pr>
      <w:rFonts w:ascii="等线 Light" w:eastAsia="等线 Light" w:hAnsi="等线 Light" w:cs="宋体"/>
      <w:color w:val="595959"/>
      <w:spacing w:val="15"/>
      <w:sz w:val="28"/>
      <w:szCs w:val="28"/>
    </w:rPr>
  </w:style>
  <w:style w:type="paragraph" w:styleId="a7">
    <w:name w:val="Quote"/>
    <w:basedOn w:val="a"/>
    <w:link w:val="a8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a8">
    <w:name w:val="引用 字符"/>
    <w:basedOn w:val="a0"/>
    <w:link w:val="a7"/>
    <w:uiPriority w:val="29"/>
    <w:rPr>
      <w:rFonts w:ascii="宋体" w:eastAsia="宋体" w:hAnsi="宋体" w:cs="宋体"/>
      <w:i/>
      <w:iCs/>
      <w:color w:val="404040"/>
      <w:sz w:val="24"/>
      <w:szCs w:val="28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0F4761"/>
    </w:rPr>
  </w:style>
  <w:style w:type="paragraph" w:styleId="ab">
    <w:name w:val="Intense Quote"/>
    <w:basedOn w:val="a"/>
    <w:link w:val="ac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basedOn w:val="a0"/>
    <w:link w:val="ab"/>
    <w:uiPriority w:val="30"/>
    <w:rPr>
      <w:rFonts w:ascii="宋体" w:eastAsia="宋体" w:hAnsi="宋体" w:cs="宋体"/>
      <w:i/>
      <w:iCs/>
      <w:color w:val="0F4761"/>
      <w:sz w:val="24"/>
      <w:szCs w:val="28"/>
    </w:rPr>
  </w:style>
  <w:style w:type="character" w:styleId="ad">
    <w:name w:val="Intense Reference"/>
    <w:basedOn w:val="a0"/>
    <w:uiPriority w:val="32"/>
    <w:qFormat/>
    <w:rPr>
      <w:b/>
      <w:bC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2005 大花洒</dc:creator>
  <cp:lastModifiedBy>2005 大花洒</cp:lastModifiedBy>
  <cp:revision>28</cp:revision>
  <dcterms:created xsi:type="dcterms:W3CDTF">2025-12-10T17:18:00Z</dcterms:created>
  <dcterms:modified xsi:type="dcterms:W3CDTF">2025-12-18T23:28:00Z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06403e3979e94d8a8e4edbcd27efcd97</vt:lpwstr>
  </property>
</Properties>
</file>