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713DC">
      <w:pPr>
        <w:rPr>
          <w:rFonts w:hint="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補明史·黨人傳·汪文言</w:t>
      </w:r>
      <w:bookmarkEnd w:id="0"/>
    </w:p>
    <w:p w14:paraId="20A104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汪文言，初名守泰，</w:t>
      </w:r>
      <w:r>
        <w:rPr>
          <w:rStyle w:val="8"/>
          <w:rFonts w:hint="eastAsia"/>
          <w:lang w:val="en-US" w:eastAsia="zh-CN"/>
        </w:rPr>
        <w:endnoteReference w:id="0"/>
      </w:r>
      <w:r>
        <w:rPr>
          <w:rFonts w:hint="eastAsia"/>
          <w:lang w:val="en-US" w:eastAsia="zh-CN"/>
        </w:rPr>
        <w:t>字士克，南直隸</w:t>
      </w:r>
      <w:r>
        <w:rPr>
          <w:rFonts w:hint="default"/>
          <w:lang w:val="en-US" w:eastAsia="zh-CN"/>
        </w:rPr>
        <w:t>歙</w:t>
      </w:r>
      <w:r>
        <w:rPr>
          <w:rFonts w:hint="eastAsia"/>
          <w:lang w:val="en-US" w:eastAsia="zh-CN"/>
        </w:rPr>
        <w:t>縣人。文言本非良儒，少從吏事，人稱“徽州門子”，侍縣令</w:t>
      </w:r>
      <w:r>
        <w:rPr>
          <w:rFonts w:hint="default"/>
          <w:lang w:val="en-US" w:eastAsia="zh-CN"/>
        </w:rPr>
        <w:t>施天峻，充庫吏</w:t>
      </w:r>
      <w:r>
        <w:rPr>
          <w:rFonts w:hint="eastAsia"/>
          <w:lang w:val="en-US" w:eastAsia="zh-CN"/>
        </w:rPr>
        <w:t>，能測人於容動色理氣意之間。萬曆四十一年，入京于玉立遣入京師刺事，或言</w:t>
      </w:r>
      <w:r>
        <w:rPr>
          <w:rFonts w:hint="default"/>
          <w:lang w:val="en-US" w:eastAsia="zh-CN"/>
        </w:rPr>
        <w:t>蝕帑事敗逃</w:t>
      </w:r>
      <w:r>
        <w:rPr>
          <w:rFonts w:hint="eastAsia"/>
          <w:lang w:val="en-US" w:eastAsia="zh-CN"/>
        </w:rPr>
        <w:t>而入京，捐納為監生。文言多智謀，有俠氣，遊諸賢豪間，恂恂若無所知者。時東宮伴讀王安，端謹知書，文言客司之，相與談世事之得失，辯人才之邪正。</w:t>
      </w:r>
    </w:p>
    <w:p w14:paraId="46E6D9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萬曆四十五年，奉京察，正人一掃淨。文言策曰：“浙人者，主兵也，齊楚者，客兵也。成功之後，主欲逐客矣。然柄素在客，未易逐，此可搆也。”遂離之合之，喜之怒之，沉之潦之。逮後，齊浙果大搆，卒以兩敗，而楚遂歸正。</w:t>
      </w:r>
    </w:p>
    <w:p w14:paraId="70B10F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萬曆四十八年，顯皇帝崩，客、魏既殺王安，邵輔忠承風旨，參革文言監生，出京，尋有旨逮之，下刑部徒三年。更今名，仍入監，益遊公卿間，門外之轍愈衆</w:t>
      </w:r>
      <w:r>
        <w:rPr>
          <w:rFonts w:hint="default"/>
          <w:lang w:val="en-US" w:eastAsia="zh-CN"/>
        </w:rPr>
        <w:t>，輿馬常填溢户外。遇纂修《實録》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大學士葉向高用</w:t>
      </w:r>
      <w:r>
        <w:rPr>
          <w:rFonts w:hint="eastAsia"/>
          <w:lang w:val="en-US" w:eastAsia="zh-CN"/>
        </w:rPr>
        <w:t>之</w:t>
      </w:r>
      <w:r>
        <w:rPr>
          <w:rFonts w:hint="default"/>
          <w:lang w:val="en-US" w:eastAsia="zh-CN"/>
        </w:rPr>
        <w:t>爲内閣中書，韓爌、趙南星、楊漣、左光斗、魏大中皆與往來。</w:t>
      </w:r>
    </w:p>
    <w:p w14:paraId="78EA6E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天啟四年，魏忠賢</w:t>
      </w:r>
      <w:r>
        <w:rPr>
          <w:rFonts w:hint="eastAsia"/>
        </w:rPr>
        <w:t>欲藉是罗织东林，而</w:t>
      </w:r>
      <w:r>
        <w:rPr>
          <w:rFonts w:hint="eastAsia"/>
          <w:lang w:val="en-US" w:eastAsia="zh-CN"/>
        </w:rPr>
        <w:t>授意</w:t>
      </w:r>
      <w:r>
        <w:rPr>
          <w:rFonts w:hint="eastAsia"/>
        </w:rPr>
        <w:t>授意刑科阮大鋮造謀</w:t>
      </w:r>
      <w:r>
        <w:rPr>
          <w:rFonts w:hint="eastAsia"/>
          <w:lang w:eastAsia="zh-CN"/>
        </w:rPr>
        <w:t>。</w:t>
      </w:r>
      <w:r>
        <w:rPr>
          <w:rFonts w:hint="default"/>
          <w:lang w:val="en-US" w:eastAsia="zh-CN"/>
        </w:rPr>
        <w:t>大鋮與左光斗、魏大中有隙，而給事中傅櫆以兄弟稱於傅應星、傅繼教間</w:t>
      </w:r>
      <w:r>
        <w:rPr>
          <w:rFonts w:hint="eastAsia"/>
          <w:lang w:val="en-US" w:eastAsia="zh-CN"/>
        </w:rPr>
        <w:t>。應星者，魏忠賢之養子也。四月，大鋮主謀，櫆出疏，言光斗、大中以文言為心腹，毀壞朝政，下文言文言鎮撫司獄，鍜鍊以文，致左、魏獄急，忠賢必欲殺之。大中與黃尊素</w:t>
      </w:r>
      <w:r>
        <w:rPr>
          <w:rFonts w:hint="default"/>
          <w:lang w:val="en-US" w:eastAsia="zh-CN"/>
        </w:rPr>
        <w:t>曰</w:t>
      </w:r>
      <w:r>
        <w:rPr>
          <w:rFonts w:hint="eastAsia"/>
          <w:lang w:val="en-US" w:eastAsia="zh-CN"/>
        </w:rPr>
        <w:t>：“事急矣，勿殺義士”，尊素遂語</w:t>
      </w:r>
      <w:r>
        <w:rPr>
          <w:rFonts w:hint="default"/>
          <w:lang w:val="en-US" w:eastAsia="zh-CN"/>
        </w:rPr>
        <w:t>僑曰</w:t>
      </w:r>
      <w:r>
        <w:rPr>
          <w:rFonts w:hint="eastAsia"/>
          <w:lang w:val="en-US" w:eastAsia="zh-CN"/>
        </w:rPr>
        <w:t>：“文言不足惜，使縉紳之禍由文言，不可從。”</w:t>
      </w:r>
      <w:r>
        <w:rPr>
          <w:rFonts w:hint="default"/>
          <w:lang w:val="en-US" w:eastAsia="zh-CN"/>
        </w:rPr>
        <w:t>僑是之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獄詞無所連，文言廷杖褫職，牽及者獲免。六月，副院楊漣劾忠賢二十四大罪</w:t>
      </w:r>
      <w:r>
        <w:rPr>
          <w:rFonts w:hint="eastAsia"/>
          <w:lang w:val="en-US" w:eastAsia="zh-CN"/>
        </w:rPr>
        <w:t>，下文言獄者，其二十也。</w:t>
      </w:r>
    </w:p>
    <w:p w14:paraId="3E70C66B">
      <w:pPr>
        <w:rPr>
          <w:rFonts w:hint="default"/>
          <w:lang w:val="en-US" w:eastAsia="zh-CN"/>
        </w:rPr>
      </w:pPr>
      <w:r>
        <w:rPr>
          <w:rFonts w:hint="eastAsia"/>
        </w:rPr>
        <w:t>當忠賢盛時，舉國皆狂</w:t>
      </w:r>
      <w:r>
        <w:rPr>
          <w:rFonts w:hint="eastAsia"/>
          <w:lang w:eastAsia="zh-CN"/>
        </w:rPr>
        <w:t>。</w:t>
      </w:r>
      <w:r>
        <w:rPr>
          <w:rFonts w:hint="eastAsia"/>
        </w:rPr>
        <w:t>狱遽解，</w:t>
      </w:r>
      <w:r>
        <w:rPr>
          <w:rFonts w:hint="eastAsia"/>
          <w:lang w:val="en-US" w:eastAsia="zh-CN"/>
        </w:rPr>
        <w:t>忠賢</w:t>
      </w:r>
      <w:r>
        <w:rPr>
          <w:rFonts w:hint="eastAsia"/>
        </w:rPr>
        <w:t>志不得逞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乃以刘侨不任事，削其籍，而用许显纯代，欲再伺釁而动。御史梁梦环知忠贤恨未已，</w:t>
      </w:r>
      <w:r>
        <w:rPr>
          <w:rFonts w:hint="eastAsia"/>
          <w:lang w:val="en-US" w:eastAsia="zh-CN"/>
        </w:rPr>
        <w:t>先後復劾文言疏數十，復逮，幽囚</w:t>
      </w:r>
      <w:r>
        <w:rPr>
          <w:rFonts w:hint="eastAsia"/>
        </w:rPr>
        <w:t>北镇抚司狱，即命显纯鞫治。</w:t>
      </w:r>
      <w:r>
        <w:rPr>
          <w:rFonts w:hint="eastAsia"/>
          <w:lang w:val="en-US" w:eastAsia="zh-CN"/>
        </w:rPr>
        <w:t>文言</w:t>
      </w:r>
      <w:r>
        <w:rPr>
          <w:rFonts w:hint="eastAsia"/>
        </w:rPr>
        <w:t>五毒</w:t>
      </w:r>
      <w:r>
        <w:rPr>
          <w:rFonts w:hint="eastAsia"/>
          <w:lang w:val="en-US" w:eastAsia="zh-CN"/>
        </w:rPr>
        <w:t>具至</w:t>
      </w:r>
      <w:r>
        <w:rPr>
          <w:rFonts w:hint="default"/>
          <w:lang w:val="en-US" w:eastAsia="zh-CN"/>
        </w:rPr>
        <w:t>終不承</w:t>
      </w:r>
      <w:r>
        <w:rPr>
          <w:rFonts w:hint="eastAsia"/>
          <w:lang w:val="en-US" w:eastAsia="zh-CN"/>
        </w:rPr>
        <w:t>，暴声沸然，血</w:t>
      </w:r>
      <w:bookmarkStart w:id="1" w:name="_GoBack"/>
      <w:bookmarkEnd w:id="1"/>
      <w:r>
        <w:rPr>
          <w:rFonts w:hint="eastAsia"/>
          <w:lang w:val="en-US" w:eastAsia="zh-CN"/>
        </w:rPr>
        <w:t>肉溃烂。</w:t>
      </w:r>
      <w:r>
        <w:rPr>
          <w:rFonts w:hint="default"/>
          <w:lang w:val="en-US" w:eastAsia="zh-CN"/>
        </w:rPr>
        <w:t>顯純乃手作文言供狀，</w:t>
      </w:r>
      <w:r>
        <w:rPr>
          <w:rFonts w:hint="eastAsia"/>
        </w:rPr>
        <w:t>逮前副都御史杨涟、佥都御史左光斗、给事中魏大中、御史袁化中、太仆少卿周朝瑞、陕西副使顾大章</w:t>
      </w:r>
      <w:r>
        <w:rPr>
          <w:rFonts w:hint="eastAsia"/>
          <w:lang w:val="en-US" w:eastAsia="zh-CN"/>
        </w:rPr>
        <w:t>六人</w:t>
      </w:r>
      <w:r>
        <w:rPr>
          <w:rFonts w:hint="default"/>
          <w:lang w:val="en-US" w:eastAsia="zh-CN"/>
        </w:rPr>
        <w:t>受楊鎬、熊廷弼賄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文言垂死</w:t>
      </w:r>
      <w:r>
        <w:rPr>
          <w:rFonts w:hint="eastAsia"/>
          <w:lang w:val="en-US" w:eastAsia="zh-CN"/>
        </w:rPr>
        <w:t>張眼視主者，</w:t>
      </w:r>
      <w:r>
        <w:rPr>
          <w:rFonts w:hint="default"/>
          <w:lang w:val="en-US" w:eastAsia="zh-CN"/>
        </w:rPr>
        <w:t>大呼曰：“爾莫妄書，異時吾當與爾面質！”</w:t>
      </w:r>
      <w:r>
        <w:rPr>
          <w:rFonts w:hint="eastAsia"/>
          <w:lang w:val="en-US" w:eastAsia="zh-CN"/>
        </w:rPr>
        <w:t>斯言出而文言遂不起矣。六人皆下獄，</w:t>
      </w:r>
      <w:r>
        <w:rPr>
          <w:rFonts w:hint="default"/>
          <w:lang w:val="en-US" w:eastAsia="zh-CN"/>
        </w:rPr>
        <w:t>漣坐受贓</w:t>
      </w:r>
      <w:r>
        <w:rPr>
          <w:rFonts w:hint="eastAsia"/>
          <w:lang w:val="en-US" w:eastAsia="zh-CN"/>
        </w:rPr>
        <w:t>金</w:t>
      </w:r>
      <w:r>
        <w:rPr>
          <w:rFonts w:hint="default"/>
          <w:lang w:val="en-US" w:eastAsia="zh-CN"/>
        </w:rPr>
        <w:t>二萬，光斗</w:t>
      </w:r>
      <w:r>
        <w:rPr>
          <w:rFonts w:hint="eastAsia"/>
          <w:lang w:val="en-US" w:eastAsia="zh-CN"/>
        </w:rPr>
        <w:t>坐</w:t>
      </w:r>
      <w:r>
        <w:rPr>
          <w:rFonts w:hint="default"/>
          <w:lang w:val="en-US" w:eastAsia="zh-CN"/>
        </w:rPr>
        <w:t>二萬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大中</w:t>
      </w:r>
      <w:r>
        <w:rPr>
          <w:rFonts w:hint="eastAsia"/>
          <w:lang w:val="en-US" w:eastAsia="zh-CN"/>
        </w:rPr>
        <w:t>坐</w:t>
      </w:r>
      <w:r>
        <w:rPr>
          <w:rFonts w:hint="default"/>
          <w:lang w:val="en-US" w:eastAsia="zh-CN"/>
        </w:rPr>
        <w:t>三千，朝瑞</w:t>
      </w:r>
      <w:r>
        <w:rPr>
          <w:rFonts w:hint="eastAsia"/>
          <w:lang w:val="en-US" w:eastAsia="zh-CN"/>
        </w:rPr>
        <w:t>坐</w:t>
      </w:r>
      <w:r>
        <w:rPr>
          <w:rFonts w:hint="default"/>
          <w:lang w:val="en-US" w:eastAsia="zh-CN"/>
        </w:rPr>
        <w:t>萬金，化中</w:t>
      </w:r>
      <w:r>
        <w:rPr>
          <w:rFonts w:hint="eastAsia"/>
          <w:lang w:val="en-US" w:eastAsia="zh-CN"/>
        </w:rPr>
        <w:t>坐</w:t>
      </w:r>
      <w:r>
        <w:rPr>
          <w:rFonts w:hint="default"/>
          <w:lang w:val="en-US" w:eastAsia="zh-CN"/>
        </w:rPr>
        <w:t>六千，大章</w:t>
      </w:r>
      <w:r>
        <w:rPr>
          <w:rFonts w:hint="eastAsia"/>
          <w:lang w:val="en-US" w:eastAsia="zh-CN"/>
        </w:rPr>
        <w:t>坐</w:t>
      </w:r>
      <w:r>
        <w:rPr>
          <w:rFonts w:hint="default"/>
          <w:lang w:val="en-US" w:eastAsia="zh-CN"/>
        </w:rPr>
        <w:t>四萬</w:t>
      </w:r>
      <w:r>
        <w:rPr>
          <w:rFonts w:hint="eastAsia"/>
          <w:lang w:val="en-US" w:eastAsia="zh-CN"/>
        </w:rPr>
        <w:t>。</w:t>
      </w:r>
      <w:r>
        <w:rPr>
          <w:rFonts w:hint="eastAsia"/>
        </w:rPr>
        <w:t>李若星、毛士龍、繆昌期、鄒維璉、鄧渼、盧化鼇、錢士晉、夏之令、王之寀、徐良彦、熊明遇、黄龍光、李三才、惠世揚、施天德、黄正賓輩，無所不牽引于是东林之祸遂作。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pPr>
        <w:ind w:firstLine="420"/>
      </w:pPr>
      <w:r>
        <w:separator/>
      </w:r>
    </w:p>
  </w:endnote>
  <w:endnote w:type="continuationSeparator" w:id="3">
    <w:p>
      <w:pPr>
        <w:ind w:firstLine="420"/>
      </w:pPr>
      <w:r>
        <w:continuationSeparator/>
      </w:r>
    </w:p>
  </w:endnote>
  <w:endnote w:id="0">
    <w:p w14:paraId="16CD1DDC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或作守太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2"/>
    <w:endnote w:id="3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wODc0ZmNkYmIwM2UwMjFhYjhiMTIyYjY2ODlmNGIifQ=="/>
  </w:docVars>
  <w:rsids>
    <w:rsidRoot w:val="350113AA"/>
    <w:rsid w:val="08594552"/>
    <w:rsid w:val="20BB1F86"/>
    <w:rsid w:val="26341E3D"/>
    <w:rsid w:val="27E70AD2"/>
    <w:rsid w:val="2DBC786E"/>
    <w:rsid w:val="311F62AC"/>
    <w:rsid w:val="350113AA"/>
    <w:rsid w:val="3C6E01FC"/>
    <w:rsid w:val="4AA02BE5"/>
    <w:rsid w:val="4AB25ACF"/>
    <w:rsid w:val="4B4173E4"/>
    <w:rsid w:val="5AFA5E4B"/>
    <w:rsid w:val="674D02C8"/>
    <w:rsid w:val="684C792C"/>
    <w:rsid w:val="6E213B37"/>
    <w:rsid w:val="73BD17CA"/>
    <w:rsid w:val="7DC8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黑体"/>
      <w:b/>
      <w:sz w:val="21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b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endnote text"/>
    <w:basedOn w:val="1"/>
    <w:uiPriority w:val="0"/>
    <w:pPr>
      <w:snapToGrid w:val="0"/>
      <w:jc w:val="left"/>
    </w:pPr>
  </w:style>
  <w:style w:type="character" w:styleId="8">
    <w:name w:val="endnote reference"/>
    <w:basedOn w:val="7"/>
    <w:uiPriority w:val="0"/>
    <w:rPr>
      <w:vertAlign w:val="superscript"/>
    </w:rPr>
  </w:style>
  <w:style w:type="paragraph" w:customStyle="1" w:styleId="9">
    <w:name w:val="引用"/>
    <w:basedOn w:val="1"/>
    <w:qFormat/>
    <w:uiPriority w:val="0"/>
    <w:pPr>
      <w:spacing w:line="240" w:lineRule="auto"/>
      <w:ind w:left="480" w:leftChars="200" w:right="480" w:rightChars="200" w:firstLine="0" w:firstLineChars="0"/>
    </w:pPr>
    <w:rPr>
      <w:sz w:val="21"/>
    </w:rPr>
  </w:style>
  <w:style w:type="paragraph" w:customStyle="1" w:styleId="10">
    <w:name w:val="引文"/>
    <w:basedOn w:val="1"/>
    <w:next w:val="1"/>
    <w:qFormat/>
    <w:uiPriority w:val="0"/>
    <w:pPr>
      <w:keepNext/>
      <w:keepLines/>
      <w:spacing w:beforeLines="0" w:afterLines="0"/>
      <w:ind w:left="883" w:right="480" w:rightChars="200" w:hanging="883" w:hangingChars="200"/>
      <w:outlineLvl w:val="0"/>
    </w:pPr>
    <w:rPr>
      <w:rFonts w:hint="default"/>
      <w:b/>
      <w:kern w:val="44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42</Characters>
  <Lines>0</Lines>
  <Paragraphs>0</Paragraphs>
  <TotalTime>1</TotalTime>
  <ScaleCrop>false</ScaleCrop>
  <LinksUpToDate>false</LinksUpToDate>
  <CharactersWithSpaces>42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2025-11-26T08:28:00Z</dcterms:created>
  <dc:creator>Zhou</dc:creator>
  <cp:lastModifiedBy>Zhou</cp:lastModifiedBy>
  <dcterms:modified xsi:type="dcterms:W3CDTF">2025-11-26T14:27:12Z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DA9C1E9DF705458E8CA079E7BCAA7F75_13</vt:lpwstr>
  </property>
  <property fmtid="{D5CDD505-2E9C-101B-9397-08002B2CF9AE}" pid="4" name="KSOTemplateDocerSaveRecord">
    <vt:lpwstr>eyJoZGlkIjoiZTljZDg0ODliNmIxNDQyNWM1M2JhOTA3Zjg3YzI4OTYiLCJ1c2VySWQiOiIyMDU3MDgwMDYifQ==</vt:lpwstr>
  </property>
</Properties>
</file>