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FC28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補明史儒林傳</w:t>
      </w:r>
    </w:p>
    <w:p w14:paraId="2B9F5F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盧寧</w:t>
      </w:r>
    </w:p>
    <w:p w14:paraId="44422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盧寧，</w:t>
      </w:r>
      <w:r>
        <w:rPr>
          <w:rStyle w:val="8"/>
          <w:rFonts w:hint="eastAsia"/>
          <w:lang w:val="en-US" w:eastAsia="zh-CN"/>
        </w:rPr>
        <w:endnoteReference w:id="0"/>
      </w:r>
      <w:r>
        <w:rPr>
          <w:rFonts w:hint="eastAsia"/>
          <w:lang w:val="en-US" w:eastAsia="zh-CN"/>
        </w:rPr>
        <w:t>字忠獻，</w:t>
      </w:r>
      <w:r>
        <w:rPr>
          <w:rStyle w:val="8"/>
          <w:rFonts w:hint="eastAsia"/>
          <w:lang w:val="en-US" w:eastAsia="zh-CN"/>
        </w:rPr>
        <w:endnoteReference w:id="1"/>
      </w:r>
      <w:r>
        <w:rPr>
          <w:rFonts w:hint="eastAsia"/>
          <w:lang w:val="en-US" w:eastAsia="zh-CN"/>
        </w:rPr>
        <w:t>又字獻甫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南海人。</w:t>
      </w:r>
      <w:r>
        <w:rPr>
          <w:rStyle w:val="8"/>
          <w:rFonts w:hint="eastAsia"/>
        </w:rPr>
        <w:endnoteReference w:id="2"/>
      </w:r>
    </w:p>
    <w:p w14:paraId="6F8BF9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父津，正德二年舉鄉薦，六年授鳳陽府訓導，學範師模，改建平縣學。母老歸，起復為長興知縣，不出。</w:t>
      </w:r>
    </w:p>
    <w:p w14:paraId="12EF0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寧少從香山黃佐遊，博學而工文，常以不得及餘姚王守仁之門為憾，多於增城湛若水書札往來，求教不一，得其要旨。</w:t>
      </w:r>
    </w:p>
    <w:p w14:paraId="6E1BFAF7">
      <w:pPr>
        <w:rPr>
          <w:rFonts w:hint="eastAsia"/>
        </w:rPr>
      </w:pPr>
      <w:r>
        <w:rPr>
          <w:rFonts w:hint="eastAsia"/>
          <w:lang w:val="en-US" w:eastAsia="zh-CN"/>
        </w:rPr>
        <w:t>嘉靖十九年，寧由順德學領鄉薦，二十三年舉進士，授昆山知縣。二十六年，</w:t>
      </w:r>
      <w:r>
        <w:rPr>
          <w:rFonts w:hint="eastAsia"/>
        </w:rPr>
        <w:t>知贛州興國縣事</w:t>
      </w:r>
      <w:r>
        <w:rPr>
          <w:rFonts w:hint="eastAsia"/>
          <w:lang w:eastAsia="zh-CN"/>
        </w:rPr>
        <w:t>，</w:t>
      </w:r>
      <w:r>
        <w:rPr>
          <w:rFonts w:hint="eastAsia" w:eastAsia="宋体"/>
          <w:lang w:val="en-US" w:eastAsia="zh-CN"/>
        </w:rPr>
        <w:t>隨事更革，首發黠吏奸胥，肅清縣治。勸農振業，清丈經界。數臨學宮，文教聿興，貧士得就學業。縣故有禦寇墩堡，悉為修復，置甲卒守，境賴以安。慎刑獄，多所平反，出死獄二十餘。或言成案不可更，有賄免之嫌，寧曰：“即得罪去，不辭也！”民懷其德，立</w:t>
      </w:r>
      <w:r>
        <w:rPr>
          <w:rFonts w:hint="eastAsia" w:eastAsia="宋体"/>
        </w:rPr>
        <w:t>生祠碑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石於治右</w:t>
      </w:r>
      <w:r>
        <w:rPr>
          <w:rFonts w:hint="eastAsia"/>
        </w:rPr>
        <w:t>。</w:t>
      </w:r>
      <w:r>
        <w:rPr>
          <w:rStyle w:val="8"/>
          <w:rFonts w:hint="eastAsia"/>
        </w:rPr>
        <w:endnoteReference w:id="3"/>
      </w:r>
    </w:p>
    <w:p w14:paraId="31479EEC">
      <w:pPr>
        <w:rPr>
          <w:rFonts w:hint="eastAsia"/>
          <w:lang w:val="en-US" w:eastAsia="zh-CN"/>
        </w:rPr>
      </w:pPr>
      <w:r>
        <w:rPr>
          <w:rFonts w:hint="eastAsia"/>
        </w:rPr>
        <w:t>二十九年擢守潼川。三十三年遷南京</w:t>
      </w:r>
      <w:r>
        <w:rPr>
          <w:rFonts w:hint="eastAsia"/>
          <w:lang w:val="en-US" w:eastAsia="zh-CN"/>
        </w:rPr>
        <w:t>户部</w:t>
      </w:r>
      <w:r>
        <w:rPr>
          <w:rFonts w:hint="eastAsia"/>
        </w:rPr>
        <w:t>員外郎，尋改</w:t>
      </w:r>
      <w:bookmarkStart w:id="2" w:name="_GoBack"/>
      <w:bookmarkEnd w:id="2"/>
      <w:r>
        <w:rPr>
          <w:rFonts w:hint="eastAsia"/>
        </w:rPr>
        <w:t>刑部，後爲南京刑部郎中。</w:t>
      </w:r>
      <w:r>
        <w:rPr>
          <w:rFonts w:hint="eastAsia"/>
          <w:lang w:val="en-US" w:eastAsia="zh-CN"/>
        </w:rPr>
        <w:t>三十六年，講學于南京新泉精舍，四方冠蓋詢求於其門。三十七年，</w:t>
      </w:r>
      <w:r>
        <w:rPr>
          <w:rStyle w:val="8"/>
          <w:rFonts w:hint="eastAsia"/>
          <w:lang w:val="en-US" w:eastAsia="zh-CN"/>
        </w:rPr>
        <w:endnoteReference w:id="4"/>
      </w:r>
      <w:r>
        <w:rPr>
          <w:rFonts w:hint="eastAsia"/>
          <w:lang w:val="en-US" w:eastAsia="zh-CN"/>
        </w:rPr>
        <w:t>出守登州。嘉靖四十年卒於官，年五十八。</w:t>
      </w:r>
    </w:p>
    <w:p w14:paraId="2DE0B8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所著有</w:t>
      </w:r>
      <w:bookmarkStart w:id="0" w:name="OLE_LINK1"/>
      <w:r>
        <w:rPr>
          <w:rFonts w:hint="eastAsia"/>
          <w:lang w:val="en-US" w:eastAsia="zh-CN"/>
        </w:rPr>
        <w:t>《</w:t>
      </w:r>
      <w:r>
        <w:rPr>
          <w:rFonts w:hint="eastAsia"/>
        </w:rPr>
        <w:t>五鵲臺集</w:t>
      </w:r>
      <w:bookmarkEnd w:id="0"/>
      <w:r>
        <w:rPr>
          <w:rFonts w:hint="eastAsia"/>
          <w:lang w:val="en-US" w:eastAsia="zh-CN"/>
        </w:rPr>
        <w:t>》</w:t>
      </w:r>
      <w:r>
        <w:rPr>
          <w:rFonts w:hint="eastAsia"/>
        </w:rPr>
        <w:t>、</w:t>
      </w:r>
      <w:r>
        <w:rPr>
          <w:rFonts w:hint="eastAsia"/>
          <w:lang w:eastAsia="zh-CN"/>
        </w:rPr>
        <w:t>《</w:t>
      </w:r>
      <w:r>
        <w:rPr>
          <w:rFonts w:hint="eastAsia"/>
        </w:rPr>
        <w:t>別集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獻子講存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策論纂要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守潼宣訓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諸書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學者稱為冠嚴先生。甘泉、陽明之學，各立宗旨。嗟乎！朱陸異同，輕易言哉，然當時學於湛、王兩家者，</w:t>
      </w:r>
      <w:bookmarkStart w:id="1" w:name="OLE_LINK2"/>
      <w:r>
        <w:rPr>
          <w:rFonts w:hint="eastAsia"/>
          <w:lang w:val="en-US" w:eastAsia="zh-CN"/>
        </w:rPr>
        <w:t>遞相出入</w:t>
      </w:r>
      <w:bookmarkEnd w:id="1"/>
      <w:r>
        <w:rPr>
          <w:rFonts w:hint="eastAsia"/>
          <w:lang w:val="en-US" w:eastAsia="zh-CN"/>
        </w:rPr>
        <w:t>也。王氏之外名湛氏學者，盧先生其一也。</w:t>
      </w:r>
    </w:p>
    <w:p w14:paraId="1F13C3E8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0">
    <w:p>
      <w:pPr>
        <w:ind w:firstLine="420"/>
      </w:pPr>
      <w:r>
        <w:separator/>
      </w:r>
    </w:p>
  </w:endnote>
  <w:endnote w:type="continuationSeparator" w:id="11">
    <w:p>
      <w:pPr>
        <w:ind w:firstLine="420"/>
      </w:pPr>
      <w:r>
        <w:continuationSeparator/>
      </w:r>
    </w:p>
  </w:endnote>
  <w:endnote w:id="0">
    <w:p w14:paraId="79E9AF09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黃宗羲《明儒學案》載其名“盧寧</w:t>
      </w:r>
      <w:r>
        <w:rPr>
          <w:rFonts w:hint="eastAsia"/>
        </w:rPr>
        <w:t>忠</w:t>
      </w:r>
      <w:r>
        <w:rPr>
          <w:rFonts w:hint="eastAsia"/>
          <w:lang w:val="en-US" w:eastAsia="zh-CN"/>
        </w:rPr>
        <w:t>”，誤。</w:t>
      </w:r>
    </w:p>
  </w:endnote>
  <w:endnote w:id="1">
    <w:p w14:paraId="28A75B2D">
      <w:pPr>
        <w:pStyle w:val="5"/>
        <w:snapToGrid w:val="0"/>
        <w:rPr>
          <w:rFonts w:hint="eastAsia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從《（乾隆）興國縣志》</w:t>
      </w:r>
    </w:p>
  </w:endnote>
  <w:endnote w:id="2">
    <w:p w14:paraId="73A75EB1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黃宗羲載其嶺南人，未知其詳，今據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粤大记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補。</w:t>
      </w:r>
    </w:p>
  </w:endnote>
  <w:endnote w:id="3">
    <w:p w14:paraId="44AA1A62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事見湛若水詩</w:t>
      </w:r>
    </w:p>
  </w:endnote>
  <w:endnote w:id="4">
    <w:p w14:paraId="1DE78F72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</w:rPr>
        <w:t>鄧淳</w:t>
      </w:r>
      <w:r>
        <w:rPr>
          <w:rFonts w:hint="eastAsia"/>
          <w:lang w:val="en-US" w:eastAsia="zh-CN"/>
        </w:rPr>
        <w:t>載其“己末出守登州”，疑誤。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五鵲別集·敘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載“戊午出守登州”。今從之。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10"/>
    <w:endnote w:id="1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c0ZmNkYmIwM2UwMjFhYjhiMTIyYjY2ODlmNGIifQ=="/>
  </w:docVars>
  <w:rsids>
    <w:rsidRoot w:val="664571E3"/>
    <w:rsid w:val="08594552"/>
    <w:rsid w:val="0B2621C1"/>
    <w:rsid w:val="0EA004DC"/>
    <w:rsid w:val="20BB1F86"/>
    <w:rsid w:val="26DB7EAB"/>
    <w:rsid w:val="2DBC786E"/>
    <w:rsid w:val="2E40086E"/>
    <w:rsid w:val="311F62AC"/>
    <w:rsid w:val="3C6E01FC"/>
    <w:rsid w:val="3FA0372E"/>
    <w:rsid w:val="40E33BA8"/>
    <w:rsid w:val="4AA02BE5"/>
    <w:rsid w:val="4AB25ACF"/>
    <w:rsid w:val="5C0A7867"/>
    <w:rsid w:val="5C1F1A87"/>
    <w:rsid w:val="664571E3"/>
    <w:rsid w:val="674D02C8"/>
    <w:rsid w:val="6E213B37"/>
    <w:rsid w:val="6F2F06D8"/>
    <w:rsid w:val="6FC722F1"/>
    <w:rsid w:val="73BD17CA"/>
    <w:rsid w:val="74177239"/>
    <w:rsid w:val="76085507"/>
    <w:rsid w:val="78B008F1"/>
    <w:rsid w:val="7DC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qFormat/>
    <w:uiPriority w:val="0"/>
    <w:pPr>
      <w:snapToGrid w:val="0"/>
      <w:jc w:val="left"/>
    </w:pPr>
  </w:style>
  <w:style w:type="character" w:styleId="8">
    <w:name w:val="endnote reference"/>
    <w:basedOn w:val="7"/>
    <w:qFormat/>
    <w:uiPriority w:val="0"/>
    <w:rPr>
      <w:vertAlign w:val="superscript"/>
    </w:rPr>
  </w:style>
  <w:style w:type="paragraph" w:customStyle="1" w:styleId="9">
    <w:name w:val="引文"/>
    <w:basedOn w:val="1"/>
    <w:next w:val="1"/>
    <w:qFormat/>
    <w:uiPriority w:val="0"/>
    <w:pPr>
      <w:keepNext/>
      <w:keepLines/>
      <w:spacing w:beforeLines="0" w:afterLines="0"/>
      <w:ind w:left="883" w:right="480" w:rightChars="200" w:hanging="883" w:hangingChars="200"/>
      <w:outlineLvl w:val="0"/>
    </w:pPr>
    <w:rPr>
      <w:rFonts w:hint="default"/>
      <w:b/>
      <w:kern w:val="44"/>
      <w:sz w:val="21"/>
    </w:rPr>
  </w:style>
  <w:style w:type="paragraph" w:customStyle="1" w:styleId="10">
    <w:name w:val="引用"/>
    <w:basedOn w:val="1"/>
    <w:qFormat/>
    <w:uiPriority w:val="0"/>
    <w:pPr>
      <w:spacing w:line="240" w:lineRule="auto"/>
      <w:ind w:left="480" w:leftChars="200" w:right="480" w:rightChars="200" w:firstLine="0" w:firstLineChars="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480</Words>
  <Characters>480</Characters>
  <Lines>0</Lines>
  <Paragraphs>0</Paragraphs>
  <TotalTime>5</TotalTime>
  <ScaleCrop>false</ScaleCrop>
  <LinksUpToDate>false</LinksUpToDate>
  <CharactersWithSpaces>480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2025-11-24T06:40:00Z</dcterms:created>
  <dc:creator>Zhou</dc:creator>
  <cp:lastModifiedBy>Zhou</cp:lastModifiedBy>
  <dcterms:modified xsi:type="dcterms:W3CDTF">2025-11-25T08:18:32Z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275711DF0D0A4139B48F32AA0158E10B_13</vt:lpwstr>
  </property>
</Properties>
</file>