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61541" w:rsidRDefault="001524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4007742" w:history="1">
            <w:r w:rsidR="00361541" w:rsidRPr="00B21226">
              <w:rPr>
                <w:rStyle w:val="Hyperlink"/>
                <w:noProof/>
              </w:rPr>
              <w:t>About</w:t>
            </w:r>
            <w:r w:rsidR="00361541">
              <w:rPr>
                <w:noProof/>
                <w:webHidden/>
              </w:rPr>
              <w:tab/>
            </w:r>
            <w:r w:rsidR="00361541"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_Toc444007742 \h </w:instrText>
            </w:r>
            <w:r w:rsidR="00361541">
              <w:rPr>
                <w:noProof/>
                <w:webHidden/>
              </w:rPr>
            </w:r>
            <w:r w:rsidR="00361541"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4</w:t>
            </w:r>
            <w:r w:rsidR="00361541"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3" w:history="1">
            <w:r w:rsidRPr="00B2122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4" w:history="1">
            <w:r w:rsidRPr="00B2122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5" w:history="1">
            <w:r w:rsidRPr="00B21226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6" w:history="1">
            <w:r w:rsidRPr="00B2122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7" w:history="1">
            <w:r w:rsidRPr="00B21226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8" w:history="1">
            <w:r w:rsidRPr="00B21226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9" w:history="1">
            <w:r w:rsidRPr="00B2122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0" w:history="1">
            <w:r w:rsidRPr="00B2122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1" w:history="1">
            <w:r w:rsidRPr="00B2122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2" w:history="1">
            <w:r w:rsidRPr="00B2122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3" w:history="1">
            <w:r w:rsidRPr="00B21226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4" w:history="1">
            <w:r w:rsidRPr="00B21226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5" w:history="1">
            <w:r w:rsidRPr="00B21226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6" w:history="1">
            <w:r w:rsidRPr="00B2122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7" w:history="1">
            <w:r w:rsidRPr="00B2122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8" w:history="1">
            <w:r w:rsidRPr="00B21226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9" w:history="1">
            <w:r w:rsidRPr="00B21226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0" w:history="1">
            <w:r w:rsidRPr="00B2122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1" w:history="1">
            <w:r w:rsidRPr="00B2122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2" w:history="1">
            <w:r w:rsidRPr="00B21226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3" w:history="1">
            <w:r w:rsidRPr="00B21226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4" w:history="1">
            <w:r w:rsidRPr="00B2122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5" w:history="1">
            <w:r w:rsidRPr="00B2122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6" w:history="1">
            <w:r w:rsidRPr="00B2122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7" w:history="1">
            <w:r w:rsidRPr="00B2122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8" w:history="1">
            <w:r w:rsidRPr="00B2122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9" w:history="1">
            <w:r w:rsidRPr="00B212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0" w:history="1">
            <w:r w:rsidRPr="00B2122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1" w:history="1">
            <w:r w:rsidRPr="00B2122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2" w:history="1">
            <w:r w:rsidRPr="00B2122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3" w:history="1">
            <w:r w:rsidRPr="00B2122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4" w:history="1">
            <w:r w:rsidRPr="00B2122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5" w:history="1">
            <w:r w:rsidRPr="00B2122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6" w:history="1">
            <w:r w:rsidRPr="00B2122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7" w:history="1">
            <w:r w:rsidRPr="00B2122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8" w:history="1">
            <w:r w:rsidRPr="00B2122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9" w:history="1">
            <w:r w:rsidRPr="00B21226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0" w:history="1">
            <w:r w:rsidRPr="00B21226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1" w:history="1">
            <w:r w:rsidRPr="00B212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2" w:history="1">
            <w:r w:rsidRPr="00B2122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3" w:history="1">
            <w:r w:rsidRPr="00B2122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4" w:history="1">
            <w:r w:rsidRPr="00B2122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5" w:history="1">
            <w:r w:rsidRPr="00B2122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6" w:history="1">
            <w:r w:rsidRPr="00B2122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7" w:history="1">
            <w:r w:rsidRPr="00B2122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8" w:history="1">
            <w:r w:rsidRPr="00B2122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9" w:history="1">
            <w:r w:rsidRPr="00B2122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0" w:history="1">
            <w:r w:rsidRPr="00B21226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1" w:history="1">
            <w:r w:rsidRPr="00B212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2" w:history="1">
            <w:r w:rsidRPr="00B2122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3" w:history="1">
            <w:r w:rsidRPr="00B2122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4" w:history="1">
            <w:r w:rsidRPr="00B2122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5" w:history="1">
            <w:r w:rsidRPr="00B21226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6" w:history="1">
            <w:r w:rsidRPr="00B21226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7" w:history="1">
            <w:r w:rsidRPr="00B2122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8" w:history="1">
            <w:r w:rsidRPr="00B2122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9" w:history="1">
            <w:r w:rsidRPr="00B2122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36154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800" w:history="1">
            <w:r w:rsidRPr="00B21226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5240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4007742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400774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4007744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4007745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AB2A4C">
        <w:t xml:space="preserve">unfinished </w:t>
      </w:r>
      <w:proofErr w:type="spellStart"/>
      <w:r w:rsidR="00434F55">
        <w:t>pomodoro</w:t>
      </w:r>
      <w:proofErr w:type="spellEnd"/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lastRenderedPageBreak/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4007746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4007747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4007748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4007749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4007750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4007751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4007752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4007753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4007754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4007755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4007756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4007757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4007758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4007759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4007760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400776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4007762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4007763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4007764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4007765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4007766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4007767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4007768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400776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4007770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400777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4007772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4007773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4007774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400777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4007776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4007777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4007778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400777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4007780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8E67F9" w:rsidRPr="008E67F9">
        <w:drawing>
          <wp:inline distT="0" distB="0" distL="0" distR="0">
            <wp:extent cx="109076" cy="192181"/>
            <wp:effectExtent l="19050" t="0" r="5224" b="0"/>
            <wp:docPr id="59" name="Picture 39" descr="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88" cy="2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F746A7" w:rsidRPr="00F746A7">
        <w:drawing>
          <wp:inline distT="0" distB="0" distL="0" distR="0">
            <wp:extent cx="127599" cy="168611"/>
            <wp:effectExtent l="19050" t="0" r="5751" b="0"/>
            <wp:docPr id="62" name="Picture 40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89" cy="1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400778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400778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B64492" w:rsidP="00B64492">
            <w:r>
              <w:t>NO</w:t>
            </w:r>
            <w:r w:rsidR="000176B1">
              <w:t xml:space="preserve"> </w:t>
            </w:r>
            <w:r w:rsidRPr="008F790D">
              <w:rPr>
                <w:color w:val="FF0000"/>
              </w:rPr>
              <w:t>running</w:t>
            </w:r>
            <w:r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4007783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6301C8">
              <w:t xml:space="preserve">, reset a paused </w:t>
            </w:r>
            <w:proofErr w:type="spellStart"/>
            <w:r w:rsidR="006301C8">
              <w:lastRenderedPageBreak/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40077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4007785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4007786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4007787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4007788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400778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B2021B">
        <w:t xml:space="preserve"> /</w:t>
      </w:r>
      <w:r w:rsidR="0004727F">
        <w:t>)</w:t>
      </w:r>
      <w:r w:rsidR="00387070">
        <w:t xml:space="preserve"> </w:t>
      </w:r>
      <w:r w:rsidR="004229DA">
        <w:t>(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 xml:space="preserve">Agile + </w:t>
      </w:r>
      <w:proofErr w:type="spellStart"/>
      <w:r w:rsidR="00387070">
        <w:rPr>
          <w:b/>
        </w:rPr>
        <w:t>Pomodoro</w:t>
      </w:r>
      <w:proofErr w:type="spellEnd"/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400779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400779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4007792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400779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4007794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4007795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4007796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4007797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4007798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15240A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15240A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15240A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15240A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15240A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15240A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4007799"/>
      <w:r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4007800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817" w:rsidRDefault="00572817" w:rsidP="004A6442">
      <w:r>
        <w:separator/>
      </w:r>
    </w:p>
  </w:endnote>
  <w:endnote w:type="continuationSeparator" w:id="0">
    <w:p w:rsidR="00572817" w:rsidRDefault="0057281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15240A">
        <w:pPr>
          <w:pStyle w:val="Footer"/>
          <w:jc w:val="center"/>
        </w:pPr>
        <w:fldSimple w:instr=" PAGE   \* MERGEFORMAT ">
          <w:r w:rsidR="00361541">
            <w:rPr>
              <w:noProof/>
            </w:rPr>
            <w:t>21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817" w:rsidRDefault="00572817" w:rsidP="004A6442">
      <w:r>
        <w:separator/>
      </w:r>
    </w:p>
  </w:footnote>
  <w:footnote w:type="continuationSeparator" w:id="0">
    <w:p w:rsidR="00572817" w:rsidRDefault="0057281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856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23638-0091-4F5C-914F-79100B94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1</Pages>
  <Words>7979</Words>
  <Characters>43890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1038</cp:revision>
  <cp:lastPrinted>2015-01-15T11:42:00Z</cp:lastPrinted>
  <dcterms:created xsi:type="dcterms:W3CDTF">2014-05-06T09:48:00Z</dcterms:created>
  <dcterms:modified xsi:type="dcterms:W3CDTF">2016-02-23T12:21:00Z</dcterms:modified>
</cp:coreProperties>
</file>