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CB33F0" w:rsidRDefault="00BF6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0717766" w:history="1">
            <w:r w:rsidR="00CB33F0" w:rsidRPr="00000355">
              <w:rPr>
                <w:rStyle w:val="Hyperlink"/>
                <w:noProof/>
              </w:rPr>
              <w:t>About</w:t>
            </w:r>
            <w:r w:rsidR="00CB33F0">
              <w:rPr>
                <w:noProof/>
                <w:webHidden/>
              </w:rPr>
              <w:tab/>
            </w:r>
            <w:r w:rsidR="00CB33F0">
              <w:rPr>
                <w:noProof/>
                <w:webHidden/>
              </w:rPr>
              <w:fldChar w:fldCharType="begin"/>
            </w:r>
            <w:r w:rsidR="00CB33F0">
              <w:rPr>
                <w:noProof/>
                <w:webHidden/>
              </w:rPr>
              <w:instrText xml:space="preserve"> PAGEREF _Toc430717766 \h </w:instrText>
            </w:r>
            <w:r w:rsidR="00CB33F0">
              <w:rPr>
                <w:noProof/>
                <w:webHidden/>
              </w:rPr>
            </w:r>
            <w:r w:rsidR="00CB33F0">
              <w:rPr>
                <w:noProof/>
                <w:webHidden/>
              </w:rPr>
              <w:fldChar w:fldCharType="separate"/>
            </w:r>
            <w:r w:rsidR="00CB33F0">
              <w:rPr>
                <w:noProof/>
                <w:webHidden/>
              </w:rPr>
              <w:t>4</w:t>
            </w:r>
            <w:r w:rsidR="00CB33F0"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67" w:history="1">
            <w:r w:rsidRPr="0000035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68" w:history="1">
            <w:r w:rsidRPr="0000035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69" w:history="1">
            <w:r w:rsidRPr="00000355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0" w:history="1">
            <w:r w:rsidRPr="00000355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1" w:history="1">
            <w:r w:rsidRPr="00000355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2" w:history="1">
            <w:r w:rsidRPr="00000355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3" w:history="1">
            <w:r w:rsidRPr="0000035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4" w:history="1">
            <w:r w:rsidRPr="0000035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5" w:history="1">
            <w:r w:rsidRPr="0000035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6" w:history="1">
            <w:r w:rsidRPr="0000035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7" w:history="1">
            <w:r w:rsidRPr="00000355">
              <w:rPr>
                <w:rStyle w:val="Hyperlink"/>
                <w:noProof/>
              </w:rPr>
              <w:t>NEW 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8" w:history="1">
            <w:r w:rsidRPr="00000355">
              <w:rPr>
                <w:rStyle w:val="Hyperlink"/>
                <w:noProof/>
              </w:rPr>
              <w:t>How to start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79" w:history="1">
            <w:r w:rsidRPr="00000355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0" w:history="1">
            <w:r w:rsidRPr="0000035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1" w:history="1">
            <w:r w:rsidRPr="0000035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2" w:history="1">
            <w:r w:rsidRPr="00000355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3" w:history="1">
            <w:r w:rsidRPr="00000355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4" w:history="1">
            <w:r w:rsidRPr="0000035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5" w:history="1">
            <w:r w:rsidRPr="00000355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6" w:history="1">
            <w:r w:rsidRPr="00000355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7" w:history="1">
            <w:r w:rsidRPr="0000035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8" w:history="1">
            <w:r w:rsidRPr="00000355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89" w:history="1">
            <w:r w:rsidRPr="0000035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0" w:history="1">
            <w:r w:rsidRPr="00000355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1" w:history="1">
            <w:r w:rsidRPr="0000035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2" w:history="1">
            <w:r w:rsidRPr="00000355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3" w:history="1">
            <w:r w:rsidRPr="00000355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4" w:history="1">
            <w:r w:rsidRPr="00000355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5" w:history="1">
            <w:r w:rsidRPr="0000035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6" w:history="1">
            <w:r w:rsidRPr="0000035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7" w:history="1">
            <w:r w:rsidRPr="0000035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8" w:history="1">
            <w:r w:rsidRPr="0000035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799" w:history="1">
            <w:r w:rsidRPr="0000035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0" w:history="1">
            <w:r w:rsidRPr="0000035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1" w:history="1">
            <w:r w:rsidRPr="0000035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2" w:history="1">
            <w:r w:rsidRPr="00000355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3" w:history="1">
            <w:r w:rsidRPr="00000355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4" w:history="1">
            <w:r w:rsidRPr="00000355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5" w:history="1">
            <w:r w:rsidRPr="0000035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6" w:history="1">
            <w:r w:rsidRPr="0000035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7" w:history="1">
            <w:r w:rsidRPr="0000035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8" w:history="1">
            <w:r w:rsidRPr="0000035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09" w:history="1">
            <w:r w:rsidRPr="00000355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0" w:history="1">
            <w:r w:rsidRPr="00000355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1" w:history="1">
            <w:r w:rsidRPr="0000035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2" w:history="1">
            <w:r w:rsidRPr="0000035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3" w:history="1">
            <w:r w:rsidRPr="0000035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4" w:history="1">
            <w:r w:rsidRPr="00000355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5" w:history="1">
            <w:r w:rsidRPr="00000355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6" w:history="1">
            <w:r w:rsidRPr="00000355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7" w:history="1">
            <w:r w:rsidRPr="00000355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8" w:history="1">
            <w:r w:rsidRPr="0000035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3F0" w:rsidRDefault="00CB33F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17819" w:history="1">
            <w:r w:rsidRPr="00000355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BF6D6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0717766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3071776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0717768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0717769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0717770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0717771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0717772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071777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0717774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071777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071777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517BCA" w:rsidP="008E0268">
      <w:pPr>
        <w:pStyle w:val="Heading1"/>
      </w:pPr>
      <w:bookmarkStart w:id="15" w:name="_Toc430717777"/>
      <w:r w:rsidRPr="00517BCA">
        <w:rPr>
          <w:color w:val="FF0000"/>
        </w:rPr>
        <w:t>NEW</w:t>
      </w:r>
      <w:r>
        <w:t xml:space="preserve"> </w:t>
      </w:r>
      <w:proofErr w:type="spellStart"/>
      <w:r w:rsidR="00456D51" w:rsidRPr="00430BFD">
        <w:t>m</w:t>
      </w:r>
      <w:r w:rsidR="00456D51">
        <w:t>AP</w:t>
      </w:r>
      <w:proofErr w:type="spellEnd"/>
      <w:r w:rsidR="00456D51" w:rsidRPr="00430BFD">
        <w:t xml:space="preserve"> </w:t>
      </w:r>
      <w:r w:rsidR="00456D51">
        <w:t>start-up</w:t>
      </w:r>
      <w:bookmarkEnd w:id="15"/>
      <w:r w:rsidR="00456D51"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0717778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bookmarkEnd w:id="16"/>
      <w:proofErr w:type="spellEnd"/>
    </w:p>
    <w:p w:rsidR="004C45C7" w:rsidRDefault="00283207" w:rsidP="00C94325">
      <w:r>
        <w:t>T</w:t>
      </w:r>
      <w:r w:rsidR="007E70DC">
        <w:t>hree</w:t>
      </w:r>
      <w:r w:rsidR="004C45C7">
        <w:t xml:space="preserve"> ways to fire </w:t>
      </w:r>
      <w:proofErr w:type="spellStart"/>
      <w:r w:rsidR="004C45C7">
        <w:t>mAP</w:t>
      </w:r>
      <w:proofErr w:type="spellEnd"/>
      <w:r w:rsidR="004C45C7">
        <w:t xml:space="preserve"> up:</w:t>
      </w:r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>Run 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>
        <w:t>&gt;</w:t>
      </w:r>
      <w:r w:rsidR="00B3752D" w:rsidRPr="00430BFD">
        <w:t>"</w:t>
      </w:r>
    </w:p>
    <w:p w:rsidR="003D1A68" w:rsidRDefault="003D1A68" w:rsidP="003D1A68">
      <w:pPr>
        <w:pStyle w:val="ListParagraph"/>
        <w:numPr>
          <w:ilvl w:val="2"/>
          <w:numId w:val="43"/>
        </w:numPr>
      </w:pPr>
      <w:proofErr w:type="spellStart"/>
      <w:r>
        <w:t>Eg</w:t>
      </w:r>
      <w:proofErr w:type="spellEnd"/>
      <w:r w:rsidR="00693E98">
        <w:t xml:space="preserve"> ………..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a command line </w:t>
      </w:r>
      <w:r w:rsidR="007E70DC">
        <w:t xml:space="preserve">with option </w:t>
      </w:r>
      <w:r>
        <w:t>to</w:t>
      </w:r>
      <w:r w:rsidR="007E70DC">
        <w:t xml:space="preserve"> use</w:t>
      </w:r>
      <w:r>
        <w:t xml:space="preserve"> existing database and</w:t>
      </w:r>
      <w:r w:rsidR="00CF1AC0">
        <w:t xml:space="preserve"> </w:t>
      </w:r>
      <w:r>
        <w:t>/</w:t>
      </w:r>
      <w:r w:rsidR="00CF1AC0">
        <w:t xml:space="preserve"> </w:t>
      </w:r>
      <w:r>
        <w:t xml:space="preserve">or </w:t>
      </w:r>
      <w:proofErr w:type="spellStart"/>
      <w:r>
        <w:t>config</w:t>
      </w:r>
      <w:proofErr w:type="spellEnd"/>
      <w:r>
        <w:t xml:space="preserve"> files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executable&gt;</w:t>
      </w:r>
      <w:r w:rsidRPr="00430BFD">
        <w:t>"</w:t>
      </w:r>
      <w:r>
        <w:t xml:space="preserve"> </w:t>
      </w:r>
      <w:r w:rsidRPr="00430BFD">
        <w:t>"</w:t>
      </w:r>
      <w:r>
        <w:t xml:space="preserve">&lt;full path to the </w:t>
      </w:r>
      <w:proofErr w:type="spellStart"/>
      <w:r>
        <w:t>SLQLite</w:t>
      </w:r>
      <w:proofErr w:type="spellEnd"/>
      <w:r>
        <w:t xml:space="preserve"> database </w:t>
      </w:r>
      <w:r w:rsidR="000B48FB">
        <w:t>or</w:t>
      </w:r>
      <w:r>
        <w:t xml:space="preserve"> </w:t>
      </w:r>
      <w:proofErr w:type="spellStart"/>
      <w:r>
        <w:t>mySQL</w:t>
      </w:r>
      <w:proofErr w:type="spellEnd"/>
      <w:r w:rsidR="000D3792">
        <w:t xml:space="preserve"> </w:t>
      </w:r>
      <w:r w:rsidR="000B48FB">
        <w:t xml:space="preserve"> and</w:t>
      </w:r>
      <w:r>
        <w:t xml:space="preserve"> </w:t>
      </w:r>
      <w:r w:rsidR="000D3792">
        <w:t>G</w:t>
      </w:r>
      <w:r>
        <w:t>oogle drive file, without file separator at the end&gt;</w:t>
      </w:r>
      <w:r w:rsidRPr="00430BFD">
        <w:t>"</w:t>
      </w:r>
    </w:p>
    <w:p w:rsidR="003D1A68" w:rsidRDefault="003D1A68" w:rsidP="003D1A68">
      <w:pPr>
        <w:pStyle w:val="ListParagraph"/>
        <w:numPr>
          <w:ilvl w:val="2"/>
          <w:numId w:val="43"/>
        </w:numPr>
      </w:pPr>
      <w:proofErr w:type="spellStart"/>
      <w:r>
        <w:t>Eg</w:t>
      </w:r>
      <w:proofErr w:type="spellEnd"/>
      <w:r w:rsidR="00693E98">
        <w:t xml:space="preserve"> …………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path the executable </w:t>
      </w:r>
      <w:r w:rsidR="00C20A90">
        <w:t xml:space="preserve">or the </w:t>
      </w:r>
      <w:proofErr w:type="spellStart"/>
      <w:r w:rsidR="00C20A90">
        <w:t>config</w:t>
      </w:r>
      <w:proofErr w:type="spellEnd"/>
      <w:r w:rsidR="00C20A90">
        <w:t xml:space="preserve"> files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0717779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0717780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0717781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0717782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lastRenderedPageBreak/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0717783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0717784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071778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0717786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lastRenderedPageBreak/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0717787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0717788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lastRenderedPageBreak/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0717789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0717790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0717791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0717792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071779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0717794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0717795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0717796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0D7D7B" w:rsidRPr="003E3827">
        <w:rPr>
          <w:b/>
          <w:color w:val="FF0000"/>
        </w:rPr>
        <w:t>NEW</w:t>
      </w:r>
      <w:r w:rsidR="000D7D7B" w:rsidRPr="005649F2">
        <w:rPr>
          <w:b/>
        </w:rPr>
        <w:t xml:space="preserve"> 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071779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0717798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lastRenderedPageBreak/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0717799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071780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071780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071780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0717803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lastRenderedPageBreak/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071780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680309" w:rsidRPr="00680309">
              <w:rPr>
                <w:b/>
                <w:color w:val="FF0000"/>
              </w:rPr>
              <w:t>NEW</w:t>
            </w:r>
            <w:r w:rsidR="00680309">
              <w:t xml:space="preserve">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91536C" w:rsidRPr="0091536C">
        <w:rPr>
          <w:b/>
          <w:color w:val="FF0000"/>
        </w:rPr>
        <w:t>NEW</w:t>
      </w:r>
      <w:r w:rsidR="0091536C">
        <w:t xml:space="preserve">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0717805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0717806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0717807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0717808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071780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071781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071781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</w:t>
            </w:r>
            <w:r w:rsidR="00EB0D16">
              <w:lastRenderedPageBreak/>
              <w:t>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3071781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8" w:name="_Toc430717813"/>
      <w:r>
        <w:t xml:space="preserve">How to </w:t>
      </w:r>
      <w:r w:rsidR="00F32AEC">
        <w:t>create charts</w:t>
      </w:r>
      <w:bookmarkEnd w:id="108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lastRenderedPageBreak/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9" w:name="HowtocreateaDailyBurndownchart"/>
      <w:bookmarkStart w:id="110" w:name="_Toc430717814"/>
      <w:bookmarkEnd w:id="109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0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1" w:name="_Toc43071781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1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2" w:name="_Toc430717816"/>
      <w:r>
        <w:t>Annex</w:t>
      </w:r>
      <w:bookmarkEnd w:id="112"/>
    </w:p>
    <w:p w:rsidR="002A3130" w:rsidRDefault="00C06979" w:rsidP="002A3130">
      <w:pPr>
        <w:pStyle w:val="Heading2"/>
      </w:pPr>
      <w:bookmarkStart w:id="113" w:name="_Toc430717817"/>
      <w:r>
        <w:t>Themes</w:t>
      </w:r>
      <w:bookmarkEnd w:id="11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BF6D6A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BF6D6A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BF6D6A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BF6D6A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BF6D6A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BF6D6A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4" w:name="_Toc430717818"/>
      <w:r>
        <w:lastRenderedPageBreak/>
        <w:t>Libraries</w:t>
      </w:r>
      <w:bookmarkEnd w:id="11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5" w:name="XSDSchema"/>
      <w:bookmarkStart w:id="116" w:name="_Toc430717819"/>
      <w:bookmarkEnd w:id="115"/>
      <w:r>
        <w:t>XSD schema</w:t>
      </w:r>
      <w:bookmarkEnd w:id="116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F17" w:rsidRDefault="00E15F17" w:rsidP="004A6442">
      <w:r>
        <w:separator/>
      </w:r>
    </w:p>
  </w:endnote>
  <w:endnote w:type="continuationSeparator" w:id="0">
    <w:p w:rsidR="00E15F17" w:rsidRDefault="00E15F1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BF6D6A">
        <w:pPr>
          <w:pStyle w:val="Footer"/>
          <w:jc w:val="center"/>
        </w:pPr>
        <w:fldSimple w:instr=" PAGE   \* MERGEFORMAT ">
          <w:r w:rsidR="00693E98">
            <w:rPr>
              <w:noProof/>
            </w:rPr>
            <w:t>9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F17" w:rsidRDefault="00E15F17" w:rsidP="004A6442">
      <w:r>
        <w:separator/>
      </w:r>
    </w:p>
  </w:footnote>
  <w:footnote w:type="continuationSeparator" w:id="0">
    <w:p w:rsidR="00E15F17" w:rsidRDefault="00E15F1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497809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641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7A18A-B6D9-4E00-9AE4-4CF16153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6565</TotalTime>
  <Pages>29</Pages>
  <Words>7482</Words>
  <Characters>41151</Characters>
  <Application>Microsoft Office Word</Application>
  <DocSecurity>0</DocSecurity>
  <Lines>342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380</cp:revision>
  <cp:lastPrinted>2015-01-15T11:42:00Z</cp:lastPrinted>
  <dcterms:created xsi:type="dcterms:W3CDTF">2014-05-06T09:48:00Z</dcterms:created>
  <dcterms:modified xsi:type="dcterms:W3CDTF">2015-09-22T17:15:00Z</dcterms:modified>
</cp:coreProperties>
</file>