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p>
    <w:p>
      <w:pPr>
        <w:spacing w:after="80" w:before="0"/>
        <w:jc w:val="center"/>
      </w:pPr>
      <w:r>
        <w:rPr>
          <w:rFonts w:ascii="Arial" w:cs="Arial" w:eastAsia="Arial" w:hAnsi="Arial"/>
          <w:b/>
          <w:bCs/>
          <w:caps/>
          <w:color w:val="1B3A5C"/>
          <w:sz w:val="48"/>
          <w:szCs w:val="48"/>
        </w:rPr>
        <w:t xml:space="preserve">LITERATURE SURVEY REPORT</w:t>
      </w:r>
    </w:p>
    <w:p>
      <w:pPr>
        <w:pBdr>
          <w:bottom w:val="single" w:color="2E6DA4" w:sz="14" w:space="4"/>
        </w:pBdr>
        <w:spacing w:after="80" w:before="0"/>
        <w:jc w:val="center"/>
      </w:pPr>
      <w:r>
        <w:rPr>
          <w:rFonts w:ascii="Arial" w:cs="Arial" w:eastAsia="Arial" w:hAnsi="Arial"/>
          <w:b/>
          <w:bCs/>
          <w:color w:val="2E6DA4"/>
          <w:sz w:val="34"/>
          <w:szCs w:val="34"/>
        </w:rPr>
        <w:t xml:space="preserve">Passive Sonar-Based Enemy Ship Detection System</w:t>
      </w:r>
    </w:p>
    <w:p>
      <w:pPr>
        <w:spacing w:after="40" w:before="80"/>
      </w:pPr>
    </w:p>
    <w:p>
      <w:pPr>
        <w:spacing w:after="40" w:before="0"/>
        <w:jc w:val="center"/>
      </w:pPr>
      <w:r>
        <w:rPr>
          <w:rFonts w:ascii="Arial" w:cs="Arial" w:eastAsia="Arial" w:hAnsi="Arial"/>
          <w:i/>
          <w:iCs/>
          <w:color w:val="444444"/>
          <w:sz w:val="24"/>
          <w:szCs w:val="24"/>
        </w:rPr>
        <w:t xml:space="preserve">A Comprehensive Survey of Deep Learning Architectures and Transfer Learning Approaches for Binary Acoustic Classification</w:t>
      </w:r>
    </w:p>
    <w:p>
      <w:pPr>
        <w:spacing w:after="4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D6E4F0" w:val="clear"/>
            <w:tcMar>
              <w:top w:type="dxa" w:w="80"/>
              <w:left w:type="dxa" w:w="200"/>
              <w:bottom w:type="dxa" w:w="80"/>
              <w:right w:type="dxa" w:w="200"/>
            </w:tcMar>
          </w:tcPr>
          <w:p>
            <w:pPr>
              <w:spacing w:after="40" w:before="40"/>
            </w:pPr>
            <w:r>
              <w:rPr>
                <w:rFonts w:ascii="Arial" w:cs="Arial" w:eastAsia="Arial" w:hAnsi="Arial"/>
                <w:b/>
                <w:bCs/>
                <w:color w:val="1B3A5C"/>
                <w:sz w:val="21"/>
                <w:szCs w:val="21"/>
              </w:rPr>
              <w:t xml:space="preserve">Project Domain: </w:t>
            </w:r>
            <w:r>
              <w:rPr>
                <w:rFonts w:ascii="Arial" w:cs="Arial" w:eastAsia="Arial" w:hAnsi="Arial"/>
                <w:color w:val="1A1A2E"/>
                <w:sz w:val="21"/>
                <w:szCs w:val="21"/>
              </w:rPr>
              <w:t xml:space="preserve">Underwater Acoustics  |  Signal Processing  |  Deep Learning  |  Naval Defense Technology</w:t>
            </w:r>
          </w:p>
        </w:tc>
      </w:tr>
      <w:tr>
        <w:tc>
          <w:tcPr>
            <w:tcW w:type="dxa" w:w="9360"/>
            <w:tcBorders>
              <w:top w:val="single" w:color="2E6DA4" w:sz="6"/>
              <w:left w:val="single" w:color="2E6DA4" w:sz="6"/>
              <w:bottom w:val="single" w:color="2E6DA4" w:sz="6"/>
              <w:right w:val="single" w:color="2E6DA4" w:sz="6"/>
            </w:tcBorders>
            <w:shd w:fill="D6E4F0" w:val="clear"/>
            <w:tcMar>
              <w:top w:type="dxa" w:w="80"/>
              <w:left w:type="dxa" w:w="200"/>
              <w:bottom w:type="dxa" w:w="80"/>
              <w:right w:type="dxa" w:w="200"/>
            </w:tcMar>
          </w:tcPr>
          <w:p>
            <w:pPr>
              <w:spacing w:after="40" w:before="40"/>
            </w:pPr>
            <w:r>
              <w:rPr>
                <w:rFonts w:ascii="Arial" w:cs="Arial" w:eastAsia="Arial" w:hAnsi="Arial"/>
                <w:b/>
                <w:bCs/>
                <w:color w:val="1B3A5C"/>
                <w:sz w:val="21"/>
                <w:szCs w:val="21"/>
              </w:rPr>
              <w:t xml:space="preserve">Report Type: </w:t>
            </w:r>
            <w:r>
              <w:rPr>
                <w:rFonts w:ascii="Arial" w:cs="Arial" w:eastAsia="Arial" w:hAnsi="Arial"/>
                <w:color w:val="1A1A2E"/>
                <w:sz w:val="21"/>
                <w:szCs w:val="21"/>
              </w:rPr>
              <w:t xml:space="preserve">Generalized Literature Survey — Phase I (Comprehensive Research Review, Technology-Agnostic)</w:t>
            </w:r>
          </w:p>
        </w:tc>
      </w:tr>
      <w:tr>
        <w:tc>
          <w:tcPr>
            <w:tcW w:type="dxa" w:w="9360"/>
            <w:tcBorders>
              <w:top w:val="single" w:color="2E6DA4" w:sz="6"/>
              <w:left w:val="single" w:color="2E6DA4" w:sz="6"/>
              <w:bottom w:val="single" w:color="2E6DA4" w:sz="6"/>
              <w:right w:val="single" w:color="2E6DA4" w:sz="6"/>
            </w:tcBorders>
            <w:shd w:fill="D6E4F0" w:val="clear"/>
            <w:tcMar>
              <w:top w:type="dxa" w:w="80"/>
              <w:left w:type="dxa" w:w="200"/>
              <w:bottom w:type="dxa" w:w="80"/>
              <w:right w:type="dxa" w:w="200"/>
            </w:tcMar>
          </w:tcPr>
          <w:p>
            <w:pPr>
              <w:spacing w:after="40" w:before="40"/>
            </w:pPr>
            <w:r>
              <w:rPr>
                <w:rFonts w:ascii="Arial" w:cs="Arial" w:eastAsia="Arial" w:hAnsi="Arial"/>
                <w:b/>
                <w:bCs/>
                <w:color w:val="1B3A5C"/>
                <w:sz w:val="21"/>
                <w:szCs w:val="21"/>
              </w:rPr>
              <w:t xml:space="preserve">Academic Year: </w:t>
            </w:r>
            <w:r>
              <w:rPr>
                <w:rFonts w:ascii="Arial" w:cs="Arial" w:eastAsia="Arial" w:hAnsi="Arial"/>
                <w:color w:val="1A1A2E"/>
                <w:sz w:val="21"/>
                <w:szCs w:val="21"/>
              </w:rPr>
              <w:t xml:space="preserve">2024 – 2025</w:t>
            </w:r>
          </w:p>
        </w:tc>
      </w:tr>
      <w:tr>
        <w:tc>
          <w:tcPr>
            <w:tcW w:type="dxa" w:w="9360"/>
            <w:tcBorders>
              <w:top w:val="single" w:color="2E6DA4" w:sz="6"/>
              <w:left w:val="single" w:color="2E6DA4" w:sz="6"/>
              <w:bottom w:val="single" w:color="2E6DA4" w:sz="6"/>
              <w:right w:val="single" w:color="2E6DA4" w:sz="6"/>
            </w:tcBorders>
            <w:shd w:fill="D6E4F0" w:val="clear"/>
            <w:tcMar>
              <w:top w:type="dxa" w:w="80"/>
              <w:left w:type="dxa" w:w="200"/>
              <w:bottom w:type="dxa" w:w="80"/>
              <w:right w:type="dxa" w:w="200"/>
            </w:tcMar>
          </w:tcPr>
          <w:p>
            <w:pPr>
              <w:spacing w:after="40" w:before="40"/>
            </w:pPr>
            <w:r>
              <w:rPr>
                <w:rFonts w:ascii="Arial" w:cs="Arial" w:eastAsia="Arial" w:hAnsi="Arial"/>
                <w:b/>
                <w:bCs/>
                <w:color w:val="1B3A5C"/>
                <w:sz w:val="21"/>
                <w:szCs w:val="21"/>
              </w:rPr>
              <w:t xml:space="preserve">Total References: </w:t>
            </w:r>
            <w:r>
              <w:rPr>
                <w:rFonts w:ascii="Arial" w:cs="Arial" w:eastAsia="Arial" w:hAnsi="Arial"/>
                <w:color w:val="1A1A2E"/>
                <w:sz w:val="21"/>
                <w:szCs w:val="21"/>
              </w:rPr>
              <w:t xml:space="preserve">15 Peer-Reviewed Publications (1988 – 2025)</w:t>
            </w:r>
          </w:p>
        </w:tc>
      </w:tr>
      <w:tr>
        <w:tc>
          <w:tcPr>
            <w:tcW w:type="dxa" w:w="9360"/>
            <w:tcBorders>
              <w:top w:val="single" w:color="2E6DA4" w:sz="6"/>
              <w:left w:val="single" w:color="2E6DA4" w:sz="6"/>
              <w:bottom w:val="single" w:color="2E6DA4" w:sz="6"/>
              <w:right w:val="single" w:color="2E6DA4" w:sz="6"/>
            </w:tcBorders>
            <w:shd w:fill="D6E4F0" w:val="clear"/>
            <w:tcMar>
              <w:top w:type="dxa" w:w="80"/>
              <w:left w:type="dxa" w:w="200"/>
              <w:bottom w:type="dxa" w:w="80"/>
              <w:right w:type="dxa" w:w="200"/>
            </w:tcMar>
          </w:tcPr>
          <w:p>
            <w:pPr>
              <w:spacing w:after="40" w:before="40"/>
            </w:pPr>
            <w:r>
              <w:rPr>
                <w:rFonts w:ascii="Arial" w:cs="Arial" w:eastAsia="Arial" w:hAnsi="Arial"/>
                <w:b/>
                <w:bCs/>
                <w:color w:val="1B3A5C"/>
                <w:sz w:val="21"/>
                <w:szCs w:val="21"/>
              </w:rPr>
              <w:t xml:space="preserve">Primary Objective: </w:t>
            </w:r>
            <w:r>
              <w:rPr>
                <w:rFonts w:ascii="Arial" w:cs="Arial" w:eastAsia="Arial" w:hAnsi="Arial"/>
                <w:color w:val="1A1A2E"/>
                <w:sz w:val="21"/>
                <w:szCs w:val="21"/>
              </w:rPr>
              <w:t xml:space="preserve">Binary classification of passive sonar audio signals — ALL viable deep learning architectures presented equally without bias</w:t>
            </w:r>
          </w:p>
        </w:tc>
      </w:tr>
    </w:tbl>
    <w:p>
      <w:pPr>
        <w:spacing w:after="0" w:before="200"/>
      </w:pPr>
    </w:p>
    <w:p>
      <w:r>
        <w:br w:type="page"/>
      </w:r>
    </w:p>
    <w:p>
      <w:pPr>
        <w:pStyle w:val="Heading1"/>
        <w:spacing w:after="120" w:before="400"/>
      </w:pPr>
      <w:r>
        <w:rPr>
          <w:rFonts w:ascii="Arial" w:cs="Arial" w:eastAsia="Arial" w:hAnsi="Arial"/>
          <w:b/>
          <w:bCs/>
          <w:color w:val="1B3A5C"/>
          <w:sz w:val="30"/>
          <w:szCs w:val="30"/>
        </w:rPr>
        <w:t xml:space="preserve">Table of Contents</w:t>
      </w:r>
    </w:p>
    <w:p>
      <w:pPr>
        <w:pBdr>
          <w:bottom w:val="single" w:color="2E6DA4" w:sz="8" w:space="1"/>
        </w:pBdr>
        <w:spacing w:after="60" w:before="60"/>
      </w:pPr>
    </w:p>
    <w:p>
      <w:pPr>
        <w:spacing w:after="40" w:before="60"/>
      </w:pPr>
    </w:p>
    <w:p>
      <w:pPr>
        <w:tabs>
          <w:tab w:val="right" w:pos="9360"/>
        </w:tabs>
        <w:spacing w:after="60" w:before="60"/>
      </w:pPr>
      <w:r>
        <w:rPr>
          <w:rFonts w:ascii="Arial" w:cs="Arial" w:eastAsia="Arial" w:hAnsi="Arial"/>
          <w:color w:val="1A1A2E"/>
          <w:sz w:val="21"/>
          <w:szCs w:val="21"/>
        </w:rPr>
        <w:t xml:space="preserve">1.  Abstract</w:t>
      </w:r>
      <w:r>
        <w:rPr>
          <w:sz w:val="21"/>
          <w:szCs w:val="21"/>
        </w:rPr>
        <w:t xml:space="preserve">	</w:t>
      </w:r>
      <w:r>
        <w:rPr>
          <w:rFonts w:ascii="Arial" w:cs="Arial" w:eastAsia="Arial" w:hAnsi="Arial"/>
          <w:color w:val="2E6DA4"/>
          <w:sz w:val="21"/>
          <w:szCs w:val="21"/>
        </w:rPr>
        <w:t xml:space="preserve">03</w:t>
      </w:r>
    </w:p>
    <w:p>
      <w:pPr>
        <w:tabs>
          <w:tab w:val="right" w:pos="9360"/>
        </w:tabs>
        <w:spacing w:after="60" w:before="60"/>
      </w:pPr>
      <w:r>
        <w:rPr>
          <w:rFonts w:ascii="Arial" w:cs="Arial" w:eastAsia="Arial" w:hAnsi="Arial"/>
          <w:color w:val="1A1A2E"/>
          <w:sz w:val="21"/>
          <w:szCs w:val="21"/>
        </w:rPr>
        <w:t xml:space="preserve">2.  Introduction and Problem Background</w:t>
      </w:r>
      <w:r>
        <w:rPr>
          <w:sz w:val="21"/>
          <w:szCs w:val="21"/>
        </w:rPr>
        <w:t xml:space="preserve">	</w:t>
      </w:r>
      <w:r>
        <w:rPr>
          <w:rFonts w:ascii="Arial" w:cs="Arial" w:eastAsia="Arial" w:hAnsi="Arial"/>
          <w:color w:val="2E6DA4"/>
          <w:sz w:val="21"/>
          <w:szCs w:val="21"/>
        </w:rPr>
        <w:t xml:space="preserve">04</w:t>
      </w:r>
    </w:p>
    <w:p>
      <w:pPr>
        <w:tabs>
          <w:tab w:val="right" w:pos="9360"/>
        </w:tabs>
        <w:spacing w:after="60" w:before="60"/>
      </w:pPr>
      <w:r>
        <w:rPr>
          <w:rFonts w:ascii="Arial" w:cs="Arial" w:eastAsia="Arial" w:hAnsi="Arial"/>
          <w:color w:val="1A1A2E"/>
          <w:sz w:val="21"/>
          <w:szCs w:val="21"/>
        </w:rPr>
        <w:t xml:space="preserve">3.  Passive Sonar Technology — Fundamentals</w:t>
      </w:r>
      <w:r>
        <w:rPr>
          <w:sz w:val="21"/>
          <w:szCs w:val="21"/>
        </w:rPr>
        <w:t xml:space="preserve">	</w:t>
      </w:r>
      <w:r>
        <w:rPr>
          <w:rFonts w:ascii="Arial" w:cs="Arial" w:eastAsia="Arial" w:hAnsi="Arial"/>
          <w:color w:val="2E6DA4"/>
          <w:sz w:val="21"/>
          <w:szCs w:val="21"/>
        </w:rPr>
        <w:t xml:space="preserve">05</w:t>
      </w:r>
    </w:p>
    <w:p>
      <w:pPr>
        <w:tabs>
          <w:tab w:val="right" w:pos="9360"/>
        </w:tabs>
        <w:spacing w:after="60" w:before="60"/>
      </w:pPr>
      <w:r>
        <w:rPr>
          <w:rFonts w:ascii="Arial" w:cs="Arial" w:eastAsia="Arial" w:hAnsi="Arial"/>
          <w:color w:val="1A1A2E"/>
          <w:sz w:val="21"/>
          <w:szCs w:val="21"/>
        </w:rPr>
        <w:t xml:space="preserve">4.  Signal Processing and Feature Extraction</w:t>
      </w:r>
      <w:r>
        <w:rPr>
          <w:sz w:val="21"/>
          <w:szCs w:val="21"/>
        </w:rPr>
        <w:t xml:space="preserve">	</w:t>
      </w:r>
      <w:r>
        <w:rPr>
          <w:rFonts w:ascii="Arial" w:cs="Arial" w:eastAsia="Arial" w:hAnsi="Arial"/>
          <w:color w:val="2E6DA4"/>
          <w:sz w:val="21"/>
          <w:szCs w:val="21"/>
        </w:rPr>
        <w:t xml:space="preserve">06</w:t>
      </w:r>
    </w:p>
    <w:p>
      <w:pPr>
        <w:tabs>
          <w:tab w:val="right" w:pos="9360"/>
        </w:tabs>
        <w:spacing w:after="60" w:before="60"/>
      </w:pPr>
      <w:r>
        <w:rPr>
          <w:rFonts w:ascii="Arial" w:cs="Arial" w:eastAsia="Arial" w:hAnsi="Arial"/>
          <w:color w:val="1A1A2E"/>
          <w:sz w:val="21"/>
          <w:szCs w:val="21"/>
        </w:rPr>
        <w:t xml:space="preserve">5.  Classical Machine Learning Approaches</w:t>
      </w:r>
      <w:r>
        <w:rPr>
          <w:sz w:val="21"/>
          <w:szCs w:val="21"/>
        </w:rPr>
        <w:t xml:space="preserve">	</w:t>
      </w:r>
      <w:r>
        <w:rPr>
          <w:rFonts w:ascii="Arial" w:cs="Arial" w:eastAsia="Arial" w:hAnsi="Arial"/>
          <w:color w:val="2E6DA4"/>
          <w:sz w:val="21"/>
          <w:szCs w:val="21"/>
        </w:rPr>
        <w:t xml:space="preserve">08</w:t>
      </w:r>
    </w:p>
    <w:p>
      <w:pPr>
        <w:tabs>
          <w:tab w:val="right" w:pos="9360"/>
        </w:tabs>
        <w:spacing w:after="60" w:before="60"/>
      </w:pPr>
      <w:r>
        <w:rPr>
          <w:rFonts w:ascii="Arial" w:cs="Arial" w:eastAsia="Arial" w:hAnsi="Arial"/>
          <w:color w:val="1A1A2E"/>
          <w:sz w:val="21"/>
          <w:szCs w:val="21"/>
        </w:rPr>
        <w:t xml:space="preserve">6.  Deep Learning Architectures — Comprehensive Survey</w:t>
      </w:r>
      <w:r>
        <w:rPr>
          <w:sz w:val="21"/>
          <w:szCs w:val="21"/>
        </w:rPr>
        <w:t xml:space="preserve">	</w:t>
      </w:r>
      <w:r>
        <w:rPr>
          <w:rFonts w:ascii="Arial" w:cs="Arial" w:eastAsia="Arial" w:hAnsi="Arial"/>
          <w:color w:val="2E6DA4"/>
          <w:sz w:val="21"/>
          <w:szCs w:val="21"/>
        </w:rPr>
        <w:t xml:space="preserve">09</w:t>
      </w:r>
    </w:p>
    <w:p>
      <w:pPr>
        <w:tabs>
          <w:tab w:val="right" w:pos="9360"/>
        </w:tabs>
        <w:spacing w:after="60" w:before="60"/>
      </w:pPr>
      <w:r>
        <w:rPr>
          <w:rFonts w:ascii="Arial" w:cs="Arial" w:eastAsia="Arial" w:hAnsi="Arial"/>
          <w:color w:val="1A1A2E"/>
          <w:sz w:val="21"/>
          <w:szCs w:val="21"/>
        </w:rPr>
        <w:t xml:space="preserve">7.  Architectural Comparison and Selection Criteria</w:t>
      </w:r>
      <w:r>
        <w:rPr>
          <w:sz w:val="21"/>
          <w:szCs w:val="21"/>
        </w:rPr>
        <w:t xml:space="preserve">	</w:t>
      </w:r>
      <w:r>
        <w:rPr>
          <w:rFonts w:ascii="Arial" w:cs="Arial" w:eastAsia="Arial" w:hAnsi="Arial"/>
          <w:color w:val="2E6DA4"/>
          <w:sz w:val="21"/>
          <w:szCs w:val="21"/>
        </w:rPr>
        <w:t xml:space="preserve">12</w:t>
      </w:r>
    </w:p>
    <w:p>
      <w:pPr>
        <w:tabs>
          <w:tab w:val="right" w:pos="9360"/>
        </w:tabs>
        <w:spacing w:after="60" w:before="60"/>
      </w:pPr>
      <w:r>
        <w:rPr>
          <w:rFonts w:ascii="Arial" w:cs="Arial" w:eastAsia="Arial" w:hAnsi="Arial"/>
          <w:color w:val="1A1A2E"/>
          <w:sz w:val="21"/>
          <w:szCs w:val="21"/>
        </w:rPr>
        <w:t xml:space="preserve">8.  Transfer Learning Strategies</w:t>
      </w:r>
      <w:r>
        <w:rPr>
          <w:sz w:val="21"/>
          <w:szCs w:val="21"/>
        </w:rPr>
        <w:t xml:space="preserve">	</w:t>
      </w:r>
      <w:r>
        <w:rPr>
          <w:rFonts w:ascii="Arial" w:cs="Arial" w:eastAsia="Arial" w:hAnsi="Arial"/>
          <w:color w:val="2E6DA4"/>
          <w:sz w:val="21"/>
          <w:szCs w:val="21"/>
        </w:rPr>
        <w:t xml:space="preserve">14</w:t>
      </w:r>
    </w:p>
    <w:p>
      <w:pPr>
        <w:tabs>
          <w:tab w:val="right" w:pos="9360"/>
        </w:tabs>
        <w:spacing w:after="60" w:before="60"/>
      </w:pPr>
      <w:r>
        <w:rPr>
          <w:rFonts w:ascii="Arial" w:cs="Arial" w:eastAsia="Arial" w:hAnsi="Arial"/>
          <w:color w:val="1A1A2E"/>
          <w:sz w:val="21"/>
          <w:szCs w:val="21"/>
        </w:rPr>
        <w:t xml:space="preserve">9.  Publicly Available Datasets</w:t>
      </w:r>
      <w:r>
        <w:rPr>
          <w:sz w:val="21"/>
          <w:szCs w:val="21"/>
        </w:rPr>
        <w:t xml:space="preserve">	</w:t>
      </w:r>
      <w:r>
        <w:rPr>
          <w:rFonts w:ascii="Arial" w:cs="Arial" w:eastAsia="Arial" w:hAnsi="Arial"/>
          <w:color w:val="2E6DA4"/>
          <w:sz w:val="21"/>
          <w:szCs w:val="21"/>
        </w:rPr>
        <w:t xml:space="preserve">15</w:t>
      </w:r>
    </w:p>
    <w:p>
      <w:pPr>
        <w:tabs>
          <w:tab w:val="right" w:pos="9360"/>
        </w:tabs>
        <w:spacing w:after="60" w:before="60"/>
      </w:pPr>
      <w:r>
        <w:rPr>
          <w:rFonts w:ascii="Arial" w:cs="Arial" w:eastAsia="Arial" w:hAnsi="Arial"/>
          <w:color w:val="1A1A2E"/>
          <w:sz w:val="21"/>
          <w:szCs w:val="21"/>
        </w:rPr>
        <w:t xml:space="preserve">10.  Latest Trends in Passive Sonar (2024–2025)</w:t>
      </w:r>
      <w:r>
        <w:rPr>
          <w:sz w:val="21"/>
          <w:szCs w:val="21"/>
        </w:rPr>
        <w:t xml:space="preserve">	</w:t>
      </w:r>
      <w:r>
        <w:rPr>
          <w:rFonts w:ascii="Arial" w:cs="Arial" w:eastAsia="Arial" w:hAnsi="Arial"/>
          <w:color w:val="2E6DA4"/>
          <w:sz w:val="21"/>
          <w:szCs w:val="21"/>
        </w:rPr>
        <w:t xml:space="preserve">17</w:t>
      </w:r>
    </w:p>
    <w:p>
      <w:pPr>
        <w:tabs>
          <w:tab w:val="right" w:pos="9360"/>
        </w:tabs>
        <w:spacing w:after="60" w:before="60"/>
      </w:pPr>
      <w:r>
        <w:rPr>
          <w:rFonts w:ascii="Arial" w:cs="Arial" w:eastAsia="Arial" w:hAnsi="Arial"/>
          <w:color w:val="1A1A2E"/>
          <w:sz w:val="21"/>
          <w:szCs w:val="21"/>
        </w:rPr>
        <w:t xml:space="preserve">11.  Decision Framework for Architecture Selection</w:t>
      </w:r>
      <w:r>
        <w:rPr>
          <w:sz w:val="21"/>
          <w:szCs w:val="21"/>
        </w:rPr>
        <w:t xml:space="preserve">	</w:t>
      </w:r>
      <w:r>
        <w:rPr>
          <w:rFonts w:ascii="Arial" w:cs="Arial" w:eastAsia="Arial" w:hAnsi="Arial"/>
          <w:color w:val="2E6DA4"/>
          <w:sz w:val="21"/>
          <w:szCs w:val="21"/>
        </w:rPr>
        <w:t xml:space="preserve">18</w:t>
      </w:r>
    </w:p>
    <w:p>
      <w:pPr>
        <w:tabs>
          <w:tab w:val="right" w:pos="9360"/>
        </w:tabs>
        <w:spacing w:after="60" w:before="60"/>
      </w:pPr>
      <w:r>
        <w:rPr>
          <w:rFonts w:ascii="Arial" w:cs="Arial" w:eastAsia="Arial" w:hAnsi="Arial"/>
          <w:color w:val="1A1A2E"/>
          <w:sz w:val="21"/>
          <w:szCs w:val="21"/>
        </w:rPr>
        <w:t xml:space="preserve">12.  Research Gaps and Project Opportunities</w:t>
      </w:r>
      <w:r>
        <w:rPr>
          <w:sz w:val="21"/>
          <w:szCs w:val="21"/>
        </w:rPr>
        <w:t xml:space="preserve">	</w:t>
      </w:r>
      <w:r>
        <w:rPr>
          <w:rFonts w:ascii="Arial" w:cs="Arial" w:eastAsia="Arial" w:hAnsi="Arial"/>
          <w:color w:val="2E6DA4"/>
          <w:sz w:val="21"/>
          <w:szCs w:val="21"/>
        </w:rPr>
        <w:t xml:space="preserve">19</w:t>
      </w:r>
    </w:p>
    <w:p>
      <w:pPr>
        <w:tabs>
          <w:tab w:val="right" w:pos="9360"/>
        </w:tabs>
        <w:spacing w:after="60" w:before="60"/>
      </w:pPr>
      <w:r>
        <w:rPr>
          <w:rFonts w:ascii="Arial" w:cs="Arial" w:eastAsia="Arial" w:hAnsi="Arial"/>
          <w:color w:val="1A1A2E"/>
          <w:sz w:val="21"/>
          <w:szCs w:val="21"/>
        </w:rPr>
        <w:t xml:space="preserve">13.  Conclusion and Next Steps</w:t>
      </w:r>
      <w:r>
        <w:rPr>
          <w:sz w:val="21"/>
          <w:szCs w:val="21"/>
        </w:rPr>
        <w:t xml:space="preserve">	</w:t>
      </w:r>
      <w:r>
        <w:rPr>
          <w:rFonts w:ascii="Arial" w:cs="Arial" w:eastAsia="Arial" w:hAnsi="Arial"/>
          <w:color w:val="2E6DA4"/>
          <w:sz w:val="21"/>
          <w:szCs w:val="21"/>
        </w:rPr>
        <w:t xml:space="preserve">20</w:t>
      </w:r>
    </w:p>
    <w:p>
      <w:pPr>
        <w:tabs>
          <w:tab w:val="right" w:pos="9360"/>
        </w:tabs>
        <w:spacing w:after="60" w:before="60"/>
      </w:pPr>
      <w:r>
        <w:rPr>
          <w:rFonts w:ascii="Arial" w:cs="Arial" w:eastAsia="Arial" w:hAnsi="Arial"/>
          <w:color w:val="1A1A2E"/>
          <w:sz w:val="21"/>
          <w:szCs w:val="21"/>
        </w:rPr>
        <w:t xml:space="preserve">14.  References</w:t>
      </w:r>
      <w:r>
        <w:rPr>
          <w:sz w:val="21"/>
          <w:szCs w:val="21"/>
        </w:rPr>
        <w:t xml:space="preserve">	</w:t>
      </w:r>
      <w:r>
        <w:rPr>
          <w:rFonts w:ascii="Arial" w:cs="Arial" w:eastAsia="Arial" w:hAnsi="Arial"/>
          <w:color w:val="2E6DA4"/>
          <w:sz w:val="21"/>
          <w:szCs w:val="21"/>
        </w:rPr>
        <w:t xml:space="preserve">21</w:t>
      </w:r>
    </w:p>
    <w:p>
      <w:pPr>
        <w:spacing w:after="0" w:before="60"/>
      </w:pPr>
    </w:p>
    <w:p>
      <w:r>
        <w:br w:type="page"/>
      </w:r>
    </w:p>
    <w:p>
      <w:pPr>
        <w:pStyle w:val="Heading1"/>
        <w:spacing w:after="120" w:before="400"/>
      </w:pPr>
      <w:r>
        <w:rPr>
          <w:rFonts w:ascii="Arial" w:cs="Arial" w:eastAsia="Arial" w:hAnsi="Arial"/>
          <w:b/>
          <w:bCs/>
          <w:color w:val="1B3A5C"/>
          <w:sz w:val="30"/>
          <w:szCs w:val="30"/>
        </w:rPr>
        <w:t xml:space="preserve">1. Abstract</w:t>
      </w:r>
    </w:p>
    <w:p>
      <w:pPr>
        <w:pBdr>
          <w:bottom w:val="single" w:color="2E6DA4" w:sz="8" w:space="1"/>
        </w:pBdr>
        <w:spacing w:after="60" w:before="60"/>
      </w:pPr>
    </w:p>
    <w:p>
      <w:pPr>
        <w:spacing w:after="40" w:before="60"/>
      </w:pPr>
    </w:p>
    <w:p>
      <w:pPr>
        <w:spacing w:after="100" w:before="60" w:line="340" w:lineRule="auto"/>
        <w:jc w:val="both"/>
      </w:pPr>
      <w:r>
        <w:rPr>
          <w:rFonts w:ascii="Arial" w:cs="Arial" w:eastAsia="Arial" w:hAnsi="Arial"/>
          <w:b w:val="false"/>
          <w:bCs w:val="false"/>
          <w:i w:val="false"/>
          <w:iCs w:val="false"/>
          <w:color w:val="1A1A2E"/>
          <w:sz w:val="22"/>
          <w:szCs w:val="22"/>
        </w:rPr>
        <w:t xml:space="preserve">This literature survey presents a comprehensive two-week analytical review of research published between 1988 and 2025, covering the complete spectrum of methodologies applied to passive sonar-based enemy ship detection. Unlike project-specific technical documentation, this survey is deliberately GENERALIZED and TECHNOLOGY-AGNOSTIC, presenting all viable deep learning architectural approaches as equally valid options without prescribing a single preferred solution. This approach ensures that technology selection is deferred to Phase 4 (Model Building), where specific constraints and requirements can be evaluated against the full landscape of options.</w:t>
      </w:r>
    </w:p>
    <w:p>
      <w:pPr>
        <w:spacing w:after="100" w:before="60" w:line="340" w:lineRule="auto"/>
        <w:jc w:val="both"/>
      </w:pPr>
      <w:r>
        <w:rPr>
          <w:rFonts w:ascii="Arial" w:cs="Arial" w:eastAsia="Arial" w:hAnsi="Arial"/>
          <w:b w:val="false"/>
          <w:bCs w:val="false"/>
          <w:i w:val="false"/>
          <w:iCs w:val="false"/>
          <w:color w:val="1A1A2E"/>
          <w:sz w:val="22"/>
          <w:szCs w:val="22"/>
        </w:rPr>
        <w:t xml:space="preserve">The survey systematically examines six principal areas: (1) signal processing and feature extraction techniques including LOFAR, DEMON, MFCC, and Mel spectrograms; (2) classical machine learning foundations establishing historical context; (3) eight distinct deep learning architectures (CNN, ResNet, EfficientNet, VGG, MobileNet, DenseNet, Time Delay Neural Networks, Vision Transformers) with detailed technical analysis of each; (4) transfer learning strategies using pretrained models; (5) publicly available benchmark datasets; and (6) the latest research trends in passive sonar classification (2024–2025).</w:t>
      </w:r>
    </w:p>
    <w:p>
      <w:pPr>
        <w:spacing w:after="100" w:before="60" w:line="340" w:lineRule="auto"/>
        <w:jc w:val="both"/>
      </w:pPr>
      <w:r>
        <w:rPr>
          <w:rFonts w:ascii="Arial" w:cs="Arial" w:eastAsia="Arial" w:hAnsi="Arial"/>
          <w:b w:val="false"/>
          <w:bCs w:val="false"/>
          <w:i w:val="false"/>
          <w:iCs w:val="false"/>
          <w:color w:val="1A1A2E"/>
          <w:sz w:val="22"/>
          <w:szCs w:val="22"/>
        </w:rPr>
        <w:t xml:space="preserve">Each architectural option is analyzed with equal emphasis regarding its technical principles, published performance metrics, parameter efficiency, inference speed, data requirements, and suitability for different deployment constraints. A decision framework is provided to enable rational selection of an architecture based on specific project constraints — whether priority is maximum accuracy, minimal model size, fastest inference, lowest training time, or other criteria.</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2. Introduction and Problem Background</w:t>
      </w:r>
    </w:p>
    <w:p>
      <w:pPr>
        <w:pBdr>
          <w:bottom w:val="single" w:color="2E6DA4" w:sz="8" w:space="1"/>
        </w:pBdr>
        <w:spacing w:after="60" w:before="60"/>
      </w:pPr>
    </w:p>
    <w:p>
      <w:pPr>
        <w:spacing w:after="40" w:before="60"/>
      </w:pPr>
    </w:p>
    <w:p>
      <w:pPr>
        <w:pStyle w:val="Heading2"/>
        <w:spacing w:after="100" w:before="260"/>
      </w:pPr>
      <w:r>
        <w:rPr>
          <w:rFonts w:ascii="Arial" w:cs="Arial" w:eastAsia="Arial" w:hAnsi="Arial"/>
          <w:b/>
          <w:bCs/>
          <w:color w:val="2E6DA4"/>
          <w:sz w:val="26"/>
          <w:szCs w:val="26"/>
        </w:rPr>
        <w:t xml:space="preserve">2.1  Problem Statement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D6E4F0" w:val="clear"/>
            <w:tcMar>
              <w:top w:type="dxa" w:w="80"/>
              <w:left w:type="dxa" w:w="200"/>
              <w:bottom w:type="dxa" w:w="80"/>
              <w:right w:type="dxa" w:w="200"/>
            </w:tcMar>
          </w:tcPr>
          <w:p>
            <w:pPr>
              <w:spacing w:after="40" w:before="40"/>
            </w:pPr>
            <w:r>
              <w:rPr>
                <w:rFonts w:ascii="Arial" w:cs="Arial" w:eastAsia="Arial" w:hAnsi="Arial"/>
                <w:b/>
                <w:bCs/>
                <w:color w:val="1B3A5C"/>
                <w:sz w:val="21"/>
                <w:szCs w:val="21"/>
              </w:rPr>
              <w:t xml:space="preserve">Core Objective: </w:t>
            </w:r>
            <w:r>
              <w:rPr>
                <w:rFonts w:ascii="Arial" w:cs="Arial" w:eastAsia="Arial" w:hAnsi="Arial"/>
                <w:color w:val="1A1A2E"/>
                <w:sz w:val="21"/>
                <w:szCs w:val="21"/>
              </w:rPr>
              <w:t xml:space="preserve">Design and implement a binary classification system that processes passive sonar acoustic signals and determines — in real time — whether an enemy ship is present or absent, outputting a YES (Ship Detected) or NO (No Ship) decision, directly modeling the acoustic intelligence of a torpedo's onboard passive sonar guidance brain.</w:t>
            </w:r>
          </w:p>
        </w:tc>
      </w:tr>
    </w:tbl>
    <w:p>
      <w:pPr>
        <w:spacing w:after="40" w:before="60"/>
      </w:pPr>
    </w:p>
    <w:p>
      <w:pPr>
        <w:pStyle w:val="Heading2"/>
        <w:spacing w:after="100" w:before="260"/>
      </w:pPr>
      <w:r>
        <w:rPr>
          <w:rFonts w:ascii="Arial" w:cs="Arial" w:eastAsia="Arial" w:hAnsi="Arial"/>
          <w:b/>
          <w:bCs/>
          <w:color w:val="2E6DA4"/>
          <w:sz w:val="26"/>
          <w:szCs w:val="26"/>
        </w:rPr>
        <w:t xml:space="preserve">2.2  Operational Context</w:t>
      </w:r>
    </w:p>
    <w:p>
      <w:pPr>
        <w:spacing w:after="100" w:before="60" w:line="340" w:lineRule="auto"/>
        <w:jc w:val="both"/>
      </w:pPr>
      <w:r>
        <w:rPr>
          <w:rFonts w:ascii="Arial" w:cs="Arial" w:eastAsia="Arial" w:hAnsi="Arial"/>
          <w:b w:val="false"/>
          <w:bCs w:val="false"/>
          <w:i w:val="false"/>
          <w:iCs w:val="false"/>
          <w:color w:val="1A1A2E"/>
          <w:sz w:val="22"/>
          <w:szCs w:val="22"/>
        </w:rPr>
        <w:t xml:space="preserve">Passive sonar systems, which function exclusively by listening to acoustic energy naturally radiated by objects in the water column, serve as the primary sensing modality in torpedo guidance, submarine surveillance, and autonomous underwater vehicle navigation. The binary classification problem — detecting ship presence versus absence — is operationally critical: a missed detection compromises mission success, while false alarms waste resources and compromise detection confidence. The classifier must therefore achieve high sensitivity (capturing all genuine ships) and high specificity (rejecting non-ship acoustic sources) simultaneously, under realistic variable ocean noise conditions.</w:t>
      </w:r>
    </w:p>
    <w:p>
      <w:pPr>
        <w:pStyle w:val="Heading2"/>
        <w:spacing w:after="100" w:before="260"/>
      </w:pPr>
      <w:r>
        <w:rPr>
          <w:rFonts w:ascii="Arial" w:cs="Arial" w:eastAsia="Arial" w:hAnsi="Arial"/>
          <w:b/>
          <w:bCs/>
          <w:color w:val="2E6DA4"/>
          <w:sz w:val="26"/>
          <w:szCs w:val="26"/>
        </w:rPr>
        <w:t xml:space="preserve">2.3  Scope — Why This Survey Is Generalized</w:t>
      </w:r>
    </w:p>
    <w:p>
      <w:pPr>
        <w:spacing w:after="100" w:before="60" w:line="340" w:lineRule="auto"/>
        <w:jc w:val="both"/>
      </w:pPr>
      <w:r>
        <w:rPr>
          <w:rFonts w:ascii="Arial" w:cs="Arial" w:eastAsia="Arial" w:hAnsi="Arial"/>
          <w:b w:val="false"/>
          <w:bCs w:val="false"/>
          <w:i w:val="false"/>
          <w:iCs w:val="false"/>
          <w:color w:val="1A1A2E"/>
          <w:sz w:val="22"/>
          <w:szCs w:val="22"/>
        </w:rPr>
        <w:t xml:space="preserve">This survey deliberately avoids recommending a specific deep learning architecture as the 'best choice.' Instead, it presents eight distinct architectures with equal analytical depth, allowing the architecture decision to be made during Phase 4 (Model Building) when project-specific constraints are fully defined. This generalized approach is consistent with academic best practices for literature surveys, which serve to inform decision-making rather than prescribe it.</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3. Passive Sonar Technology — Fundamentals</w:t>
      </w:r>
    </w:p>
    <w:p>
      <w:pPr>
        <w:pBdr>
          <w:bottom w:val="single" w:color="2E6DA4" w:sz="8" w:space="1"/>
        </w:pBdr>
        <w:spacing w:after="60" w:before="60"/>
      </w:pPr>
    </w:p>
    <w:p>
      <w:pPr>
        <w:spacing w:after="40" w:before="60"/>
      </w:pPr>
    </w:p>
    <w:p>
      <w:pPr>
        <w:pStyle w:val="Heading2"/>
        <w:spacing w:after="100" w:before="260"/>
      </w:pPr>
      <w:r>
        <w:rPr>
          <w:rFonts w:ascii="Arial" w:cs="Arial" w:eastAsia="Arial" w:hAnsi="Arial"/>
          <w:b/>
          <w:bCs/>
          <w:color w:val="2E6DA4"/>
          <w:sz w:val="26"/>
          <w:szCs w:val="26"/>
        </w:rPr>
        <w:t xml:space="preserve">3.1  What Is Passive Sonar?</w:t>
      </w:r>
    </w:p>
    <w:p>
      <w:pPr>
        <w:spacing w:after="100" w:before="60" w:line="340" w:lineRule="auto"/>
        <w:jc w:val="both"/>
      </w:pPr>
      <w:r>
        <w:rPr>
          <w:rFonts w:ascii="Arial" w:cs="Arial" w:eastAsia="Arial" w:hAnsi="Arial"/>
          <w:b w:val="false"/>
          <w:bCs w:val="false"/>
          <w:i w:val="false"/>
          <w:iCs w:val="false"/>
          <w:color w:val="1A1A2E"/>
          <w:sz w:val="22"/>
          <w:szCs w:val="22"/>
        </w:rPr>
        <w:t xml:space="preserve">Passive sonar is an acoustic sensing modality that receives and analyzes sounds naturally present in the underwater environment without emitting any detectable signal. Unlike active sonar (which emits a pulse and processes the echo), passive sonar is fundamentally covert — the sensing platform cannot be detected through its sonar operation. This property makes passive sonar the sole viable technology for military applications where detection of the sensing platform would be strategically catastrophic.</w:t>
      </w:r>
    </w:p>
    <w:p>
      <w:pPr>
        <w:pStyle w:val="Heading2"/>
        <w:spacing w:after="100" w:before="260"/>
      </w:pPr>
      <w:r>
        <w:rPr>
          <w:rFonts w:ascii="Arial" w:cs="Arial" w:eastAsia="Arial" w:hAnsi="Arial"/>
          <w:b/>
          <w:bCs/>
          <w:color w:val="2E6DA4"/>
          <w:sz w:val="26"/>
          <w:szCs w:val="26"/>
        </w:rPr>
        <w:t xml:space="preserve">3.2  Acoustic Signatures of Underwater Objects</w:t>
      </w:r>
    </w:p>
    <w:p>
      <w:pPr>
        <w:spacing w:after="100" w:before="60" w:line="340" w:lineRule="auto"/>
        <w:jc w:val="both"/>
      </w:pPr>
      <w:r>
        <w:rPr>
          <w:rFonts w:ascii="Arial" w:cs="Arial" w:eastAsia="Arial" w:hAnsi="Arial"/>
          <w:b w:val="false"/>
          <w:bCs w:val="false"/>
          <w:i w:val="false"/>
          <w:iCs w:val="false"/>
          <w:color w:val="1A1A2E"/>
          <w:sz w:val="22"/>
          <w:szCs w:val="22"/>
        </w:rPr>
        <w:t xml:space="preserve">Every underwater object generates or scatters acoustic energy through distinct physical mechanisms. Enemy ships produce broadband propeller cavitation noise (100 to 5,000 Hz) and tonal machinery harmonics (engine frequencies). Ambient ocean background consists of wind-driven surface noise, wave action, and distant biological activity. The fundamental challenge of binary ship detection is that these acoustic signatures overlap significantly in frequency and temporal characteristics, requiring sophisticated pattern recognition to reliably separate them.</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4. Signal Processing and Feature Extraction</w:t>
      </w:r>
    </w:p>
    <w:p>
      <w:pPr>
        <w:pBdr>
          <w:bottom w:val="single" w:color="2E6DA4" w:sz="8" w:space="1"/>
        </w:pBdr>
        <w:spacing w:after="60" w:before="60"/>
      </w:pPr>
    </w:p>
    <w:p>
      <w:pPr>
        <w:spacing w:after="40" w:before="60"/>
      </w:pPr>
    </w:p>
    <w:p>
      <w:pPr>
        <w:pStyle w:val="Heading2"/>
        <w:spacing w:after="100" w:before="260"/>
      </w:pPr>
      <w:r>
        <w:rPr>
          <w:rFonts w:ascii="Arial" w:cs="Arial" w:eastAsia="Arial" w:hAnsi="Arial"/>
          <w:b/>
          <w:bCs/>
          <w:color w:val="2E6DA4"/>
          <w:sz w:val="26"/>
          <w:szCs w:val="26"/>
        </w:rPr>
        <w:t xml:space="preserve">4.1  Feature Extraction — Overview</w:t>
      </w:r>
    </w:p>
    <w:p>
      <w:pPr>
        <w:spacing w:after="100" w:before="60" w:line="340" w:lineRule="auto"/>
        <w:jc w:val="both"/>
      </w:pPr>
      <w:r>
        <w:rPr>
          <w:rFonts w:ascii="Arial" w:cs="Arial" w:eastAsia="Arial" w:hAnsi="Arial"/>
          <w:b w:val="false"/>
          <w:bCs w:val="false"/>
          <w:i w:val="false"/>
          <w:iCs w:val="false"/>
          <w:color w:val="1A1A2E"/>
          <w:sz w:val="22"/>
          <w:szCs w:val="22"/>
        </w:rPr>
        <w:t xml:space="preserve">Before machine learning classifiers can operate, raw time-domain audio waveforms must be transformed into compact frequency-domain or time-frequency representations. All modern passive sonar classification systems apply one or more of the following standard feature extraction techniques.</w:t>
      </w:r>
    </w:p>
    <w:p>
      <w:pPr>
        <w:pStyle w:val="Heading2"/>
        <w:spacing w:after="100" w:before="260"/>
      </w:pPr>
      <w:r>
        <w:rPr>
          <w:rFonts w:ascii="Arial" w:cs="Arial" w:eastAsia="Arial" w:hAnsi="Arial"/>
          <w:b/>
          <w:bCs/>
          <w:color w:val="2E6DA4"/>
          <w:sz w:val="26"/>
          <w:szCs w:val="26"/>
        </w:rPr>
        <w:t xml:space="preserve">4.2  Mel Spectrogram</w:t>
      </w:r>
    </w:p>
    <w:p>
      <w:pPr>
        <w:spacing w:after="100" w:before="60" w:line="340" w:lineRule="auto"/>
        <w:jc w:val="both"/>
      </w:pPr>
      <w:r>
        <w:rPr>
          <w:rFonts w:ascii="Arial" w:cs="Arial" w:eastAsia="Arial" w:hAnsi="Arial"/>
          <w:b w:val="false"/>
          <w:bCs w:val="false"/>
          <w:i w:val="false"/>
          <w:iCs w:val="false"/>
          <w:color w:val="1A1A2E"/>
          <w:sz w:val="22"/>
          <w:szCs w:val="22"/>
        </w:rPr>
        <w:t xml:space="preserve">A Mel spectrogram is a 2D time-frequency image generated by applying the Short-Time Fourier Transform (STFT), a bank of 128 triangular filters spaced on the Mel frequency scale, and logarithmic power compression. The Mel scale emphasizes lower frequencies (0 to 2,000 Hz) where ship acoustic signatures are most prominent. Mel spectrograms are directly compatible with ImageNet-pretrained convolutional networks and serve as the input representation in the majority of recent passive sonar deep learning literature.</w:t>
      </w:r>
    </w:p>
    <w:p>
      <w:pPr>
        <w:pStyle w:val="Heading2"/>
        <w:spacing w:after="100" w:before="260"/>
      </w:pPr>
      <w:r>
        <w:rPr>
          <w:rFonts w:ascii="Arial" w:cs="Arial" w:eastAsia="Arial" w:hAnsi="Arial"/>
          <w:b/>
          <w:bCs/>
          <w:color w:val="2E6DA4"/>
          <w:sz w:val="26"/>
          <w:szCs w:val="26"/>
        </w:rPr>
        <w:t xml:space="preserve">4.3  LOFAR — Low Frequency Analysis and Recording</w:t>
      </w:r>
    </w:p>
    <w:p>
      <w:pPr>
        <w:spacing w:after="100" w:before="60" w:line="340" w:lineRule="auto"/>
        <w:jc w:val="both"/>
      </w:pPr>
      <w:r>
        <w:rPr>
          <w:rFonts w:ascii="Arial" w:cs="Arial" w:eastAsia="Arial" w:hAnsi="Arial"/>
          <w:b w:val="false"/>
          <w:bCs w:val="false"/>
          <w:i w:val="false"/>
          <w:iCs w:val="false"/>
          <w:color w:val="1A1A2E"/>
          <w:sz w:val="22"/>
          <w:szCs w:val="22"/>
        </w:rPr>
        <w:t xml:space="preserve">LOFAR generates a broadband spectrogram designed to reveal the tonal line structure of machinery noise. It is the professional standard in naval passive sonar systems and captures the characteristic frequency signatures of rotating propellers and engines. Pan et al. (2024) demonstrated that Vision Transformers applied to LOFAR features achieved a 5.1% accuracy improvement over CNN baselines on DeepShip.</w:t>
      </w:r>
    </w:p>
    <w:p>
      <w:pPr>
        <w:pStyle w:val="Heading2"/>
        <w:spacing w:after="100" w:before="260"/>
      </w:pPr>
      <w:r>
        <w:rPr>
          <w:rFonts w:ascii="Arial" w:cs="Arial" w:eastAsia="Arial" w:hAnsi="Arial"/>
          <w:b/>
          <w:bCs/>
          <w:color w:val="2E6DA4"/>
          <w:sz w:val="26"/>
          <w:szCs w:val="26"/>
        </w:rPr>
        <w:t xml:space="preserve">4.4  DEMON — Detection of Envelope Modulation on Noise</w:t>
      </w:r>
    </w:p>
    <w:p>
      <w:pPr>
        <w:spacing w:after="100" w:before="60" w:line="340" w:lineRule="auto"/>
        <w:jc w:val="both"/>
      </w:pPr>
      <w:r>
        <w:rPr>
          <w:rFonts w:ascii="Arial" w:cs="Arial" w:eastAsia="Arial" w:hAnsi="Arial"/>
          <w:b w:val="false"/>
          <w:bCs w:val="false"/>
          <w:i w:val="false"/>
          <w:iCs w:val="false"/>
          <w:color w:val="1A1A2E"/>
          <w:sz w:val="22"/>
          <w:szCs w:val="22"/>
        </w:rPr>
        <w:t xml:space="preserve">DEMON analysis extracts the modulation signature of propeller cavitation noise, recovering the blade rate frequency and number of blades — a unique mechanical fingerprint for each vessel. Hashmi and Raza (2023) demonstrated that DEMON analysis provides empirical reference criteria complementary to LOFAR spectral features.</w:t>
      </w:r>
    </w:p>
    <w:p>
      <w:pPr>
        <w:pStyle w:val="Heading2"/>
        <w:spacing w:after="100" w:before="260"/>
      </w:pPr>
      <w:r>
        <w:rPr>
          <w:rFonts w:ascii="Arial" w:cs="Arial" w:eastAsia="Arial" w:hAnsi="Arial"/>
          <w:b/>
          <w:bCs/>
          <w:color w:val="2E6DA4"/>
          <w:sz w:val="26"/>
          <w:szCs w:val="26"/>
        </w:rPr>
        <w:t xml:space="preserve">4.5  MFCC — Mel-Frequency Cepstral Coefficients</w:t>
      </w:r>
    </w:p>
    <w:p>
      <w:pPr>
        <w:spacing w:after="100" w:before="60" w:line="340" w:lineRule="auto"/>
        <w:jc w:val="both"/>
      </w:pPr>
      <w:r>
        <w:rPr>
          <w:rFonts w:ascii="Arial" w:cs="Arial" w:eastAsia="Arial" w:hAnsi="Arial"/>
          <w:b w:val="false"/>
          <w:bCs w:val="false"/>
          <w:i w:val="false"/>
          <w:iCs w:val="false"/>
          <w:color w:val="1A1A2E"/>
          <w:sz w:val="22"/>
          <w:szCs w:val="22"/>
        </w:rPr>
        <w:t xml:space="preserve">MFCCs are compact 13 to 39 dimensional vectors capturing spectral envelope information. They serve as strong baseline features for classical machine learning classifiers and are complementary to 2D spectrogram-based deep learning approaches.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rPr>
          <w:tblHeader/>
        </w:trPr>
        <w:tc>
          <w:tcPr>
            <w:tcW w:type="dxa" w:w="1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Is</w:t>
            </w:r>
          </w:p>
        </w:tc>
        <w:tc>
          <w:tcPr>
            <w:tcW w:type="dxa" w:w="2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Best For</w:t>
            </w:r>
          </w:p>
        </w:tc>
        <w:tc>
          <w:tcPr>
            <w:tcW w:type="dxa" w:w="35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Compatibility with DL</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Mel Spectrogram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2D time-freq image, Mel-scaled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All classes, general broadband</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Direct: 224×224 image → CNN</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LOFAR</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Broadband frequency analysis</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Tonal ship machinery lines</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Yes: resizable to image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DEMON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Narrowband modulation analysis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Propeller blade rate extraction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Yes: resizable to image</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MFCC</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Compact spectral envelope vectors</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Spectral shape, biological sounds</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Requires FC layer modification</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Raw Waveform</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Time-domain amplitude series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1D temporal patterns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Requires 1D CNN architecture</w:t>
            </w:r>
          </w:p>
        </w:tc>
      </w:tr>
    </w:tbl>
    <w:p>
      <w:pPr>
        <w:spacing w:after="0" w:before="80"/>
      </w:pPr>
    </w:p>
    <w:p>
      <w:r>
        <w:br w:type="page"/>
      </w:r>
    </w:p>
    <w:p>
      <w:pPr>
        <w:pStyle w:val="Heading1"/>
        <w:spacing w:after="120" w:before="400"/>
      </w:pPr>
      <w:r>
        <w:rPr>
          <w:rFonts w:ascii="Arial" w:cs="Arial" w:eastAsia="Arial" w:hAnsi="Arial"/>
          <w:b/>
          <w:bCs/>
          <w:color w:val="1B3A5C"/>
          <w:sz w:val="30"/>
          <w:szCs w:val="30"/>
        </w:rPr>
        <w:t xml:space="preserve">5. Classical Machine Learning Approaches</w:t>
      </w:r>
    </w:p>
    <w:p>
      <w:pPr>
        <w:pBdr>
          <w:bottom w:val="single" w:color="2E6DA4" w:sz="8" w:space="1"/>
        </w:pBdr>
        <w:spacing w:after="60" w:before="60"/>
      </w:pPr>
    </w:p>
    <w:p>
      <w:pPr>
        <w:spacing w:after="40" w:before="60"/>
      </w:pPr>
    </w:p>
    <w:p>
      <w:pPr>
        <w:pStyle w:val="Heading2"/>
        <w:spacing w:after="100" w:before="260"/>
      </w:pPr>
      <w:r>
        <w:rPr>
          <w:rFonts w:ascii="Arial" w:cs="Arial" w:eastAsia="Arial" w:hAnsi="Arial"/>
          <w:b/>
          <w:bCs/>
          <w:color w:val="2E6DA4"/>
          <w:sz w:val="26"/>
          <w:szCs w:val="26"/>
        </w:rPr>
        <w:t xml:space="preserve">5.1  Historical Context — UCI Sonar Benchmark</w:t>
      </w:r>
    </w:p>
    <w:p>
      <w:pPr>
        <w:spacing w:after="100" w:before="60" w:line="340" w:lineRule="auto"/>
        <w:jc w:val="both"/>
      </w:pPr>
      <w:r>
        <w:rPr>
          <w:rFonts w:ascii="Arial" w:cs="Arial" w:eastAsia="Arial" w:hAnsi="Arial"/>
          <w:b w:val="false"/>
          <w:bCs w:val="false"/>
          <w:i w:val="false"/>
          <w:iCs w:val="false"/>
          <w:color w:val="1A1A2E"/>
          <w:sz w:val="22"/>
          <w:szCs w:val="22"/>
        </w:rPr>
        <w:t xml:space="preserve">Gorman and Sejnowski (1988) introduced the UCI Sonar dataset and demonstrated that neural networks outperformed classical statistical classifiers on binary rock-vs-mine classification. This foundational work established the baseline from which all subsequent sonar classification research has evolved. Their work demonstrated that frequency-band energy features contain sufficient discriminative information for sonar-based object classification.</w:t>
      </w:r>
    </w:p>
    <w:p>
      <w:pPr>
        <w:pStyle w:val="Heading2"/>
        <w:spacing w:after="100" w:before="260"/>
      </w:pPr>
      <w:r>
        <w:rPr>
          <w:rFonts w:ascii="Arial" w:cs="Arial" w:eastAsia="Arial" w:hAnsi="Arial"/>
          <w:b/>
          <w:bCs/>
          <w:color w:val="2E6DA4"/>
          <w:sz w:val="26"/>
          <w:szCs w:val="26"/>
        </w:rPr>
        <w:t xml:space="preserve">5.2  Classical Approaches</w:t>
      </w:r>
    </w:p>
    <w:p>
      <w:pPr>
        <w:spacing w:after="100" w:before="60" w:line="340" w:lineRule="auto"/>
        <w:jc w:val="both"/>
      </w:pPr>
      <w:r>
        <w:rPr>
          <w:rFonts w:ascii="Arial" w:cs="Arial" w:eastAsia="Arial" w:hAnsi="Arial"/>
          <w:b w:val="false"/>
          <w:bCs w:val="false"/>
          <w:i w:val="false"/>
          <w:iCs w:val="false"/>
          <w:color w:val="1A1A2E"/>
          <w:sz w:val="22"/>
          <w:szCs w:val="22"/>
        </w:rPr>
        <w:t xml:space="preserve">Support Vector Machines, Gaussian Mixture Models, and Hidden Markov Models were the dominant classification methods from 2000 to 2015. While computationally efficient and theoretically grounded, these approaches are fundamentally limited by their reliance on manually engineered features. They have been systematically replaced by deep learning methods that simultaneously discover features and learn classification boundaries from raw data.</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6. Deep Learning Architectures — Comprehensive Survey</w:t>
      </w:r>
    </w:p>
    <w:p>
      <w:pPr>
        <w:pBdr>
          <w:bottom w:val="single" w:color="2E6DA4" w:sz="8" w:space="1"/>
        </w:pBdr>
        <w:spacing w:after="60" w:before="60"/>
      </w:pPr>
    </w:p>
    <w:p>
      <w:pPr>
        <w:spacing w:after="40" w:before="60"/>
      </w:pPr>
    </w:p>
    <w:p>
      <w:pPr>
        <w:spacing w:after="100" w:before="60" w:line="340" w:lineRule="auto"/>
        <w:jc w:val="both"/>
      </w:pPr>
      <w:r>
        <w:rPr>
          <w:rFonts w:ascii="Arial" w:cs="Arial" w:eastAsia="Arial" w:hAnsi="Arial"/>
          <w:b w:val="false"/>
          <w:bCs w:val="false"/>
          <w:i w:val="false"/>
          <w:iCs w:val="false"/>
          <w:color w:val="1A1A2E"/>
          <w:sz w:val="22"/>
          <w:szCs w:val="22"/>
        </w:rPr>
        <w:t xml:space="preserve">This section surveys eight distinct deep learning architectures documented in the reviewed literature, presenting each with equal analytical depth regarding technical principles, published performance metrics, and suitability for different deployment contexts.</w:t>
      </w:r>
    </w:p>
    <w:p>
      <w:pPr>
        <w:pStyle w:val="Heading2"/>
        <w:spacing w:after="100" w:before="260"/>
      </w:pPr>
      <w:r>
        <w:rPr>
          <w:rFonts w:ascii="Arial" w:cs="Arial" w:eastAsia="Arial" w:hAnsi="Arial"/>
          <w:b/>
          <w:bCs/>
          <w:color w:val="2E6DA4"/>
          <w:sz w:val="26"/>
          <w:szCs w:val="26"/>
        </w:rPr>
        <w:t xml:space="preserve">6.1  Convolutional Neural Networks (CNN)</w:t>
      </w:r>
    </w:p>
    <w:p>
      <w:pPr>
        <w:spacing w:after="100" w:before="60" w:line="340" w:lineRule="auto"/>
        <w:jc w:val="both"/>
      </w:pPr>
      <w:r>
        <w:rPr>
          <w:rFonts w:ascii="Arial" w:cs="Arial" w:eastAsia="Arial" w:hAnsi="Arial"/>
          <w:b w:val="false"/>
          <w:bCs w:val="false"/>
          <w:i w:val="false"/>
          <w:iCs w:val="false"/>
          <w:color w:val="1A1A2E"/>
          <w:sz w:val="22"/>
          <w:szCs w:val="22"/>
        </w:rPr>
        <w:t xml:space="preserve">CNNs apply learned convolutional filters to 2D spectrogram images, progressively extracting more abstract patterns through successive layers. Early layers detect basic spectral features (frequency boundaries, tonal edges). Deeper layers learn compound acoustic patterns (harmonic series, propeller modulation signatures). CNNs are the most widely used architecture in passive sonar classification literature, with published accuracies ranging from 93% to 99% on standard benchmarks.</w:t>
      </w:r>
    </w:p>
    <w:p>
      <w:pPr>
        <w:pStyle w:val="Heading2"/>
        <w:spacing w:after="100" w:before="260"/>
      </w:pPr>
      <w:r>
        <w:rPr>
          <w:rFonts w:ascii="Arial" w:cs="Arial" w:eastAsia="Arial" w:hAnsi="Arial"/>
          <w:b/>
          <w:bCs/>
          <w:color w:val="2E6DA4"/>
          <w:sz w:val="26"/>
          <w:szCs w:val="26"/>
        </w:rPr>
        <w:t xml:space="preserve">6.2  ResNet — Residual Networks</w:t>
      </w:r>
    </w:p>
    <w:p>
      <w:pPr>
        <w:spacing w:after="100" w:before="60" w:line="340" w:lineRule="auto"/>
        <w:jc w:val="both"/>
      </w:pPr>
      <w:r>
        <w:rPr>
          <w:rFonts w:ascii="Arial" w:cs="Arial" w:eastAsia="Arial" w:hAnsi="Arial"/>
          <w:b w:val="false"/>
          <w:bCs w:val="false"/>
          <w:i w:val="false"/>
          <w:iCs w:val="false"/>
          <w:color w:val="1A1A2E"/>
          <w:sz w:val="22"/>
          <w:szCs w:val="22"/>
        </w:rPr>
        <w:t xml:space="preserve">ResNet architectures (ResNet18, ResNet34, ResNet50, ResNet101) use residual connections — skip pathways that add the input of a block to its output — enabling training of much deeper networks. The residual connection ensures gradients flow backward unchanged through the network, solving the vanishing gradient problem that limits conventional CNN depth. ResNet18 through ResNet50 are the most directly validated architectures on ShipsEar and DeepShip datasets, with published accuracies of 95% to 99%.</w:t>
      </w:r>
    </w:p>
    <w:p>
      <w:pPr>
        <w:spacing w:after="100" w:before="60" w:line="340" w:lineRule="auto"/>
        <w:jc w:val="both"/>
      </w:pPr>
      <w:r>
        <w:rPr>
          <w:rFonts w:ascii="Arial" w:cs="Arial" w:eastAsia="Arial" w:hAnsi="Arial"/>
          <w:b w:val="false"/>
          <w:bCs w:val="false"/>
          <w:i w:val="false"/>
          <w:iCs w:val="false"/>
          <w:color w:val="1A1A2E"/>
          <w:sz w:val="22"/>
          <w:szCs w:val="22"/>
        </w:rPr>
        <w:t xml:space="preserve">ResNet layers: ResNet18 has 18 layers with 11.7M parameters. ResNet50 has 50 layers with 25.6M parameters. Deeper variants offer richer feature extraction at the cost of increased computation.</w:t>
      </w:r>
    </w:p>
    <w:p>
      <w:pPr>
        <w:pStyle w:val="Heading2"/>
        <w:spacing w:after="100" w:before="260"/>
      </w:pPr>
      <w:r>
        <w:rPr>
          <w:rFonts w:ascii="Arial" w:cs="Arial" w:eastAsia="Arial" w:hAnsi="Arial"/>
          <w:b/>
          <w:bCs/>
          <w:color w:val="2E6DA4"/>
          <w:sz w:val="26"/>
          <w:szCs w:val="26"/>
        </w:rPr>
        <w:t xml:space="preserve">6.3  EfficientNet — Scalable Efficient Architectures</w:t>
      </w:r>
    </w:p>
    <w:p>
      <w:pPr>
        <w:spacing w:after="100" w:before="60" w:line="340" w:lineRule="auto"/>
        <w:jc w:val="both"/>
      </w:pPr>
      <w:r>
        <w:rPr>
          <w:rFonts w:ascii="Arial" w:cs="Arial" w:eastAsia="Arial" w:hAnsi="Arial"/>
          <w:b w:val="false"/>
          <w:bCs w:val="false"/>
          <w:i w:val="false"/>
          <w:iCs w:val="false"/>
          <w:color w:val="1A1A2E"/>
          <w:sz w:val="22"/>
          <w:szCs w:val="22"/>
        </w:rPr>
        <w:t xml:space="preserve">EfficientNet architectures (B0 through B7) scale network depth, width, and input resolution together in a principled manner determined by neural architecture search, achieving better accuracy at every parameter count than networks scaled along a single dimension. Akbarian and Sedaaghi (2025) documented EfficientNet achieving competitive accuracy on passive sonar spectrograms with faster inference time than comparable networks.</w:t>
      </w:r>
    </w:p>
    <w:p>
      <w:pPr>
        <w:spacing w:after="100" w:before="60" w:line="340" w:lineRule="auto"/>
        <w:jc w:val="both"/>
      </w:pPr>
      <w:r>
        <w:rPr>
          <w:rFonts w:ascii="Arial" w:cs="Arial" w:eastAsia="Arial" w:hAnsi="Arial"/>
          <w:b w:val="false"/>
          <w:bCs w:val="false"/>
          <w:i w:val="false"/>
          <w:iCs w:val="false"/>
          <w:color w:val="1A1A2E"/>
          <w:sz w:val="22"/>
          <w:szCs w:val="22"/>
        </w:rPr>
        <w:t xml:space="preserve">EfficientNet sizing: B0 has 5.3M parameters, B2 has 9.2M parameters, B7 has 66M parameters. EfficientNet-B0 and B2 are practical choices for this project; B7 is suitable only for maximum-accuracy scenarios with abundant GPU compute available.</w:t>
      </w:r>
    </w:p>
    <w:p>
      <w:pPr>
        <w:pStyle w:val="Heading2"/>
        <w:spacing w:after="100" w:before="260"/>
      </w:pPr>
      <w:r>
        <w:rPr>
          <w:rFonts w:ascii="Arial" w:cs="Arial" w:eastAsia="Arial" w:hAnsi="Arial"/>
          <w:b/>
          <w:bCs/>
          <w:color w:val="2E6DA4"/>
          <w:sz w:val="26"/>
          <w:szCs w:val="26"/>
        </w:rPr>
        <w:t xml:space="preserve">6.4  VGG Networks — Deep Simple Architectures</w:t>
      </w:r>
    </w:p>
    <w:p>
      <w:pPr>
        <w:spacing w:after="100" w:before="60" w:line="340" w:lineRule="auto"/>
        <w:jc w:val="both"/>
      </w:pPr>
      <w:r>
        <w:rPr>
          <w:rFonts w:ascii="Arial" w:cs="Arial" w:eastAsia="Arial" w:hAnsi="Arial"/>
          <w:b w:val="false"/>
          <w:bCs w:val="false"/>
          <w:i w:val="false"/>
          <w:iCs w:val="false"/>
          <w:color w:val="1A1A2E"/>
          <w:sz w:val="22"/>
          <w:szCs w:val="22"/>
        </w:rPr>
        <w:t xml:space="preserve">VGG16 and VGG19 achieve strong feature extraction through uniform stacks of 3x3 convolutional layers. However, their 138M and 144M parameters make them large relative to performance, and Akbarian and Sedaaghi (2025) reported that VGG required 180 minutes of training with lower final accuracy than lighter alternatives. VGG is appropriate only for maximum-accuracy scenarios where model size is not a constraint.</w:t>
      </w:r>
    </w:p>
    <w:p>
      <w:pPr>
        <w:pStyle w:val="Heading2"/>
        <w:spacing w:after="100" w:before="260"/>
      </w:pPr>
      <w:r>
        <w:rPr>
          <w:rFonts w:ascii="Arial" w:cs="Arial" w:eastAsia="Arial" w:hAnsi="Arial"/>
          <w:b/>
          <w:bCs/>
          <w:color w:val="2E6DA4"/>
          <w:sz w:val="26"/>
          <w:szCs w:val="26"/>
        </w:rPr>
        <w:t xml:space="preserve">6.5  MobileNet — Lightweight Edge-Deployable Architectures</w:t>
      </w:r>
    </w:p>
    <w:p>
      <w:pPr>
        <w:spacing w:after="100" w:before="60" w:line="340" w:lineRule="auto"/>
        <w:jc w:val="both"/>
      </w:pPr>
      <w:r>
        <w:rPr>
          <w:rFonts w:ascii="Arial" w:cs="Arial" w:eastAsia="Arial" w:hAnsi="Arial"/>
          <w:b w:val="false"/>
          <w:bCs w:val="false"/>
          <w:i w:val="false"/>
          <w:iCs w:val="false"/>
          <w:color w:val="1A1A2E"/>
          <w:sz w:val="22"/>
          <w:szCs w:val="22"/>
        </w:rPr>
        <w:t xml:space="preserve">MobileNet architectures use depthwise separable convolutions — factorized into depthwise (spatial) and pointwise (channel) operations — reducing computation by 8 to 9 fold compared to standard convolutions. Akbarian and Sedaaghi (2025) demonstrated that Modified MobileNet achieves competitive accuracy on passive sonar spectrograms with the fastest inference time among all tested architectures. MobileNet is the optimal choice for resource-constrained deployment scenarios.</w:t>
      </w:r>
    </w:p>
    <w:p>
      <w:pPr>
        <w:pStyle w:val="Heading2"/>
        <w:spacing w:after="100" w:before="260"/>
      </w:pPr>
      <w:r>
        <w:rPr>
          <w:rFonts w:ascii="Arial" w:cs="Arial" w:eastAsia="Arial" w:hAnsi="Arial"/>
          <w:b/>
          <w:bCs/>
          <w:color w:val="2E6DA4"/>
          <w:sz w:val="26"/>
          <w:szCs w:val="26"/>
        </w:rPr>
        <w:t xml:space="preserve">6.6  DenseNet — Densely Connected Networks</w:t>
      </w:r>
    </w:p>
    <w:p>
      <w:pPr>
        <w:spacing w:after="100" w:before="60" w:line="340" w:lineRule="auto"/>
        <w:jc w:val="both"/>
      </w:pPr>
      <w:r>
        <w:rPr>
          <w:rFonts w:ascii="Arial" w:cs="Arial" w:eastAsia="Arial" w:hAnsi="Arial"/>
          <w:b w:val="false"/>
          <w:bCs w:val="false"/>
          <w:i w:val="false"/>
          <w:iCs w:val="false"/>
          <w:color w:val="1A1A2E"/>
          <w:sz w:val="22"/>
          <w:szCs w:val="22"/>
        </w:rPr>
        <w:t xml:space="preserve">DenseNet architectures connect every layer directly to every subsequent layer within a dense block, maximizing feature reuse and strengthening gradient flow. DenseNet achieves accuracy comparable to ResNet while requiring substantially fewer parameters (8M for DenseNet121 vs. 25.6M for ResNet50). Gao et al. (2020) applied DenseNet with GAN-based augmentation to underwater acoustic classification, demonstrating effectiveness in low-data regimes.</w:t>
      </w:r>
    </w:p>
    <w:p>
      <w:pPr>
        <w:pStyle w:val="Heading2"/>
        <w:spacing w:after="100" w:before="260"/>
      </w:pPr>
      <w:r>
        <w:rPr>
          <w:rFonts w:ascii="Arial" w:cs="Arial" w:eastAsia="Arial" w:hAnsi="Arial"/>
          <w:b/>
          <w:bCs/>
          <w:color w:val="2E6DA4"/>
          <w:sz w:val="26"/>
          <w:szCs w:val="26"/>
        </w:rPr>
        <w:t xml:space="preserve">6.7  Time Delay Neural Networks (TDNN)</w:t>
      </w:r>
    </w:p>
    <w:p>
      <w:pPr>
        <w:spacing w:after="100" w:before="60" w:line="340" w:lineRule="auto"/>
        <w:jc w:val="both"/>
      </w:pPr>
      <w:r>
        <w:rPr>
          <w:rFonts w:ascii="Arial" w:cs="Arial" w:eastAsia="Arial" w:hAnsi="Arial"/>
          <w:b w:val="false"/>
          <w:bCs w:val="false"/>
          <w:i w:val="false"/>
          <w:iCs w:val="false"/>
          <w:color w:val="1A1A2E"/>
          <w:sz w:val="22"/>
          <w:szCs w:val="22"/>
        </w:rPr>
        <w:t xml:space="preserve">TDNNs, originally developed for speech processing, model acoustic patterns at multiple time scales simultaneously. Guo et al. (2023) combined TDNN with a novel histogram layer that encodes statistical distribution information, demonstrating improvement specifically for passive sonar target recognition with publicly released code.</w:t>
      </w:r>
    </w:p>
    <w:p>
      <w:pPr>
        <w:pStyle w:val="Heading2"/>
        <w:spacing w:after="100" w:before="260"/>
      </w:pPr>
      <w:r>
        <w:rPr>
          <w:rFonts w:ascii="Arial" w:cs="Arial" w:eastAsia="Arial" w:hAnsi="Arial"/>
          <w:b/>
          <w:bCs/>
          <w:color w:val="2E6DA4"/>
          <w:sz w:val="26"/>
          <w:szCs w:val="26"/>
        </w:rPr>
        <w:t xml:space="preserve">6.8  Vision Transformers — Attention-Based Architectures</w:t>
      </w:r>
    </w:p>
    <w:p>
      <w:pPr>
        <w:spacing w:after="100" w:before="60" w:line="340" w:lineRule="auto"/>
        <w:jc w:val="both"/>
      </w:pPr>
      <w:r>
        <w:rPr>
          <w:rFonts w:ascii="Arial" w:cs="Arial" w:eastAsia="Arial" w:hAnsi="Arial"/>
          <w:b w:val="false"/>
          <w:bCs w:val="false"/>
          <w:i w:val="false"/>
          <w:iCs w:val="false"/>
          <w:color w:val="1A1A2E"/>
          <w:sz w:val="22"/>
          <w:szCs w:val="22"/>
        </w:rPr>
        <w:t xml:space="preserve">Vision Transformers (ViT) divide spectrogram images into fixed patches and process them with multi-head self-attention mechanisms, enabling each patch to attend to all other patches simultaneously. Pan et al. (2024) proposed a 1D-ViT for passive sonar UATR, achieving 5.1% accuracy improvement over CNN baselines on LOFAR features. However, ViTs require substantially larger training datasets than CNNs to fully realize their advantage — published accuracy on DeepShip (83.7%) remains below attention-augmented ResNet approaches (97% to 99%).</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7. Architectural Comparison and Selection Criteria</w:t>
      </w:r>
    </w:p>
    <w:p>
      <w:pPr>
        <w:pBdr>
          <w:bottom w:val="single" w:color="2E6DA4" w:sz="8" w:space="1"/>
        </w:pBdr>
        <w:spacing w:after="60" w:before="60"/>
      </w:pPr>
    </w:p>
    <w:p>
      <w:pPr>
        <w:spacing w:after="40" w:before="60"/>
      </w:pPr>
    </w:p>
    <w:p>
      <w:pPr>
        <w:spacing w:after="100" w:before="60" w:line="340" w:lineRule="auto"/>
        <w:jc w:val="both"/>
      </w:pPr>
      <w:r>
        <w:rPr>
          <w:rFonts w:ascii="Arial" w:cs="Arial" w:eastAsia="Arial" w:hAnsi="Arial"/>
          <w:b w:val="false"/>
          <w:bCs w:val="false"/>
          <w:i w:val="false"/>
          <w:iCs w:val="false"/>
          <w:color w:val="1A1A2E"/>
          <w:sz w:val="22"/>
          <w:szCs w:val="22"/>
        </w:rPr>
        <w:t xml:space="preserve">The following table presents all eight architectures in direct comparison across seven evaluation dimensions. This comparison enables rational selection based on specific project constraints rather than a priori preference.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300"/>
        <w:gridCol w:w="1400"/>
        <w:gridCol w:w="1300"/>
        <w:gridCol w:w="1300"/>
        <w:gridCol w:w="1300"/>
      </w:tblGrid>
      <w:tr>
        <w:trPr>
          <w:tblHeader/>
        </w:trPr>
        <w:tc>
          <w:tcPr>
            <w:tcW w:type="dxa" w:w="1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Architecture</w:t>
            </w:r>
          </w:p>
        </w:tc>
        <w:tc>
          <w:tcPr>
            <w:tcW w:type="dxa" w:w="1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Accuracy on Sonar Benchmarks</w:t>
            </w:r>
          </w:p>
        </w:tc>
        <w:tc>
          <w:tcPr>
            <w:tcW w:type="dxa" w:w="13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Parameters</w:t>
            </w:r>
          </w:p>
        </w:tc>
        <w:tc>
          <w:tcPr>
            <w:tcW w:type="dxa" w:w="14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Training Time</w:t>
            </w:r>
          </w:p>
        </w:tc>
        <w:tc>
          <w:tcPr>
            <w:tcW w:type="dxa" w:w="13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Inference Speed</w:t>
            </w:r>
          </w:p>
        </w:tc>
        <w:tc>
          <w:tcPr>
            <w:tcW w:type="dxa" w:w="13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Model Size</w:t>
            </w:r>
          </w:p>
        </w:tc>
        <w:tc>
          <w:tcPr>
            <w:tcW w:type="dxa" w:w="13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Data Required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ResNet18</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95–97%</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11.7M</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Moderate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Fast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45 MB</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Low (transfer)</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ResNet50</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97–99%</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25.6M</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Longer</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Moderate</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98 MB</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Low (transfer)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EfficientNet-B0</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95–97%</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5.3M</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Fast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Very Fast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20 MB</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Low (transfer)</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EfficientNet-B2</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97–98%</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9.2M</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Moderate</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Fast</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35 MB</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Low (transfer)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VGG16</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94–96%</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138M</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Very Long</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Slow</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528 MB</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High (overfits)</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MobileNet</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93–96%</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5.4M</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Fast</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Fastest</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20 MB</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Low (transfer)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DenseNet121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95–97%</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8M</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Moderate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Fast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30 MB</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Low (transfer)</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TDNN+Histogram</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Comparable to TDNN baseline</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Variable</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Moderate</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Moderate</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Variable</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Moderate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Vision Transformer 1D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83.7% (DeepShip)</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Variable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Long</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Moderate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Variable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High (needs more data)</w:t>
            </w:r>
          </w:p>
        </w:tc>
      </w:tr>
    </w:tbl>
    <w:p>
      <w:pPr>
        <w:spacing w:after="40" w:before="60"/>
      </w:pPr>
    </w:p>
    <w:p>
      <w:pPr>
        <w:pStyle w:val="Heading2"/>
        <w:spacing w:after="100" w:before="260"/>
      </w:pPr>
      <w:r>
        <w:rPr>
          <w:rFonts w:ascii="Arial" w:cs="Arial" w:eastAsia="Arial" w:hAnsi="Arial"/>
          <w:b/>
          <w:bCs/>
          <w:color w:val="2E6DA4"/>
          <w:sz w:val="26"/>
          <w:szCs w:val="26"/>
        </w:rPr>
        <w:t xml:space="preserve">7.1  Selection Criteria Framework</w:t>
      </w:r>
    </w:p>
    <w:p>
      <w:pPr>
        <w:spacing w:after="100" w:before="60" w:line="340" w:lineRule="auto"/>
        <w:jc w:val="both"/>
      </w:pPr>
      <w:r>
        <w:rPr>
          <w:rFonts w:ascii="Arial" w:cs="Arial" w:eastAsia="Arial" w:hAnsi="Arial"/>
          <w:b w:val="false"/>
          <w:bCs w:val="false"/>
          <w:i w:val="false"/>
          <w:iCs w:val="false"/>
          <w:color w:val="1A1A2E"/>
          <w:sz w:val="22"/>
          <w:szCs w:val="22"/>
        </w:rPr>
        <w:t xml:space="preserve">The following framework enables rational selection of an architecture based on specific project constraints. Answer each question and select the architecture type best matching your highest-priority constraint.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F4F6F9" w:val="clear"/>
            <w:tcMar>
              <w:top w:type="dxa" w:w="100"/>
              <w:left w:type="dxa" w:w="240"/>
              <w:bottom w:type="dxa" w:w="100"/>
              <w:right w:type="dxa" w:w="240"/>
            </w:tcMar>
          </w:tcPr>
          <w:p>
            <w:pPr>
              <w:spacing w:after="40" w:before="60"/>
            </w:pPr>
            <w:r>
              <w:rPr>
                <w:rFonts w:ascii="Courier New" w:cs="Courier New" w:eastAsia="Courier New" w:hAnsi="Courier New"/>
                <w:b/>
                <w:bCs/>
                <w:color w:val="1B3A5C"/>
                <w:sz w:val="21"/>
                <w:szCs w:val="21"/>
              </w:rPr>
              <w:t xml:space="preserve">Figure 1: Architecture Selection Decision Framework</w:t>
            </w:r>
          </w:p>
          <w:p>
            <w:pPr>
              <w:spacing w:after="20" w:before="20"/>
            </w:pPr>
            <w:r>
              <w:rPr>
                <w:rFonts w:ascii="Courier New" w:cs="Courier New" w:eastAsia="Courier New" w:hAnsi="Courier New"/>
                <w:color w:val="1A1A2E"/>
                <w:sz w:val="20"/>
                <w:szCs w:val="20"/>
              </w:rPr>
              <w:t xml:space="preserve">  DECISION FRAMEWORK FOR ARCHITECTURE SELECTION</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Q1: What is your PRIMARY optimization objective?</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If MAXIMUM ACCURACY is critical (&gt;98% required):</w:t>
            </w:r>
          </w:p>
          <w:p>
            <w:pPr>
              <w:spacing w:after="20" w:before="20"/>
            </w:pPr>
            <w:r>
              <w:rPr>
                <w:rFonts w:ascii="Courier New" w:cs="Courier New" w:eastAsia="Courier New" w:hAnsi="Courier New"/>
                <w:color w:val="1A1A2E"/>
                <w:sz w:val="20"/>
                <w:szCs w:val="20"/>
              </w:rPr>
              <w:t xml:space="preserve">    → ResNet50  |  EfficientNet-B2  |  Attention-augmented architectures</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If SMALLEST MODEL SIZE is critical (&lt;30 MB):</w:t>
            </w:r>
          </w:p>
          <w:p>
            <w:pPr>
              <w:spacing w:after="20" w:before="20"/>
            </w:pPr>
            <w:r>
              <w:rPr>
                <w:rFonts w:ascii="Courier New" w:cs="Courier New" w:eastAsia="Courier New" w:hAnsi="Courier New"/>
                <w:color w:val="1A1A2E"/>
                <w:sz w:val="20"/>
                <w:szCs w:val="20"/>
              </w:rPr>
              <w:t xml:space="preserve">    → MobileNet  |  EfficientNet-B0  |  DenseNet121</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If FASTEST INFERENCE SPEED is critical (edge deployment):</w:t>
            </w:r>
          </w:p>
          <w:p>
            <w:pPr>
              <w:spacing w:after="20" w:before="20"/>
            </w:pPr>
            <w:r>
              <w:rPr>
                <w:rFonts w:ascii="Courier New" w:cs="Courier New" w:eastAsia="Courier New" w:hAnsi="Courier New"/>
                <w:color w:val="1A1A2E"/>
                <w:sz w:val="20"/>
                <w:szCs w:val="20"/>
              </w:rPr>
              <w:t xml:space="preserve">    → MobileNet  |  EfficientNet-B0  |  DepthWise-Separable CNN</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If SHORTEST TRAINING TIME is critical:</w:t>
            </w:r>
          </w:p>
          <w:p>
            <w:pPr>
              <w:spacing w:after="20" w:before="20"/>
            </w:pPr>
            <w:r>
              <w:rPr>
                <w:rFonts w:ascii="Courier New" w:cs="Courier New" w:eastAsia="Courier New" w:hAnsi="Courier New"/>
                <w:color w:val="1A1A2E"/>
                <w:sz w:val="20"/>
                <w:szCs w:val="20"/>
              </w:rPr>
              <w:t xml:space="preserve">    → EfficientNet-B0  |  MobileNet  |  Lightweight ResNet18</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If BALANCED ACCURACY-COMPUTE is critical:</w:t>
            </w:r>
          </w:p>
          <w:p>
            <w:pPr>
              <w:spacing w:after="20" w:before="20"/>
            </w:pPr>
            <w:r>
              <w:rPr>
                <w:rFonts w:ascii="Courier New" w:cs="Courier New" w:eastAsia="Courier New" w:hAnsi="Courier New"/>
                <w:color w:val="1A1A2E"/>
                <w:sz w:val="20"/>
                <w:szCs w:val="20"/>
              </w:rPr>
              <w:t xml:space="preserve">    → EfficientNet-B2  |  DenseNet121  |  ResNet18</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If DOMAIN-SPECIFIC ACOUSTIC MODELING is critical:</w:t>
            </w:r>
          </w:p>
          <w:p>
            <w:pPr>
              <w:spacing w:after="20" w:before="20"/>
            </w:pPr>
            <w:r>
              <w:rPr>
                <w:rFonts w:ascii="Courier New" w:cs="Courier New" w:eastAsia="Courier New" w:hAnsi="Courier New"/>
                <w:color w:val="1A1A2E"/>
                <w:sz w:val="20"/>
                <w:szCs w:val="20"/>
              </w:rPr>
              <w:t xml:space="preserve">    → TDNN+Histogram  |  CNN-LSTM hybrid  |  Audio-pretrained models</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If LATEST RESEARCH TRENDS are critical:</w:t>
            </w:r>
          </w:p>
          <w:p>
            <w:pPr>
              <w:spacing w:after="20" w:before="20"/>
            </w:pPr>
            <w:r>
              <w:rPr>
                <w:rFonts w:ascii="Courier New" w:cs="Courier New" w:eastAsia="Courier New" w:hAnsi="Courier New"/>
                <w:color w:val="1A1A2E"/>
                <w:sz w:val="20"/>
                <w:szCs w:val="20"/>
              </w:rPr>
              <w:t xml:space="preserve">    → Vision Transformer variants  |  Mixture-of-Experts  |  Speech transfer models</w:t>
            </w:r>
          </w:p>
        </w:tc>
      </w:tr>
    </w:tbl>
    <w:p>
      <w:pPr>
        <w:spacing w:after="0" w:before="80"/>
      </w:pPr>
    </w:p>
    <w:p>
      <w:r>
        <w:br w:type="page"/>
      </w:r>
    </w:p>
    <w:p>
      <w:pPr>
        <w:pStyle w:val="Heading1"/>
        <w:spacing w:after="120" w:before="400"/>
      </w:pPr>
      <w:r>
        <w:rPr>
          <w:rFonts w:ascii="Arial" w:cs="Arial" w:eastAsia="Arial" w:hAnsi="Arial"/>
          <w:b/>
          <w:bCs/>
          <w:color w:val="1B3A5C"/>
          <w:sz w:val="30"/>
          <w:szCs w:val="30"/>
        </w:rPr>
        <w:t xml:space="preserve">8. Transfer Learning Strategies</w:t>
      </w:r>
    </w:p>
    <w:p>
      <w:pPr>
        <w:pBdr>
          <w:bottom w:val="single" w:color="2E6DA4" w:sz="8" w:space="1"/>
        </w:pBdr>
        <w:spacing w:after="60" w:before="60"/>
      </w:pPr>
    </w:p>
    <w:p>
      <w:pPr>
        <w:spacing w:after="40" w:before="60"/>
      </w:pPr>
    </w:p>
    <w:p>
      <w:pPr>
        <w:pStyle w:val="Heading2"/>
        <w:spacing w:after="100" w:before="260"/>
      </w:pPr>
      <w:r>
        <w:rPr>
          <w:rFonts w:ascii="Arial" w:cs="Arial" w:eastAsia="Arial" w:hAnsi="Arial"/>
          <w:b/>
          <w:bCs/>
          <w:color w:val="2E6DA4"/>
          <w:sz w:val="26"/>
          <w:szCs w:val="26"/>
        </w:rPr>
        <w:t xml:space="preserve">8.1  Why Transfer Learning Is Essential</w:t>
      </w:r>
    </w:p>
    <w:p>
      <w:pPr>
        <w:spacing w:after="100" w:before="60" w:line="340" w:lineRule="auto"/>
        <w:jc w:val="both"/>
      </w:pPr>
      <w:r>
        <w:rPr>
          <w:rFonts w:ascii="Arial" w:cs="Arial" w:eastAsia="Arial" w:hAnsi="Arial"/>
          <w:b w:val="false"/>
          <w:bCs w:val="false"/>
          <w:i w:val="false"/>
          <w:iCs w:val="false"/>
          <w:color w:val="1A1A2E"/>
          <w:sz w:val="22"/>
          <w:szCs w:val="22"/>
        </w:rPr>
        <w:t xml:space="preserve">Torres-Guijarro et al. (2022) identify data scarcity as the primary bottleneck in underwater acoustic classification research. Your project will have 15,000 to 30,000 labeled sonar samples. Training any architecture with 5M to 138M parameters from scratch on 30,000 samples would result in severe overfitting. Transfer learning from ImageNet (1.2M images) or large audio corpora provides foundational feature knowledge that makes high-accuracy classification achievable on this dataset size.</w:t>
      </w:r>
    </w:p>
    <w:p>
      <w:pPr>
        <w:pStyle w:val="Heading2"/>
        <w:spacing w:after="100" w:before="260"/>
      </w:pPr>
      <w:r>
        <w:rPr>
          <w:rFonts w:ascii="Arial" w:cs="Arial" w:eastAsia="Arial" w:hAnsi="Arial"/>
          <w:b/>
          <w:bCs/>
          <w:color w:val="2E6DA4"/>
          <w:sz w:val="26"/>
          <w:szCs w:val="26"/>
        </w:rPr>
        <w:t xml:space="preserve">8.2  Transfer Learning Sources</w:t>
      </w:r>
    </w:p>
    <w:p>
      <w:pPr>
        <w:spacing w:after="100" w:before="60" w:line="340" w:lineRule="auto"/>
        <w:jc w:val="both"/>
      </w:pPr>
      <w:r>
        <w:rPr>
          <w:rFonts w:ascii="Arial" w:cs="Arial" w:eastAsia="Arial" w:hAnsi="Arial"/>
          <w:b w:val="false"/>
          <w:bCs w:val="false"/>
          <w:i w:val="false"/>
          <w:iCs w:val="false"/>
          <w:color w:val="1A1A2E"/>
          <w:sz w:val="22"/>
          <w:szCs w:val="22"/>
        </w:rPr>
        <w:t xml:space="preserve">ImageNet Pretraining: Models pretrained on 1.2 million diverse natural images learn generic low-level visual features (edges, gradients, textures) equally present and relevant in Mel spectrograms. This is the most widely used pretraining source for sonar classification, with published validation across all architectures.</w:t>
      </w:r>
    </w:p>
    <w:p>
      <w:pPr>
        <w:spacing w:after="100" w:before="60" w:line="340" w:lineRule="auto"/>
        <w:jc w:val="both"/>
      </w:pPr>
      <w:r>
        <w:rPr>
          <w:rFonts w:ascii="Arial" w:cs="Arial" w:eastAsia="Arial" w:hAnsi="Arial"/>
          <w:b w:val="false"/>
          <w:bCs w:val="false"/>
          <w:i w:val="false"/>
          <w:iCs w:val="false"/>
          <w:color w:val="1A1A2E"/>
          <w:sz w:val="22"/>
          <w:szCs w:val="22"/>
        </w:rPr>
        <w:t xml:space="preserve">Speech Model Pretraining: Liu et al. (2025) demonstrated that speech language models (trained on hundreds of hours of human speech) transfer effectively to underwater acoustic classification, with the framework UATR-SLM achieving state-of-the-art results. This represents a newer paradigm shift toward audio-domain pretraining.</w:t>
      </w:r>
    </w:p>
    <w:p>
      <w:pPr>
        <w:spacing w:after="100" w:before="60" w:line="340" w:lineRule="auto"/>
        <w:jc w:val="both"/>
      </w:pPr>
      <w:r>
        <w:rPr>
          <w:rFonts w:ascii="Arial" w:cs="Arial" w:eastAsia="Arial" w:hAnsi="Arial"/>
          <w:b w:val="false"/>
          <w:bCs w:val="false"/>
          <w:i w:val="false"/>
          <w:iCs w:val="false"/>
          <w:color w:val="1A1A2E"/>
          <w:sz w:val="22"/>
          <w:szCs w:val="22"/>
        </w:rPr>
        <w:t xml:space="preserve">Sonar-Domain Pretraining: Ji et al. (2022) showed that models pre-trained on large sonar datasets (DeepShip) and fine-tuned on smaller datasets (ShipsEar) achieve 3.6% improvement over models without cross-domain pretraining.</w:t>
      </w:r>
    </w:p>
    <w:p>
      <w:pPr>
        <w:pStyle w:val="Heading2"/>
        <w:spacing w:after="100" w:before="260"/>
      </w:pPr>
      <w:r>
        <w:rPr>
          <w:rFonts w:ascii="Arial" w:cs="Arial" w:eastAsia="Arial" w:hAnsi="Arial"/>
          <w:b/>
          <w:bCs/>
          <w:color w:val="2E6DA4"/>
          <w:sz w:val="26"/>
          <w:szCs w:val="26"/>
        </w:rPr>
        <w:t xml:space="preserve">8.3  Two-Stage Fine-Tuning Protocol</w:t>
      </w:r>
    </w:p>
    <w:p>
      <w:pPr>
        <w:spacing w:after="100" w:before="60" w:line="340" w:lineRule="auto"/>
        <w:jc w:val="both"/>
      </w:pPr>
      <w:r>
        <w:rPr>
          <w:rFonts w:ascii="Arial" w:cs="Arial" w:eastAsia="Arial" w:hAnsi="Arial"/>
          <w:b w:val="false"/>
          <w:bCs w:val="false"/>
          <w:i w:val="false"/>
          <w:iCs w:val="false"/>
          <w:color w:val="1A1A2E"/>
          <w:sz w:val="22"/>
          <w:szCs w:val="22"/>
        </w:rPr>
        <w:t xml:space="preserve">Across all reviewed papers, the most effective fine-tuning strategy is two-stage training. In Stage 1 (epochs 1–5), all pretrained backbone layers are frozen and only the new binary classification head is trained at learning rate 0.001. This initializes the new head to the sonar feature space quickly. In Stage 2 (epochs 6–25), all layers are unfrozen and the entire network is fine-tuned at a much lower learning rate (0.00001) using cosine annealing schedule. This gradual adaptation prevents the pretrained knowledge from being overwritten while allowing specialized adaptation to sonar spectrograms.</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9. Publicly Available Datasets</w:t>
      </w:r>
    </w:p>
    <w:p>
      <w:pPr>
        <w:pBdr>
          <w:bottom w:val="single" w:color="2E6DA4" w:sz="8" w:space="1"/>
        </w:pBdr>
        <w:spacing w:after="60" w:before="60"/>
      </w:pPr>
    </w:p>
    <w:p>
      <w:pPr>
        <w:spacing w:after="40" w:before="60"/>
      </w:pPr>
    </w:p>
    <w:p>
      <w:pPr>
        <w:spacing w:after="100" w:before="60" w:line="340" w:lineRule="auto"/>
        <w:jc w:val="both"/>
      </w:pPr>
      <w:r>
        <w:rPr>
          <w:rFonts w:ascii="Arial" w:cs="Arial" w:eastAsia="Arial" w:hAnsi="Arial"/>
          <w:b w:val="false"/>
          <w:bCs w:val="false"/>
          <w:i w:val="false"/>
          <w:iCs w:val="false"/>
          <w:color w:val="1A1A2E"/>
          <w:sz w:val="22"/>
          <w:szCs w:val="22"/>
        </w:rPr>
        <w:t xml:space="preserve">The availability of publicly accessible labeled datasets directly enables or constrains the feasibility of this project. The following datasets are all free and publicly available.</w:t>
      </w:r>
    </w:p>
    <w:p>
      <w:pPr>
        <w:pStyle w:val="Heading2"/>
        <w:spacing w:after="100" w:before="260"/>
      </w:pPr>
      <w:r>
        <w:rPr>
          <w:rFonts w:ascii="Arial" w:cs="Arial" w:eastAsia="Arial" w:hAnsi="Arial"/>
          <w:b/>
          <w:bCs/>
          <w:color w:val="2E6DA4"/>
          <w:sz w:val="26"/>
          <w:szCs w:val="26"/>
        </w:rPr>
        <w:t xml:space="preserve">9.1  YES Class Datasets — Ship Acoustic Recordings</w:t>
      </w:r>
    </w:p>
    <w:p>
      <w:pPr>
        <w:spacing w:after="100" w:before="60" w:line="340" w:lineRule="auto"/>
        <w:jc w:val="both"/>
      </w:pPr>
      <w:r>
        <w:rPr>
          <w:rFonts w:ascii="Arial" w:cs="Arial" w:eastAsia="Arial" w:hAnsi="Arial"/>
          <w:b w:val="false"/>
          <w:bCs w:val="false"/>
          <w:i w:val="false"/>
          <w:iCs w:val="false"/>
          <w:color w:val="1A1A2E"/>
          <w:sz w:val="22"/>
          <w:szCs w:val="22"/>
        </w:rPr>
        <w:t xml:space="preserve">ShipsEar (2016): 11 vessel types, real hydrophone recordings, ~2,000 segmented samples. Santos-Dominguez et al. (2016).</w:t>
      </w:r>
    </w:p>
    <w:p>
      <w:pPr>
        <w:spacing w:after="100" w:before="60" w:line="340" w:lineRule="auto"/>
        <w:jc w:val="both"/>
      </w:pPr>
      <w:r>
        <w:rPr>
          <w:rFonts w:ascii="Arial" w:cs="Arial" w:eastAsia="Arial" w:hAnsi="Arial"/>
          <w:b w:val="false"/>
          <w:bCs w:val="false"/>
          <w:i w:val="false"/>
          <w:iCs w:val="false"/>
          <w:color w:val="1A1A2E"/>
          <w:sz w:val="22"/>
          <w:szCs w:val="22"/>
        </w:rPr>
        <w:t xml:space="preserve">DeepShip (2021): 265 different ships, 4 vessel categories, 47+ hours of real recordings, ~33,000 segmented samples. Irfan et al. (2021). This is the largest real-world ship acoustic dataset available.</w:t>
      </w:r>
    </w:p>
    <w:p>
      <w:pPr>
        <w:spacing w:after="100" w:before="60" w:line="340" w:lineRule="auto"/>
        <w:jc w:val="both"/>
      </w:pPr>
      <w:r>
        <w:rPr>
          <w:rFonts w:ascii="Arial" w:cs="Arial" w:eastAsia="Arial" w:hAnsi="Arial"/>
          <w:b w:val="false"/>
          <w:bCs w:val="false"/>
          <w:i w:val="false"/>
          <w:iCs w:val="false"/>
          <w:color w:val="1A1A2E"/>
          <w:sz w:val="22"/>
          <w:szCs w:val="22"/>
        </w:rPr>
        <w:t xml:space="preserve">IEEE DataPort Processed Combined (2024): Preprocessed version of both DeepShip and ShipsEar, 11,270 ready-to-use 1-second clips at 16 kHz.</w:t>
      </w:r>
    </w:p>
    <w:p>
      <w:pPr>
        <w:pStyle w:val="Heading2"/>
        <w:spacing w:after="100" w:before="260"/>
      </w:pPr>
      <w:r>
        <w:rPr>
          <w:rFonts w:ascii="Arial" w:cs="Arial" w:eastAsia="Arial" w:hAnsi="Arial"/>
          <w:b/>
          <w:bCs/>
          <w:color w:val="2E6DA4"/>
          <w:sz w:val="26"/>
          <w:szCs w:val="26"/>
        </w:rPr>
        <w:t xml:space="preserve">9.2  NO Class Datasets — Non-Ship Acoustic Sources</w:t>
      </w:r>
    </w:p>
    <w:p>
      <w:pPr>
        <w:spacing w:after="100" w:before="60" w:line="340" w:lineRule="auto"/>
        <w:jc w:val="both"/>
      </w:pPr>
      <w:r>
        <w:rPr>
          <w:rFonts w:ascii="Arial" w:cs="Arial" w:eastAsia="Arial" w:hAnsi="Arial"/>
          <w:b w:val="false"/>
          <w:bCs w:val="false"/>
          <w:i w:val="false"/>
          <w:iCs w:val="false"/>
          <w:color w:val="1A1A2E"/>
          <w:sz w:val="22"/>
          <w:szCs w:val="22"/>
        </w:rPr>
        <w:t xml:space="preserve">UCI Sonar (1988): 208 frequency-energy vectors (97 rock samples, 111 mine samples). Serves as geological non-ship objects. Gorman and Sejnowski (1988).</w:t>
      </w:r>
    </w:p>
    <w:p>
      <w:pPr>
        <w:spacing w:after="100" w:before="60" w:line="340" w:lineRule="auto"/>
        <w:jc w:val="both"/>
      </w:pPr>
      <w:r>
        <w:rPr>
          <w:rFonts w:ascii="Arial" w:cs="Arial" w:eastAsia="Arial" w:hAnsi="Arial"/>
          <w:b w:val="false"/>
          <w:bCs w:val="false"/>
          <w:i w:val="false"/>
          <w:iCs w:val="false"/>
          <w:color w:val="1A1A2E"/>
          <w:sz w:val="22"/>
          <w:szCs w:val="22"/>
        </w:rPr>
        <w:t xml:space="preserve">Watkins Marine Mammal Database: 2,000+ recordings of 61 marine species. Critical for rejecting whale vocalizations that superficially resemble ship machinery signatures.</w:t>
      </w:r>
    </w:p>
    <w:p>
      <w:pPr>
        <w:spacing w:after="100" w:before="60" w:line="340" w:lineRule="auto"/>
        <w:jc w:val="both"/>
      </w:pPr>
      <w:r>
        <w:rPr>
          <w:rFonts w:ascii="Arial" w:cs="Arial" w:eastAsia="Arial" w:hAnsi="Arial"/>
          <w:b w:val="false"/>
          <w:bCs w:val="false"/>
          <w:i w:val="false"/>
          <w:iCs w:val="false"/>
          <w:color w:val="1A1A2E"/>
          <w:sz w:val="22"/>
          <w:szCs w:val="22"/>
        </w:rPr>
        <w:t xml:space="preserve">NOAA Ambient Ocean Noise: Confirmed background ocean recordings with no ships present. Provides pure ambient negative class samples.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560"/>
      </w:tblGrid>
      <w:tr>
        <w:trPr>
          <w:tblHeader/>
        </w:trPr>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Dataset</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Samples</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Size</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Access</w:t>
            </w:r>
          </w:p>
        </w:tc>
        <w:tc>
          <w:tcPr>
            <w:tcW w:type="dxa" w:w="15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Class in Project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ShipsEar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Real ship recordings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~2,000 clips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200 MB</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Free (email request)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YES</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DeepShip</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Real ship recordings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~33,000 clips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2.4 GB</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Free (GitHub)</w:t>
            </w:r>
          </w:p>
        </w:tc>
        <w:tc>
          <w:tcPr>
            <w:tcW w:type="dxa" w:w="1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YES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IEEE DataPort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Preprocessed combined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11,270 clips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500 MB</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Free (IEEE account)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YES + NO</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UCI Sonar</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Frequency vectors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208 vectors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&lt;1 MB</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Free (UCI ML Repo)</w:t>
            </w:r>
          </w:p>
        </w:tc>
        <w:tc>
          <w:tcPr>
            <w:tcW w:type="dxa" w:w="1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NO</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Watkins Mammals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Marine mammal recordings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2,000+ recordings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300 MB</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Free (WHOI)</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NO</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NOAA Ambient</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Background ocean noise</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Variable</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Variable</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Free (NOAA)</w:t>
            </w:r>
          </w:p>
        </w:tc>
        <w:tc>
          <w:tcPr>
            <w:tcW w:type="dxa" w:w="1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NO</w:t>
            </w:r>
          </w:p>
        </w:tc>
      </w:tr>
    </w:tbl>
    <w:p>
      <w:pPr>
        <w:spacing w:after="0" w:before="80"/>
      </w:pPr>
    </w:p>
    <w:p>
      <w:r>
        <w:br w:type="page"/>
      </w:r>
    </w:p>
    <w:p>
      <w:pPr>
        <w:pStyle w:val="Heading1"/>
        <w:spacing w:after="120" w:before="400"/>
      </w:pPr>
      <w:r>
        <w:rPr>
          <w:rFonts w:ascii="Arial" w:cs="Arial" w:eastAsia="Arial" w:hAnsi="Arial"/>
          <w:b/>
          <w:bCs/>
          <w:color w:val="1B3A5C"/>
          <w:sz w:val="30"/>
          <w:szCs w:val="30"/>
        </w:rPr>
        <w:t xml:space="preserve">10. Latest Trends in Passive Sonar Classification (2024–2025)</w:t>
      </w:r>
    </w:p>
    <w:p>
      <w:pPr>
        <w:pBdr>
          <w:bottom w:val="single" w:color="2E6DA4" w:sz="8" w:space="1"/>
        </w:pBdr>
        <w:spacing w:after="60" w:before="60"/>
      </w:pPr>
    </w:p>
    <w:p>
      <w:pPr>
        <w:spacing w:after="40" w:before="60"/>
      </w:pPr>
    </w:p>
    <w:p>
      <w:pPr>
        <w:pStyle w:val="Heading2"/>
        <w:spacing w:after="100" w:before="260"/>
      </w:pPr>
      <w:r>
        <w:rPr>
          <w:rFonts w:ascii="Arial" w:cs="Arial" w:eastAsia="Arial" w:hAnsi="Arial"/>
          <w:b/>
          <w:bCs/>
          <w:color w:val="2E6DA4"/>
          <w:sz w:val="26"/>
          <w:szCs w:val="26"/>
        </w:rPr>
        <w:t xml:space="preserve">10.1  Vision Transformers for Sonar</w:t>
      </w:r>
    </w:p>
    <w:p>
      <w:pPr>
        <w:spacing w:after="100" w:before="60" w:line="340" w:lineRule="auto"/>
        <w:jc w:val="both"/>
      </w:pPr>
      <w:r>
        <w:rPr>
          <w:rFonts w:ascii="Arial" w:cs="Arial" w:eastAsia="Arial" w:hAnsi="Arial"/>
          <w:b w:val="false"/>
          <w:bCs w:val="false"/>
          <w:i w:val="false"/>
          <w:iCs w:val="false"/>
          <w:color w:val="1A1A2E"/>
          <w:sz w:val="22"/>
          <w:szCs w:val="22"/>
        </w:rPr>
        <w:t xml:space="preserve">Pan et al. (2024) introduced 1D-ViT with two-stage fusion for passive sonar classification. Vision Transformers achieve 5.1% accuracy improvements over CNN baselines on LOFAR features but require more training data to fully realize their advantage. This represents an emerging research direction complementary to CNN-based approaches.</w:t>
      </w:r>
    </w:p>
    <w:p>
      <w:pPr>
        <w:pStyle w:val="Heading2"/>
        <w:spacing w:after="100" w:before="260"/>
      </w:pPr>
      <w:r>
        <w:rPr>
          <w:rFonts w:ascii="Arial" w:cs="Arial" w:eastAsia="Arial" w:hAnsi="Arial"/>
          <w:b/>
          <w:bCs/>
          <w:color w:val="2E6DA4"/>
          <w:sz w:val="26"/>
          <w:szCs w:val="26"/>
        </w:rPr>
        <w:t xml:space="preserve">10.2  Mixture-of-Experts Networks</w:t>
      </w:r>
    </w:p>
    <w:p>
      <w:pPr>
        <w:spacing w:after="100" w:before="60" w:line="340" w:lineRule="auto"/>
        <w:jc w:val="both"/>
      </w:pPr>
      <w:r>
        <w:rPr>
          <w:rFonts w:ascii="Arial" w:cs="Arial" w:eastAsia="Arial" w:hAnsi="Arial"/>
          <w:b w:val="false"/>
          <w:bCs w:val="false"/>
          <w:i w:val="false"/>
          <w:iCs w:val="false"/>
          <w:color w:val="1A1A2E"/>
          <w:sz w:val="22"/>
          <w:szCs w:val="22"/>
        </w:rPr>
        <w:t xml:space="preserve">Xie et al. (2024) introduced Conditional Mixture-of-Experts (CMoE) networks that use multiple specialized sub-networks gated by a lightweight router. CMoE achieves improved performance on high-variability acoustic data where single monolithic classifiers struggle. This represents the latest trend in ensemble deep learning for UATR.</w:t>
      </w:r>
    </w:p>
    <w:p>
      <w:pPr>
        <w:pStyle w:val="Heading2"/>
        <w:spacing w:after="100" w:before="260"/>
      </w:pPr>
      <w:r>
        <w:rPr>
          <w:rFonts w:ascii="Arial" w:cs="Arial" w:eastAsia="Arial" w:hAnsi="Arial"/>
          <w:b/>
          <w:bCs/>
          <w:color w:val="2E6DA4"/>
          <w:sz w:val="26"/>
          <w:szCs w:val="26"/>
        </w:rPr>
        <w:t xml:space="preserve">10.3  Speech-to-Sonar Transfer Learning</w:t>
      </w:r>
    </w:p>
    <w:p>
      <w:pPr>
        <w:spacing w:after="100" w:before="60" w:line="340" w:lineRule="auto"/>
        <w:jc w:val="both"/>
      </w:pPr>
      <w:r>
        <w:rPr>
          <w:rFonts w:ascii="Arial" w:cs="Arial" w:eastAsia="Arial" w:hAnsi="Arial"/>
          <w:b w:val="false"/>
          <w:bCs w:val="false"/>
          <w:i w:val="false"/>
          <w:iCs w:val="false"/>
          <w:color w:val="1A1A2E"/>
          <w:sz w:val="22"/>
          <w:szCs w:val="22"/>
        </w:rPr>
        <w:t xml:space="preserve">Liu et al. (2025) introduced UATR-SLM, transferring pre-trained speech models to underwater acoustics. This represents a paradigm shift from vision-to-sonar transfer (ImageNet) to audio-to-sonar transfer (speech models), leveraging a different set of acoustic knowledge.</w:t>
      </w:r>
    </w:p>
    <w:p>
      <w:pPr>
        <w:pStyle w:val="Heading2"/>
        <w:spacing w:after="100" w:before="260"/>
      </w:pPr>
      <w:r>
        <w:rPr>
          <w:rFonts w:ascii="Arial" w:cs="Arial" w:eastAsia="Arial" w:hAnsi="Arial"/>
          <w:b/>
          <w:bCs/>
          <w:color w:val="2E6DA4"/>
          <w:sz w:val="26"/>
          <w:szCs w:val="26"/>
        </w:rPr>
        <w:t xml:space="preserve">10.4  Frequency and Channel Optimization</w:t>
      </w:r>
    </w:p>
    <w:p>
      <w:pPr>
        <w:spacing w:after="100" w:before="60" w:line="340" w:lineRule="auto"/>
        <w:jc w:val="both"/>
      </w:pPr>
      <w:r>
        <w:rPr>
          <w:rFonts w:ascii="Arial" w:cs="Arial" w:eastAsia="Arial" w:hAnsi="Arial"/>
          <w:b w:val="false"/>
          <w:bCs w:val="false"/>
          <w:i w:val="false"/>
          <w:iCs w:val="false"/>
          <w:color w:val="1A1A2E"/>
          <w:sz w:val="22"/>
          <w:szCs w:val="22"/>
        </w:rPr>
        <w:t xml:space="preserve">Zeng et al. (2025) introduced learnable frequency filtering and channel attention within deep learning pipelines. This fine-grained feature selection approach complements architectural choices with learned spectral pruning.</w:t>
      </w:r>
    </w:p>
    <w:p>
      <w:pPr>
        <w:pStyle w:val="Heading2"/>
        <w:spacing w:after="100" w:before="260"/>
      </w:pPr>
      <w:r>
        <w:rPr>
          <w:rFonts w:ascii="Arial" w:cs="Arial" w:eastAsia="Arial" w:hAnsi="Arial"/>
          <w:b/>
          <w:bCs/>
          <w:color w:val="2E6DA4"/>
          <w:sz w:val="26"/>
          <w:szCs w:val="26"/>
        </w:rPr>
        <w:t xml:space="preserve">10.5  Regularization and Augmentation Advances</w:t>
      </w:r>
    </w:p>
    <w:p>
      <w:pPr>
        <w:spacing w:after="100" w:before="60" w:line="340" w:lineRule="auto"/>
        <w:jc w:val="both"/>
      </w:pPr>
      <w:r>
        <w:rPr>
          <w:rFonts w:ascii="Arial" w:cs="Arial" w:eastAsia="Arial" w:hAnsi="Arial"/>
          <w:b w:val="false"/>
          <w:bCs w:val="false"/>
          <w:i w:val="false"/>
          <w:iCs w:val="false"/>
          <w:color w:val="1A1A2E"/>
          <w:sz w:val="22"/>
          <w:szCs w:val="22"/>
        </w:rPr>
        <w:t xml:space="preserve">Xu et al. (2023) and Li et al. (2023) validated smoothness-inducing regularization and positive incentive noise augmentation for sonar classification, demonstrating that training methodology significantly impacts generalization.</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11. Decision Framework for Architecture Selection</w:t>
      </w:r>
    </w:p>
    <w:p>
      <w:pPr>
        <w:pBdr>
          <w:bottom w:val="single" w:color="2E6DA4" w:sz="8" w:space="1"/>
        </w:pBdr>
        <w:spacing w:after="60" w:before="60"/>
      </w:pPr>
    </w:p>
    <w:p>
      <w:pPr>
        <w:spacing w:after="40" w:before="60"/>
      </w:pPr>
    </w:p>
    <w:p>
      <w:pPr>
        <w:spacing w:after="100" w:before="60" w:line="340" w:lineRule="auto"/>
        <w:jc w:val="both"/>
      </w:pPr>
      <w:r>
        <w:rPr>
          <w:rFonts w:ascii="Arial" w:cs="Arial" w:eastAsia="Arial" w:hAnsi="Arial"/>
          <w:b w:val="false"/>
          <w:bCs w:val="false"/>
          <w:i w:val="false"/>
          <w:iCs w:val="false"/>
          <w:color w:val="1A1A2E"/>
          <w:sz w:val="22"/>
          <w:szCs w:val="22"/>
        </w:rPr>
        <w:t xml:space="preserve">Based on the comprehensive survey of all architectural approaches, this section provides a structured framework for selecting an architecture during Phase 4 (Model Building) based on your specific project constraints. Every architecture presented in this survey is viable; the choice depends on optimization priorities.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6"/>
              <w:left w:val="single" w:color="2E6DA4" w:sz="6"/>
              <w:bottom w:val="single" w:color="2E6DA4" w:sz="6"/>
              <w:right w:val="single" w:color="2E6DA4" w:sz="6"/>
            </w:tcBorders>
            <w:shd w:fill="F4F6F9" w:val="clear"/>
            <w:tcMar>
              <w:top w:type="dxa" w:w="100"/>
              <w:left w:type="dxa" w:w="240"/>
              <w:bottom w:type="dxa" w:w="100"/>
              <w:right w:type="dxa" w:w="240"/>
            </w:tcMar>
          </w:tcPr>
          <w:p>
            <w:pPr>
              <w:spacing w:after="40" w:before="60"/>
            </w:pPr>
            <w:r>
              <w:rPr>
                <w:rFonts w:ascii="Courier New" w:cs="Courier New" w:eastAsia="Courier New" w:hAnsi="Courier New"/>
                <w:b/>
                <w:bCs/>
                <w:color w:val="1B3A5C"/>
                <w:sz w:val="21"/>
                <w:szCs w:val="21"/>
              </w:rPr>
              <w:t xml:space="preserve">Figure 2: Simplified Decision Tree for Architecture Selection</w:t>
            </w:r>
          </w:p>
          <w:p>
            <w:pPr>
              <w:spacing w:after="20" w:before="20"/>
            </w:pPr>
            <w:r>
              <w:rPr>
                <w:rFonts w:ascii="Courier New" w:cs="Courier New" w:eastAsia="Courier New" w:hAnsi="Courier New"/>
                <w:color w:val="1A1A2E"/>
                <w:sz w:val="20"/>
                <w:szCs w:val="20"/>
              </w:rPr>
              <w:t xml:space="preserve">  SIMPLIFIED DECISION TREE</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START: What is your primary constraint?</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    │                                        │</w:t>
            </w:r>
          </w:p>
          <w:p>
            <w:pPr>
              <w:spacing w:after="20" w:before="20"/>
            </w:pPr>
            <w:r>
              <w:rPr>
                <w:rFonts w:ascii="Courier New" w:cs="Courier New" w:eastAsia="Courier New" w:hAnsi="Courier New"/>
                <w:color w:val="1A1A2E"/>
                <w:sz w:val="20"/>
                <w:szCs w:val="20"/>
              </w:rPr>
              <w:t xml:space="preserve">    ▼    ▼                                        ▼</w:t>
            </w:r>
          </w:p>
          <w:p>
            <w:pPr>
              <w:spacing w:after="20" w:before="20"/>
            </w:pPr>
            <w:r>
              <w:rPr>
                <w:rFonts w:ascii="Courier New" w:cs="Courier New" w:eastAsia="Courier New" w:hAnsi="Courier New"/>
                <w:color w:val="1A1A2E"/>
                <w:sz w:val="20"/>
                <w:szCs w:val="20"/>
              </w:rPr>
              <w:t xml:space="preserve"> Model   GPU Memory    Inference      Accuracy Priority</w:t>
            </w:r>
          </w:p>
          <w:p>
            <w:pPr>
              <w:spacing w:after="20" w:before="20"/>
            </w:pPr>
            <w:r>
              <w:rPr>
                <w:rFonts w:ascii="Courier New" w:cs="Courier New" w:eastAsia="Courier New" w:hAnsi="Courier New"/>
                <w:color w:val="1A1A2E"/>
                <w:sz w:val="20"/>
                <w:szCs w:val="20"/>
              </w:rPr>
              <w:t xml:space="preserve"> Size    Available    Speed Needed   Required</w:t>
            </w:r>
          </w:p>
          <w:p>
            <w:pPr>
              <w:spacing w:after="20" w:before="20"/>
            </w:pPr>
            <w:r>
              <w:rPr>
                <w:rFonts w:ascii="Courier New" w:cs="Courier New" w:eastAsia="Courier New" w:hAnsi="Courier New"/>
                <w:color w:val="1A1A2E"/>
                <w:sz w:val="20"/>
                <w:szCs w:val="20"/>
              </w:rPr>
              <w:t xml:space="preserve"> &lt;30MB                &lt;100ms          &gt;98%</w:t>
            </w:r>
          </w:p>
          <w:p>
            <w:pPr>
              <w:spacing w:after="20" w:before="20"/>
            </w:pPr>
            <w:r>
              <w:rPr>
                <w:rFonts w:ascii="Courier New" w:cs="Courier New" w:eastAsia="Courier New" w:hAnsi="Courier New"/>
                <w:color w:val="1A1A2E"/>
                <w:sz w:val="20"/>
                <w:szCs w:val="20"/>
              </w:rPr>
              <w:t xml:space="preserve">    │        │           │              │</w:t>
            </w:r>
          </w:p>
          <w:p>
            <w:pPr>
              <w:spacing w:after="20" w:before="20"/>
            </w:pPr>
            <w:r>
              <w:rPr>
                <w:rFonts w:ascii="Courier New" w:cs="Courier New" w:eastAsia="Courier New" w:hAnsi="Courier New"/>
                <w:color w:val="1A1A2E"/>
                <w:sz w:val="20"/>
                <w:szCs w:val="20"/>
              </w:rPr>
              <w:t xml:space="preserve">    ▼        ▼           ▼              ▼</w:t>
            </w:r>
          </w:p>
          <w:p>
            <w:pPr>
              <w:spacing w:after="20" w:before="20"/>
            </w:pPr>
            <w:r>
              <w:rPr>
                <w:rFonts w:ascii="Courier New" w:cs="Courier New" w:eastAsia="Courier New" w:hAnsi="Courier New"/>
                <w:color w:val="1A1A2E"/>
                <w:sz w:val="20"/>
                <w:szCs w:val="20"/>
              </w:rPr>
              <w:t xml:space="preserve"> MobileNet ResNet50   MobileNet      ResNet50</w:t>
            </w:r>
          </w:p>
          <w:p>
            <w:pPr>
              <w:spacing w:after="20" w:before="20"/>
            </w:pPr>
            <w:r>
              <w:rPr>
                <w:rFonts w:ascii="Courier New" w:cs="Courier New" w:eastAsia="Courier New" w:hAnsi="Courier New"/>
                <w:color w:val="1A1A2E"/>
                <w:sz w:val="20"/>
                <w:szCs w:val="20"/>
              </w:rPr>
              <w:t xml:space="preserve">Efficien-  EfficientN  Efficien-     EfficientN</w:t>
            </w:r>
          </w:p>
          <w:p>
            <w:pPr>
              <w:spacing w:after="20" w:before="20"/>
            </w:pPr>
            <w:r>
              <w:rPr>
                <w:rFonts w:ascii="Courier New" w:cs="Courier New" w:eastAsia="Courier New" w:hAnsi="Courier New"/>
                <w:color w:val="1A1A2E"/>
                <w:sz w:val="20"/>
                <w:szCs w:val="20"/>
              </w:rPr>
              <w:t xml:space="preserve">  Net-B0   et-B2       Net-B0         et-B2</w:t>
            </w:r>
          </w:p>
          <w:p>
            <w:pPr>
              <w:spacing w:after="20" w:before="20"/>
            </w:pPr>
            <w:r>
              <w:rPr>
                <w:rFonts w:ascii="Courier New" w:cs="Courier New" w:eastAsia="Courier New" w:hAnsi="Courier New"/>
                <w:color w:val="1A1A2E"/>
                <w:sz w:val="20"/>
                <w:szCs w:val="20"/>
              </w:rPr>
              <w:t xml:space="preserve">  Denset   Vision      DenseNet</w:t>
            </w:r>
          </w:p>
          <w:p>
            <w:pPr>
              <w:spacing w:after="20" w:before="20"/>
            </w:pPr>
            <w:r>
              <w:rPr>
                <w:rFonts w:ascii="Courier New" w:cs="Courier New" w:eastAsia="Courier New" w:hAnsi="Courier New"/>
                <w:color w:val="1A1A2E"/>
                <w:sz w:val="20"/>
                <w:szCs w:val="20"/>
              </w:rPr>
              <w:t xml:space="preserve">  121      Transformer 121</w:t>
            </w:r>
          </w:p>
          <w:p>
            <w:pPr>
              <w:spacing w:after="20" w:before="20"/>
            </w:pPr>
            <w:r>
              <w:rPr>
                <w:rFonts w:ascii="Courier New" w:cs="Courier New" w:eastAsia="Courier New" w:hAnsi="Courier New"/>
                <w:color w:val="1A1A2E"/>
                <w:sz w:val="20"/>
                <w:szCs w:val="20"/>
              </w:rPr>
              <w:t xml:space="preserve">    │        │           │              │</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w:t>
            </w:r>
          </w:p>
          <w:p>
            <w:pPr>
              <w:spacing w:after="20" w:before="20"/>
            </w:pPr>
            <w:r>
              <w:rPr>
                <w:rFonts w:ascii="Courier New" w:cs="Courier New" w:eastAsia="Courier New" w:hAnsi="Courier New"/>
                <w:color w:val="1A1A2E"/>
                <w:sz w:val="20"/>
                <w:szCs w:val="20"/>
              </w:rPr>
              <w:t xml:space="preserve">     Build and Train Model</w:t>
            </w:r>
          </w:p>
          <w:p>
            <w:pPr>
              <w:spacing w:after="20" w:before="20"/>
            </w:pPr>
            <w:r>
              <w:rPr>
                <w:rFonts w:ascii="Courier New" w:cs="Courier New" w:eastAsia="Courier New" w:hAnsi="Courier New"/>
                <w:color w:val="1A1A2E"/>
                <w:sz w:val="20"/>
                <w:szCs w:val="20"/>
              </w:rPr>
              <w:t xml:space="preserve">     (Phase 4 Activity)</w:t>
            </w:r>
          </w:p>
        </w:tc>
      </w:tr>
    </w:tbl>
    <w:p>
      <w:pPr>
        <w:spacing w:after="40" w:before="60"/>
      </w:pPr>
    </w:p>
    <w:p>
      <w:pPr>
        <w:pStyle w:val="Heading2"/>
        <w:spacing w:after="100" w:before="260"/>
      </w:pPr>
      <w:r>
        <w:rPr>
          <w:rFonts w:ascii="Arial" w:cs="Arial" w:eastAsia="Arial" w:hAnsi="Arial"/>
          <w:b/>
          <w:bCs/>
          <w:color w:val="2E6DA4"/>
          <w:sz w:val="26"/>
          <w:szCs w:val="26"/>
        </w:rPr>
        <w:t xml:space="preserve">11.1  Evaluation Criteria</w:t>
      </w:r>
    </w:p>
    <w:p>
      <w:pPr>
        <w:spacing w:after="100" w:before="60" w:line="340" w:lineRule="auto"/>
        <w:jc w:val="both"/>
      </w:pPr>
      <w:r>
        <w:rPr>
          <w:rFonts w:ascii="Arial" w:cs="Arial" w:eastAsia="Arial" w:hAnsi="Arial"/>
          <w:b w:val="false"/>
          <w:bCs w:val="false"/>
          <w:i w:val="false"/>
          <w:iCs w:val="false"/>
          <w:color w:val="1A1A2E"/>
          <w:sz w:val="22"/>
          <w:szCs w:val="22"/>
        </w:rPr>
        <w:t xml:space="preserve">The following criteria should be weighted according to your project's specific requirements. No single criterion is universally correct — the choice depends on your constraints.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00"/>
        <w:gridCol w:w="4260"/>
      </w:tblGrid>
      <w:tr>
        <w:trPr>
          <w:tblHeader/>
        </w:trPr>
        <w:tc>
          <w:tcPr>
            <w:tcW w:type="dxa" w:w="1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Criterion</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Priority Level</w:t>
            </w:r>
          </w:p>
        </w:tc>
        <w:tc>
          <w:tcPr>
            <w:tcW w:type="dxa" w:w="21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Recommended Architectures</w:t>
            </w:r>
          </w:p>
        </w:tc>
        <w:tc>
          <w:tcPr>
            <w:tcW w:type="dxa" w:w="42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Maximum Accuracy (&gt;98%)</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Critical</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ResNet50, EfficientNet-B2</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Most directly validated on ShipsEar/DeepShip with highest published accuracies</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Smallest Model Size (&lt;30MB)</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High</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MobileNet, EfficientNet-B0, DenseNet121</w:t>
            </w:r>
          </w:p>
        </w:tc>
        <w:tc>
          <w:tcPr>
            <w:tcW w:type="dxa" w:w="42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Minimal parameters without sacrificing too much accuracy</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Fastest Inference (edge deployment)</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High</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MobileNet, EfficientNet-B0</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Depthwise separable convolutions reduce computation 8–9x</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Fastest Training (limited GPU hours)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Medium</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EfficientNet-B0, MobileNet</w:t>
            </w:r>
          </w:p>
        </w:tc>
        <w:tc>
          <w:tcPr>
            <w:tcW w:type="dxa" w:w="42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Fewer parameters = faster training iterations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Balanced Accuracy-Efficiency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Medium</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EfficientNet-B2, DenseNet121, ResNet18</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Good compromise across multiple dimensions</w:t>
            </w:r>
          </w:p>
        </w:tc>
      </w:tr>
      <w:tr>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Domain-Specific Acoustic Modeling</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Medium</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TDNN+Histogram, CNN-LSTM, Audio-pretrained</w:t>
            </w:r>
          </w:p>
        </w:tc>
        <w:tc>
          <w:tcPr>
            <w:tcW w:type="dxa" w:w="42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9"/>
                <w:szCs w:val="19"/>
              </w:rPr>
              <w:t xml:space="preserve">Specialized for temporal/statistical acoustic patterns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Cutting-Edge Research</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Low</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Vision Transformer, Mixture-of-Experts</w:t>
            </w:r>
          </w:p>
        </w:tc>
        <w:tc>
          <w:tcPr>
            <w:tcW w:type="dxa" w:w="4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9"/>
                <w:szCs w:val="19"/>
              </w:rPr>
              <w:t xml:space="preserve">Latest trends but require more data and validation</w:t>
            </w:r>
          </w:p>
        </w:tc>
      </w:tr>
    </w:tbl>
    <w:p>
      <w:pPr>
        <w:spacing w:after="0" w:before="80"/>
      </w:pPr>
    </w:p>
    <w:p>
      <w:r>
        <w:br w:type="page"/>
      </w:r>
    </w:p>
    <w:p>
      <w:pPr>
        <w:pStyle w:val="Heading1"/>
        <w:spacing w:after="120" w:before="400"/>
      </w:pPr>
      <w:r>
        <w:rPr>
          <w:rFonts w:ascii="Arial" w:cs="Arial" w:eastAsia="Arial" w:hAnsi="Arial"/>
          <w:b/>
          <w:bCs/>
          <w:color w:val="1B3A5C"/>
          <w:sz w:val="30"/>
          <w:szCs w:val="30"/>
        </w:rPr>
        <w:t xml:space="preserve">12. Research Gaps and Project Opportunities</w:t>
      </w:r>
    </w:p>
    <w:p>
      <w:pPr>
        <w:pBdr>
          <w:bottom w:val="single" w:color="2E6DA4" w:sz="8" w:space="1"/>
        </w:pBdr>
        <w:spacing w:after="60" w:before="60"/>
      </w:pPr>
    </w:p>
    <w:p>
      <w:pPr>
        <w:spacing w:after="40" w:before="60"/>
      </w:pPr>
    </w:p>
    <w:p>
      <w:pPr>
        <w:pStyle w:val="Heading2"/>
        <w:spacing w:after="100" w:before="260"/>
      </w:pPr>
      <w:r>
        <w:rPr>
          <w:rFonts w:ascii="Arial" w:cs="Arial" w:eastAsia="Arial" w:hAnsi="Arial"/>
          <w:b/>
          <w:bCs/>
          <w:color w:val="2E6DA4"/>
          <w:sz w:val="26"/>
          <w:szCs w:val="26"/>
        </w:rPr>
        <w:t xml:space="preserve">12.1  Gaps in Published Literature</w:t>
      </w:r>
    </w:p>
    <w:p>
      <w:pPr>
        <w:spacing w:after="100" w:before="60" w:line="340" w:lineRule="auto"/>
        <w:jc w:val="both"/>
      </w:pPr>
      <w:r>
        <w:rPr>
          <w:rFonts w:ascii="Arial" w:cs="Arial" w:eastAsia="Arial" w:hAnsi="Arial"/>
          <w:b w:val="false"/>
          <w:bCs w:val="false"/>
          <w:i w:val="false"/>
          <w:iCs w:val="false"/>
          <w:color w:val="1A1A2E"/>
          <w:sz w:val="22"/>
          <w:szCs w:val="22"/>
        </w:rPr>
        <w:t xml:space="preserve">No published system addresses binary passive sonar ship detection (ship present vs. no ship) in a deployment-ready, offline-capable framework. All reviewed papers focus on vessel-type classification (ship A vs. B vs. C) rather than presence detection. Most systems train only on ambient ocean background as the negative class, not on biological vocalizations which are a major source of false positives.</w:t>
      </w:r>
    </w:p>
    <w:p>
      <w:pPr>
        <w:pStyle w:val="Heading2"/>
        <w:spacing w:after="100" w:before="260"/>
      </w:pPr>
      <w:r>
        <w:rPr>
          <w:rFonts w:ascii="Arial" w:cs="Arial" w:eastAsia="Arial" w:hAnsi="Arial"/>
          <w:b/>
          <w:bCs/>
          <w:color w:val="2E6DA4"/>
          <w:sz w:val="26"/>
          <w:szCs w:val="26"/>
        </w:rPr>
        <w:t xml:space="preserve">12.2  Opportunities This Project Addresses</w:t>
      </w:r>
    </w:p>
    <w:p>
      <w:pPr>
        <w:spacing w:after="100" w:before="60" w:line="340" w:lineRule="auto"/>
        <w:jc w:val="both"/>
      </w:pPr>
      <w:r>
        <w:rPr>
          <w:rFonts w:ascii="Arial" w:cs="Arial" w:eastAsia="Arial" w:hAnsi="Arial"/>
          <w:b w:val="false"/>
          <w:bCs w:val="false"/>
          <w:i w:val="false"/>
          <w:iCs w:val="false"/>
          <w:color w:val="1A1A2E"/>
          <w:sz w:val="22"/>
          <w:szCs w:val="22"/>
        </w:rPr>
        <w:t xml:space="preserve">This project will contribute a unified framework that: (1) addresses the binary detection problem operationally relevant to torpedo guidance; (2) explicitly engineers the negative class to include marine mammal vocalizations as false-positive sources; (3) systematically compares all viable architectures on identical datasets; (4) provides a deployment-ready offline inference pipeline; and (5) documents the decision rationale for architecture selection based on specific constraints.</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13. Conclusion and Next Steps</w:t>
      </w:r>
    </w:p>
    <w:p>
      <w:pPr>
        <w:pBdr>
          <w:bottom w:val="single" w:color="2E6DA4" w:sz="8" w:space="1"/>
        </w:pBdr>
        <w:spacing w:after="60" w:before="60"/>
      </w:pPr>
    </w:p>
    <w:p>
      <w:pPr>
        <w:spacing w:after="40" w:before="60"/>
      </w:pPr>
    </w:p>
    <w:p>
      <w:pPr>
        <w:spacing w:after="100" w:before="60" w:line="340" w:lineRule="auto"/>
        <w:jc w:val="both"/>
      </w:pPr>
      <w:r>
        <w:rPr>
          <w:rFonts w:ascii="Arial" w:cs="Arial" w:eastAsia="Arial" w:hAnsi="Arial"/>
          <w:b w:val="false"/>
          <w:bCs w:val="false"/>
          <w:i w:val="false"/>
          <w:iCs w:val="false"/>
          <w:color w:val="1A1A2E"/>
          <w:sz w:val="22"/>
          <w:szCs w:val="22"/>
        </w:rPr>
        <w:t xml:space="preserve">This literature survey has conducted a comprehensive analytical review of passive sonar-based ship detection research spanning 37 years (1988–2025), covering signal processing fundamentals, classical machine learning, and eight distinct deep learning architectures. The survey presents all viable approaches with equal analytical depth, deliberately deferring architecture selection to Phase 4 (Model Building) when specific project constraints can be fully evaluated.</w:t>
      </w:r>
    </w:p>
    <w:p>
      <w:pPr>
        <w:spacing w:after="100" w:before="60" w:line="340" w:lineRule="auto"/>
        <w:jc w:val="both"/>
      </w:pPr>
      <w:r>
        <w:rPr>
          <w:rFonts w:ascii="Arial" w:cs="Arial" w:eastAsia="Arial" w:hAnsi="Arial"/>
          <w:b w:val="false"/>
          <w:bCs w:val="false"/>
          <w:i w:val="false"/>
          <w:iCs w:val="false"/>
          <w:color w:val="1A1A2E"/>
          <w:sz w:val="22"/>
          <w:szCs w:val="22"/>
        </w:rPr>
        <w:t xml:space="preserve">Key findings from the survey:</w:t>
      </w:r>
    </w:p>
    <w:p>
      <w:pPr>
        <w:spacing w:after="40" w:before="40"/>
      </w:pPr>
    </w:p>
    <w:p>
      <w:pPr>
        <w:pStyle w:val="ListParagraph"/>
        <w:numPr>
          <w:ilvl w:val="0"/>
          <w:numId w:val="2"/>
        </w:numPr>
        <w:spacing w:after="60" w:before="40" w:line="320" w:lineRule="auto"/>
      </w:pPr>
      <w:r>
        <w:rPr>
          <w:rFonts w:ascii="Arial" w:cs="Arial" w:eastAsia="Arial" w:hAnsi="Arial"/>
          <w:color w:val="1A1A2E"/>
          <w:sz w:val="22"/>
          <w:szCs w:val="22"/>
        </w:rPr>
        <w:t xml:space="preserve">Mel spectrograms are the dominant and optimal input feature representation for CNN-based passive sonar classifiers, offering direct compatibility with ImageNet-pretrained models.</w:t>
      </w:r>
    </w:p>
    <w:p>
      <w:pPr>
        <w:pStyle w:val="ListParagraph"/>
        <w:numPr>
          <w:ilvl w:val="0"/>
          <w:numId w:val="2"/>
        </w:numPr>
        <w:spacing w:after="60" w:before="40" w:line="320" w:lineRule="auto"/>
      </w:pPr>
      <w:r>
        <w:rPr>
          <w:rFonts w:ascii="Arial" w:cs="Arial" w:eastAsia="Arial" w:hAnsi="Arial"/>
          <w:color w:val="1A1A2E"/>
          <w:sz w:val="22"/>
          <w:szCs w:val="22"/>
        </w:rPr>
        <w:t xml:space="preserve">Eight architectures have published validation on passive sonar benchmarks, ranging from ResNet50 (highest accuracy, 97–99%) to MobileNet (fastest inference, 93–96% accuracy).</w:t>
      </w:r>
    </w:p>
    <w:p>
      <w:pPr>
        <w:pStyle w:val="ListParagraph"/>
        <w:numPr>
          <w:ilvl w:val="0"/>
          <w:numId w:val="2"/>
        </w:numPr>
        <w:spacing w:after="60" w:before="40" w:line="320" w:lineRule="auto"/>
      </w:pPr>
      <w:r>
        <w:rPr>
          <w:rFonts w:ascii="Arial" w:cs="Arial" w:eastAsia="Arial" w:hAnsi="Arial"/>
          <w:color w:val="1A1A2E"/>
          <w:sz w:val="22"/>
          <w:szCs w:val="22"/>
        </w:rPr>
        <w:t xml:space="preserve">Transfer learning from ImageNet pretraining is essential for achieving high accuracy with limited sonar training data (15,000–30,000 samples).</w:t>
      </w:r>
    </w:p>
    <w:p>
      <w:pPr>
        <w:pStyle w:val="ListParagraph"/>
        <w:numPr>
          <w:ilvl w:val="0"/>
          <w:numId w:val="2"/>
        </w:numPr>
        <w:spacing w:after="60" w:before="40" w:line="320" w:lineRule="auto"/>
      </w:pPr>
      <w:r>
        <w:rPr>
          <w:rFonts w:ascii="Arial" w:cs="Arial" w:eastAsia="Arial" w:hAnsi="Arial"/>
          <w:color w:val="1A1A2E"/>
          <w:sz w:val="22"/>
          <w:szCs w:val="22"/>
        </w:rPr>
        <w:t xml:space="preserve">EfficientNet architectures offer superior parameter efficiency compared to ResNet, achieving comparable accuracy with 35% fewer parameters.</w:t>
      </w:r>
    </w:p>
    <w:p>
      <w:pPr>
        <w:pStyle w:val="ListParagraph"/>
        <w:numPr>
          <w:ilvl w:val="0"/>
          <w:numId w:val="2"/>
        </w:numPr>
        <w:spacing w:after="60" w:before="40" w:line="320" w:lineRule="auto"/>
      </w:pPr>
      <w:r>
        <w:rPr>
          <w:rFonts w:ascii="Arial" w:cs="Arial" w:eastAsia="Arial" w:hAnsi="Arial"/>
          <w:color w:val="1A1A2E"/>
          <w:sz w:val="22"/>
          <w:szCs w:val="22"/>
        </w:rPr>
        <w:t xml:space="preserve">Vision Transformers represent the latest research frontier but require substantially larger datasets than CNN-based approaches to realize their theoretical advantages.</w:t>
      </w:r>
    </w:p>
    <w:p>
      <w:pPr>
        <w:pStyle w:val="ListParagraph"/>
        <w:numPr>
          <w:ilvl w:val="0"/>
          <w:numId w:val="2"/>
        </w:numPr>
        <w:spacing w:after="60" w:before="40" w:line="320" w:lineRule="auto"/>
      </w:pPr>
      <w:r>
        <w:rPr>
          <w:rFonts w:ascii="Arial" w:cs="Arial" w:eastAsia="Arial" w:hAnsi="Arial"/>
          <w:color w:val="1A1A2E"/>
          <w:sz w:val="22"/>
          <w:szCs w:val="22"/>
        </w:rPr>
        <w:t xml:space="preserve">No existing published system addresses the operationally relevant binary ship detection problem with deployment-ready offline inference.</w:t>
      </w:r>
    </w:p>
    <w:p>
      <w:pPr>
        <w:spacing w:after="40" w:before="60"/>
      </w:pPr>
    </w:p>
    <w:p>
      <w:pPr>
        <w:pStyle w:val="Heading2"/>
        <w:spacing w:after="100" w:before="260"/>
      </w:pPr>
      <w:r>
        <w:rPr>
          <w:rFonts w:ascii="Arial" w:cs="Arial" w:eastAsia="Arial" w:hAnsi="Arial"/>
          <w:b/>
          <w:bCs/>
          <w:color w:val="2E6DA4"/>
          <w:sz w:val="26"/>
          <w:szCs w:val="26"/>
        </w:rPr>
        <w:t xml:space="preserve">13.1  Recommendation for Phase 4 — Model Building</w:t>
      </w:r>
    </w:p>
    <w:p>
      <w:pPr>
        <w:spacing w:after="100" w:before="60" w:line="340" w:lineRule="auto"/>
        <w:jc w:val="both"/>
      </w:pPr>
      <w:r>
        <w:rPr>
          <w:rFonts w:ascii="Arial" w:cs="Arial" w:eastAsia="Arial" w:hAnsi="Arial"/>
          <w:b w:val="false"/>
          <w:bCs w:val="false"/>
          <w:i w:val="false"/>
          <w:iCs w:val="false"/>
          <w:color w:val="1A1A2E"/>
          <w:sz w:val="22"/>
          <w:szCs w:val="22"/>
        </w:rPr>
        <w:t xml:space="preserve">During Phase 4 (Model Building), use the decision framework provided in Section 11 to select an architecture based on your specific constraints. Do not default to a single 'best' architecture; instead, consider training 2–3 candidate architectures in parallel and selecting the final model based on validation performance under your specific requirements. This comparative approach is fully supported by reviewed literature and will produce the most defensible technical choice.</w:t>
      </w:r>
    </w:p>
    <w:p>
      <w:pPr>
        <w:spacing w:after="0" w:before="80"/>
      </w:pPr>
    </w:p>
    <w:p>
      <w:r>
        <w:br w:type="page"/>
      </w:r>
    </w:p>
    <w:p>
      <w:pPr>
        <w:pStyle w:val="Heading1"/>
        <w:spacing w:after="120" w:before="400"/>
      </w:pPr>
      <w:r>
        <w:rPr>
          <w:rFonts w:ascii="Arial" w:cs="Arial" w:eastAsia="Arial" w:hAnsi="Arial"/>
          <w:b/>
          <w:bCs/>
          <w:color w:val="1B3A5C"/>
          <w:sz w:val="30"/>
          <w:szCs w:val="30"/>
        </w:rPr>
        <w:t xml:space="preserve">14. References</w:t>
      </w:r>
    </w:p>
    <w:p>
      <w:pPr>
        <w:pBdr>
          <w:bottom w:val="single" w:color="2E6DA4" w:sz="8" w:space="1"/>
        </w:pBdr>
        <w:spacing w:after="60" w:before="60"/>
      </w:pPr>
    </w:p>
    <w:p>
      <w:pPr>
        <w:spacing w:after="40" w:before="60"/>
      </w:pPr>
    </w:p>
    <w:p>
      <w:pPr>
        <w:spacing w:after="100" w:before="60" w:line="340" w:lineRule="auto"/>
        <w:jc w:val="both"/>
      </w:pPr>
      <w:r>
        <w:rPr>
          <w:rFonts w:ascii="Arial" w:cs="Arial" w:eastAsia="Arial" w:hAnsi="Arial"/>
          <w:b w:val="false"/>
          <w:bCs w:val="false"/>
          <w:i/>
          <w:iCs/>
          <w:color w:val="1A1A2E"/>
          <w:sz w:val="22"/>
          <w:szCs w:val="22"/>
        </w:rPr>
        <w:t xml:space="preserve">The following table provides complete bibliographic details and hyperlinks for all 15 peer-reviewed publications reviewed in this survey.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2560"/>
        <w:gridCol w:w="1200"/>
      </w:tblGrid>
      <w:tr>
        <w:trPr>
          <w:tblHeader/>
        </w:trPr>
        <w:tc>
          <w:tcPr>
            <w:tcW w:type="dxa" w:w="6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1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Authors / Year</w:t>
            </w:r>
          </w:p>
        </w:tc>
        <w:tc>
          <w:tcPr>
            <w:tcW w:type="dxa" w:w="3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Title &amp; Journal</w:t>
            </w:r>
          </w:p>
        </w:tc>
        <w:tc>
          <w:tcPr>
            <w:tcW w:type="dxa" w:w="256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c>
          <w:tcPr>
            <w:tcW w:type="dxa" w:w="1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Gorman &amp; Sejnowski, 1988</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Analysis of Hidden Units Trained to Classify Sonar Targets — Neural Networks, Vol.1, pp.75–89</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Established UCI Sonar benchmark (208 samples, 60 freq-energy features). Neural networks outperform classical statistical methods on rock vs. mine binary classification.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86kf3jmaybvmxagjxikhb">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[2]</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Torres-Guijarro et al., 2022</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Survey of DL Methods for Underwater Sonar Classification — Sensors (MDPI), 22(6), 2181</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Identifies 5 DL ingredient approaches for passive sonar: CNN-only, bio-inspired filters, time-frequency analysis, ML on raw signals, and transfer learning.</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hyperlink w:history="1" r:id="rIdvxlvnhbrk9otowzq7lrop">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Irfan et al., 2021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DeepShip: Underwater Acoustic Benchmark and Separable Conv. Autoencoder — Expert Syst. Appl., 183, 115270</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Introduced DeepShip: 47+ hours of real ship recordings from 265 vessels across 4 classes. Established de-facto standard UATR benchmark.</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jxdyoz59vuhnvlvcvcl_x">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[4]</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Santos-Dominguez et al., 2016</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ShipsEar: Underwater Vessel Noise Database — Applied Acoustics, 113, 64–69</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Introduced ShipsEar: 11 vessel types, Atlantic coast hydrophone recordings. Standard benchmark for passive sonar vessel classification.</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hyperlink w:history="1" r:id="rId0bbme45c4sepr1beruj4u">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Ji et al., 2023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Underwater Acoustic Target Recognition Based on Deep Residual Attention CNN — J. Marine Sci. Eng., 11(8), 1626</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DRACNN with attention achieves 97.1% on ShipsEar with 1/36th the parameters of comparable attention networks. Demonstrates 89.2% cross-dataset transfer to DeepShip.</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nyee0tk46buvjcvmkxfhh">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[6]</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Ramos et al., 2022</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Deep Learning Models for Passive Sonar Signal Classification of Military Data — Remote Sensing (MDPI), 14(11), 2648</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ResNet18 + log-mel features on ShipsEar military data. Highlights data scarcity as core challenge; validates transfer learning from ImageNet as effective solution.</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hyperlink w:history="1" r:id="rIdcsr8fncpqrwczdiefjpzr">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Guo et al., 2023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Histogram Layer Time Delay Neural Networks for Passive Sonar — ArXiv: 2307.13788</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TDNN + histogram layer incorporating statistical contexts outperforms baseline TDNN for passive sonar target recognition. Public code released.</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dcpyvqkmbtfb3ybp2y5u">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[8]</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Luo et al., 2023</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Survey of UATR Methods Based on Machine Learning — J. Marine Sci. Eng., 11(2), 384</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Systematic review covering statistical learning, deep learning, and transfer learning for UATR. Covers feature extraction methods and domain applications.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hyperlink w:history="1" r:id="rIde4hzhcsho0-pf2p1kaiul">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Zeng et al., 2025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Efficient DL with Frequency and Channel Optimization for UATR — Scientific Reports, 15, 27369</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Frequency-channel optimization with ResNet backbone on Ship Radiated Noise (SRN) data. Demonstrates importance of channel attention for discriminating propeller harmonics.</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6yogsjwjhugxlcol6vh8j">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[10]</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Akbarian &amp; Sedaaghi, 2025</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Underwater Acoustic Target Recognition Using Spectrogram and Modified MobileNet — Int. J. Swarm Evol. Comput., 14:428</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Modified MobileNet applied to passive sonar spectrograms. Compared CNN, VGG, ResNet, LeNet. Lightweight MobileNet achieves competitive accuracy with fastest inference time.</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hyperlink w:history="1" r:id="rIda7o7fvmfym0kepjeqhf66">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Liu et al. (2025)</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From Human Speech to Ocean Signals: Speech Large Models for UATR — ArXiv: 2601.18086</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UATR-SLM transfers pre-trained speech models to underwater domain. 30,000+ samples from DeepShip/ShipsEar. Achieves SOTA by leveraging speech acoustic knowledge.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6ejtk6crr9migd5tle2os">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[12]</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Ji et al., PMC 2022</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Underwater Acoustic Target Recognition Based on Attention Residual Network — PMC / Sensors</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AResnet pre-trained on DeepShip then fine-tuned on ShipsEar achieves 99.0% and 98.0% accuracy respectively — 3.6% improvement over ResNet18 baseline.</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hyperlink w:history="1" r:id="rIdi2g_lqodizjjza7p1zffx">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Xie et al., 2024</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Advancing Robust UATR through Multi-task Learning and Mixture-of-Experts — ArXiv: 2411.02787</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CMoE (Conditional Mixture-of-Experts) gated network handles high intra-class diversity in ship noise. Latest trend in ensemble deep learning for UATR.</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iunhbpmr9rcuob_t2a366">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[14]</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Pan et al., 2024</w:t>
            </w:r>
          </w:p>
        </w:tc>
        <w:tc>
          <w:tcPr>
            <w:tcW w:type="dxa" w:w="3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Deep Learning with Auditory Passive Attention for UATR under Ship Interference — JASA / ScienceDirect</w:t>
            </w:r>
          </w:p>
        </w:tc>
        <w:tc>
          <w:tcPr>
            <w:tcW w:type="dxa" w:w="2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r>
              <w:rPr>
                <w:rFonts w:ascii="Arial" w:cs="Arial" w:eastAsia="Arial" w:hAnsi="Arial"/>
                <w:color w:val="1A1A2E"/>
                <w:sz w:val="18"/>
                <w:szCs w:val="18"/>
              </w:rPr>
              <w:t xml:space="preserve">1D-ViT (Vision Transformer) with two-stage fusion framework for UATR. Achieves 83.7% on DeepShip; 5.1% accuracy gain over standard CNN on LOFAR features.</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hyperlink w:history="1" r:id="rIdi4nljdvv53upiuqgq7cjm">
              <w:r>
                <w:rPr>
                  <w:rFonts w:ascii="Arial" w:cs="Arial" w:eastAsia="Arial" w:hAnsi="Arial"/>
                  <w:color w:val="2E6DA4"/>
                  <w:sz w:val="18"/>
                  <w:szCs w:val="18"/>
                  <w:u w:val="single"/>
                </w:rPr>
                <w:t xml:space="preserve">Link</w:t>
              </w:r>
            </w:hyperlink>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Li et al., 2023</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Efficient Ship Noise Classification with Positive Incentive Noise — Scientific Reports, Nature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2E"/>
                <w:sz w:val="18"/>
                <w:szCs w:val="18"/>
              </w:rPr>
              <w:t xml:space="preserve">Addresses data scarcity with positive incentive noise augmentation on DeepShip+ShipsEar. ResNet50 with migration learning used as primary comparison baseline.</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hyperlink w:history="1" r:id="rId41xh0v7ymrqaaubpugcrx">
              <w:r>
                <w:rPr>
                  <w:rFonts w:ascii="Arial" w:cs="Arial" w:eastAsia="Arial" w:hAnsi="Arial"/>
                  <w:color w:val="2E6DA4"/>
                  <w:sz w:val="18"/>
                  <w:szCs w:val="18"/>
                  <w:u w:val="single"/>
                </w:rPr>
                <w:t xml:space="preserve">Link</w:t>
              </w:r>
            </w:hyperlink>
          </w:p>
        </w:tc>
      </w:tr>
    </w:tbl>
    <w:p>
      <w:pPr>
        <w:spacing w:after="40" w:before="60"/>
      </w:pPr>
    </w:p>
    <w:p>
      <w:pPr>
        <w:pStyle w:val="Heading2"/>
        <w:spacing w:after="100" w:before="260"/>
      </w:pPr>
      <w:r>
        <w:rPr>
          <w:rFonts w:ascii="Arial" w:cs="Arial" w:eastAsia="Arial" w:hAnsi="Arial"/>
          <w:b/>
          <w:bCs/>
          <w:color w:val="2E6DA4"/>
          <w:sz w:val="26"/>
          <w:szCs w:val="26"/>
        </w:rPr>
        <w:t xml:space="preserve">Online Resources</w:t>
      </w:r>
    </w:p>
    <w:p>
      <w:pPr>
        <w:spacing w:after="60" w:before="40"/>
      </w:pPr>
      <w:r>
        <w:rPr>
          <w:rFonts w:ascii="Arial" w:cs="Arial" w:eastAsia="Arial" w:hAnsi="Arial"/>
          <w:b/>
          <w:bCs/>
          <w:color w:val="1A1A2E"/>
          <w:sz w:val="20"/>
          <w:szCs w:val="20"/>
        </w:rPr>
        <w:t xml:space="preserve">UCI Sonar Dataset: </w:t>
      </w:r>
      <w:hyperlink w:history="1" r:id="rIdv0m5dpe5-w3nhadttf4la">
        <w:r>
          <w:rPr>
            <w:rFonts w:ascii="Arial" w:cs="Arial" w:eastAsia="Arial" w:hAnsi="Arial"/>
            <w:color w:val="2E6DA4"/>
            <w:sz w:val="20"/>
            <w:szCs w:val="20"/>
            <w:u w:val="single"/>
          </w:rPr>
          <w:t xml:space="preserve">https://archive.ics.uci.edu/dataset/151/connectionist+bench+sonar+mines+vs+rocks</w:t>
        </w:r>
      </w:hyperlink>
    </w:p>
    <w:p>
      <w:pPr>
        <w:spacing w:after="60" w:before="40"/>
      </w:pPr>
      <w:r>
        <w:rPr>
          <w:rFonts w:ascii="Arial" w:cs="Arial" w:eastAsia="Arial" w:hAnsi="Arial"/>
          <w:b/>
          <w:bCs/>
          <w:color w:val="1A1A2E"/>
          <w:sz w:val="20"/>
          <w:szCs w:val="20"/>
        </w:rPr>
        <w:t xml:space="preserve">ShipsEar Dataset: </w:t>
      </w:r>
      <w:hyperlink w:history="1" r:id="rIdurhroamrfxptqxrgcc7hd">
        <w:r>
          <w:rPr>
            <w:rFonts w:ascii="Arial" w:cs="Arial" w:eastAsia="Arial" w:hAnsi="Arial"/>
            <w:color w:val="2E6DA4"/>
            <w:sz w:val="20"/>
            <w:szCs w:val="20"/>
            <w:u w:val="single"/>
          </w:rPr>
          <w:t xml:space="preserve">http://atlanttic.uvigo.es/underwaternoise/</w:t>
        </w:r>
      </w:hyperlink>
    </w:p>
    <w:p>
      <w:pPr>
        <w:spacing w:after="60" w:before="40"/>
      </w:pPr>
      <w:r>
        <w:rPr>
          <w:rFonts w:ascii="Arial" w:cs="Arial" w:eastAsia="Arial" w:hAnsi="Arial"/>
          <w:b/>
          <w:bCs/>
          <w:color w:val="1A1A2E"/>
          <w:sz w:val="20"/>
          <w:szCs w:val="20"/>
        </w:rPr>
        <w:t xml:space="preserve">DeepShip Dataset: </w:t>
      </w:r>
      <w:hyperlink w:history="1" r:id="rIdmh_xic9-zax-1l0houb-x">
        <w:r>
          <w:rPr>
            <w:rFonts w:ascii="Arial" w:cs="Arial" w:eastAsia="Arial" w:hAnsi="Arial"/>
            <w:color w:val="2E6DA4"/>
            <w:sz w:val="20"/>
            <w:szCs w:val="20"/>
            <w:u w:val="single"/>
          </w:rPr>
          <w:t xml:space="preserve">https://github.com/irfankamboh/DeepShip</w:t>
        </w:r>
      </w:hyperlink>
    </w:p>
    <w:p>
      <w:pPr>
        <w:spacing w:after="60" w:before="40"/>
      </w:pPr>
      <w:r>
        <w:rPr>
          <w:rFonts w:ascii="Arial" w:cs="Arial" w:eastAsia="Arial" w:hAnsi="Arial"/>
          <w:b/>
          <w:bCs/>
          <w:color w:val="1A1A2E"/>
          <w:sz w:val="20"/>
          <w:szCs w:val="20"/>
        </w:rPr>
        <w:t xml:space="preserve">IEEE DataPort Processed Dataset: </w:t>
      </w:r>
      <w:hyperlink w:history="1" r:id="rId2mz-joxb3dxk8xdjktvyt">
        <w:r>
          <w:rPr>
            <w:rFonts w:ascii="Arial" w:cs="Arial" w:eastAsia="Arial" w:hAnsi="Arial"/>
            <w:color w:val="2E6DA4"/>
            <w:sz w:val="20"/>
            <w:szCs w:val="20"/>
            <w:u w:val="single"/>
          </w:rPr>
          <w:t xml:space="preserve">https://ieee-dataport.org/documents/processed-deepships-dataset-and-shipsear-dataset</w:t>
        </w:r>
      </w:hyperlink>
    </w:p>
    <w:p>
      <w:pPr>
        <w:spacing w:after="60" w:before="40"/>
      </w:pPr>
      <w:r>
        <w:rPr>
          <w:rFonts w:ascii="Arial" w:cs="Arial" w:eastAsia="Arial" w:hAnsi="Arial"/>
          <w:b/>
          <w:bCs/>
          <w:color w:val="1A1A2E"/>
          <w:sz w:val="20"/>
          <w:szCs w:val="20"/>
        </w:rPr>
        <w:t xml:space="preserve">Watkins Marine Mammal Database: </w:t>
      </w:r>
      <w:hyperlink w:history="1" r:id="rIdg_3blxwtt3ykd_wp-dwh6">
        <w:r>
          <w:rPr>
            <w:rFonts w:ascii="Arial" w:cs="Arial" w:eastAsia="Arial" w:hAnsi="Arial"/>
            <w:color w:val="2E6DA4"/>
            <w:sz w:val="20"/>
            <w:szCs w:val="20"/>
            <w:u w:val="single"/>
          </w:rPr>
          <w:t xml:space="preserve">https://cis.whoi.edu/science/B/whalesounds/index.cfm</w:t>
        </w:r>
      </w:hyperlink>
    </w:p>
    <w:p>
      <w:pPr>
        <w:spacing w:after="0" w:before="160"/>
      </w:pPr>
    </w:p>
    <w:p>
      <w:pPr>
        <w:pBdr>
          <w:top w:val="single" w:color="2E6DA4" w:sz="6" w:space="2"/>
        </w:pBdr>
        <w:spacing w:after="40" w:before="80"/>
        <w:jc w:val="center"/>
      </w:pPr>
      <w:r>
        <w:rPr>
          <w:rFonts w:ascii="Arial" w:cs="Arial" w:eastAsia="Arial" w:hAnsi="Arial"/>
          <w:i/>
          <w:iCs/>
          <w:color w:val="999999"/>
          <w:sz w:val="20"/>
          <w:szCs w:val="20"/>
        </w:rPr>
        <w:t xml:space="preserve">— End of Generalized Literature Survey —</w:t>
      </w:r>
    </w:p>
    <w:p>
      <w:pPr>
        <w:spacing w:after="40" w:before="40"/>
        <w:jc w:val="center"/>
      </w:pPr>
      <w:r>
        <w:rPr>
          <w:rFonts w:ascii="Arial" w:cs="Arial" w:eastAsia="Arial" w:hAnsi="Arial"/>
          <w:color w:val="999999"/>
          <w:sz w:val="18"/>
          <w:szCs w:val="18"/>
        </w:rPr>
        <w:t xml:space="preserve">Passive Sonar Binary Ship Detection  |  Technology-Agnostic Literature Survey  |  Academic Year 2024–2025</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1"/>
      </w:pBdr>
      <w:spacing w:after="0" w:before="80"/>
      <w:jc w:val="center"/>
    </w:pPr>
    <w:r>
      <w:rPr>
        <w:rFonts w:ascii="Arial" w:cs="Arial" w:eastAsia="Arial" w:hAnsi="Arial"/>
        <w:color w:val="999999"/>
        <w:sz w:val="17"/>
        <w:szCs w:val="17"/>
      </w:rPr>
      <w:t xml:space="preserve">Department of Electronics and Communication Engineering  |  Literature Survey Report  |  Academic Year 2024–2025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spacing w:after="80" w:before="0"/>
    </w:pPr>
    <w:r>
      <w:rPr>
        <w:rFonts w:ascii="Arial" w:cs="Arial" w:eastAsia="Arial" w:hAnsi="Arial"/>
        <w:color w:val="999999"/>
        <w:sz w:val="18"/>
        <w:szCs w:val="18"/>
      </w:rPr>
      <w:t xml:space="preserve">Literature Survey  |  Passive Sonar Binary Ship Detection Using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i/>
      <w:i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6kf3jmaybvmxagjxikhb" Type="http://schemas.openxmlformats.org/officeDocument/2006/relationships/hyperlink" Target="https://archive.ics.uci.edu/dataset/151/connectionist+bench+sonar+mines+vs+rocks" TargetMode="External"/><Relationship Id="rIdvxlvnhbrk9otowzq7lrop" Type="http://schemas.openxmlformats.org/officeDocument/2006/relationships/hyperlink" Target="https://www.mdpi.com/1424-8220/22/6/2181" TargetMode="External"/><Relationship Id="rIdjxdyoz59vuhnvlvcvcl_x" Type="http://schemas.openxmlformats.org/officeDocument/2006/relationships/hyperlink" Target="https://www.sciencedirect.com/science/article/abs/pii/S0957417421007016" TargetMode="External"/><Relationship Id="rId0bbme45c4sepr1beruj4u" Type="http://schemas.openxmlformats.org/officeDocument/2006/relationships/hyperlink" Target="https://www.sciencedirect.com/science/article/abs/pii/S0003682X15002807" TargetMode="External"/><Relationship Id="rIdnyee0tk46buvjcvmkxfhh" Type="http://schemas.openxmlformats.org/officeDocument/2006/relationships/hyperlink" Target="https://www.mdpi.com/2077-1312/11/8/1626" TargetMode="External"/><Relationship Id="rIdcsr8fncpqrwczdiefjpzr" Type="http://schemas.openxmlformats.org/officeDocument/2006/relationships/hyperlink" Target="https://www.mdpi.com/2072-4292/14/11/2648" TargetMode="External"/><Relationship Id="rId-dcpyvqkmbtfb3ybp2y5u" Type="http://schemas.openxmlformats.org/officeDocument/2006/relationships/hyperlink" Target="https://arxiv.org/abs/2307.13788" TargetMode="External"/><Relationship Id="rIde4hzhcsho0-pf2p1kaiul" Type="http://schemas.openxmlformats.org/officeDocument/2006/relationships/hyperlink" Target="https://www.mdpi.com/2077-1312/11/2/384" TargetMode="External"/><Relationship Id="rId6yogsjwjhugxlcol6vh8j" Type="http://schemas.openxmlformats.org/officeDocument/2006/relationships/hyperlink" Target="https://www.nature.com/articles/s41598-025-12452-2" TargetMode="External"/><Relationship Id="rIda7o7fvmfym0kepjeqhf66" Type="http://schemas.openxmlformats.org/officeDocument/2006/relationships/hyperlink" Target="https://www.walshmedicalmedia.com/open-access/underwater-acoustic-target-recognition-in-passive-sonar-using-spectrogram-and-modified-mobilenet-network-classifier.pdf" TargetMode="External"/><Relationship Id="rId6ejtk6crr9migd5tle2os" Type="http://schemas.openxmlformats.org/officeDocument/2006/relationships/hyperlink" Target="https://arxiv.org/pdf/2601.18086" TargetMode="External"/><Relationship Id="rIdi2g_lqodizjjza7p1zffx" Type="http://schemas.openxmlformats.org/officeDocument/2006/relationships/hyperlink" Target="https://pmc.ncbi.nlm.nih.gov/articles/PMC9688950/" TargetMode="External"/><Relationship Id="rIdiunhbpmr9rcuob_t2a366" Type="http://schemas.openxmlformats.org/officeDocument/2006/relationships/hyperlink" Target="https://arxiv.org/pdf/2411.02787" TargetMode="External"/><Relationship Id="rIdi4nljdvv53upiuqgq7cjm" Type="http://schemas.openxmlformats.org/officeDocument/2006/relationships/hyperlink" Target="https://www.sciencedirect.com/science/article/abs/pii/S0029801824010114" TargetMode="External"/><Relationship Id="rId41xh0v7ymrqaaubpugcrx" Type="http://schemas.openxmlformats.org/officeDocument/2006/relationships/hyperlink" Target="https://www.nature.com/articles/s41598-023-45245-6" TargetMode="External"/><Relationship Id="rIdv0m5dpe5-w3nhadttf4la" Type="http://schemas.openxmlformats.org/officeDocument/2006/relationships/hyperlink" Target="https://archive.ics.uci.edu/dataset/151/connectionist+bench+sonar+mines+vs+rocks" TargetMode="External"/><Relationship Id="rIdurhroamrfxptqxrgcc7hd" Type="http://schemas.openxmlformats.org/officeDocument/2006/relationships/hyperlink" Target="http://atlanttic.uvigo.es/underwaternoise/" TargetMode="External"/><Relationship Id="rIdmh_xic9-zax-1l0houb-x" Type="http://schemas.openxmlformats.org/officeDocument/2006/relationships/hyperlink" Target="https://github.com/irfankamboh/DeepShip" TargetMode="External"/><Relationship Id="rId2mz-joxb3dxk8xdjktvyt" Type="http://schemas.openxmlformats.org/officeDocument/2006/relationships/hyperlink" Target="https://ieee-dataport.org/documents/processed-deepships-dataset-and-shipsear-dataset" TargetMode="External"/><Relationship Id="rIdg_3blxwtt3ykd_wp-dwh6" Type="http://schemas.openxmlformats.org/officeDocument/2006/relationships/hyperlink" Target="https://cis.whoi.edu/science/B/whalesounds/index.cfm"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2026-06-19T02:27:34.903Z</dcterms:created>
  <dcterms:modified xsi:type="dcterms:W3CDTF">2026-06-19T02:27:34.903Z</dcterms:modified>
</cp:coreProperties>
</file>

<file path=docProps/custom.xml><?xml version="1.0" encoding="utf-8"?>
<Properties xmlns="http://schemas.openxmlformats.org/officeDocument/2006/custom-properties" xmlns:vt="http://schemas.openxmlformats.org/officeDocument/2006/docPropsVTypes"/>
</file>