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ED1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Arial" w:hAnsi="Arial" w:cs="Arial"/>
          <w:i w:val="0"/>
          <w:iCs w:val="0"/>
          <w:caps w:val="0"/>
          <w:color w:val="272626"/>
        </w:rPr>
      </w:pPr>
      <w:r>
        <w:rPr>
          <w:rFonts w:hint="default" w:ascii="Arial" w:hAnsi="Arial" w:cs="Arial"/>
          <w:i w:val="0"/>
          <w:iCs w:val="0"/>
          <w:caps w:val="0"/>
          <w:color w:val="272626"/>
          <w:bdr w:val="none" w:color="auto" w:sz="0" w:space="0"/>
          <w:shd w:val="clear" w:fill="FFFFFF"/>
        </w:rPr>
        <w:t>An overview of engineering courses after 12th </w:t>
      </w:r>
    </w:p>
    <w:p w14:paraId="509ECB1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Undergraduate engineering courses award an academic degree (as in the list below) to you after typically 4 years. They are in any one of the many engineering disciplines as described later in this detailed post.</w:t>
      </w:r>
    </w:p>
    <w:p w14:paraId="2C83567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The academic degrees can be:</w:t>
      </w:r>
    </w:p>
    <w:p w14:paraId="55079B3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B.E. / B.E. (Hons)</w:t>
      </w:r>
    </w:p>
    <w:p w14:paraId="08B3E95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B.Tech./ B.Tech. (Hons)</w:t>
      </w:r>
    </w:p>
    <w:p w14:paraId="141DF46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B.Eng.</w:t>
      </w:r>
    </w:p>
    <w:p w14:paraId="6AE274D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B.S. or B.Sc. (Bachelor of Science) in Engineering/Technology</w:t>
      </w:r>
    </w:p>
    <w:p w14:paraId="5D2109C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B.E.Sc.: Bachelor of Engineering Science</w:t>
      </w:r>
    </w:p>
    <w:p w14:paraId="1211113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This is a list of 6 popular Engineering degrees that you may commonly come across. </w:t>
      </w:r>
    </w:p>
    <w:p w14:paraId="480A835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Integrated 5-year Engineering Courses:</w:t>
      </w:r>
    </w:p>
    <w:p w14:paraId="505EBAC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In India, these are the options for integrated engineering courses that one can pursue after the 12th:</w:t>
      </w:r>
    </w:p>
    <w:p w14:paraId="673F9CD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Bachelors in Civil Engineering + Masters</w:t>
      </w:r>
    </w:p>
    <w:p w14:paraId="4DD5368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Bachelors in Electrical And Electronics Engineering + Masters</w:t>
      </w:r>
    </w:p>
    <w:p w14:paraId="16493EC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Bachelors in Mechanical Engineering + Masters</w:t>
      </w:r>
    </w:p>
    <w:p w14:paraId="4B7FCC1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Bachelors in Electronics And Communications Engineering + Masters</w:t>
      </w:r>
    </w:p>
    <w:p w14:paraId="367EE0F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Bachelors in Computer Science And Engineering + Masters</w:t>
      </w:r>
    </w:p>
    <w:p w14:paraId="3BFAB2F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Dual B. Tech. (Hons) And M. Tech</w:t>
      </w:r>
    </w:p>
    <w:p w14:paraId="19828E6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Now that you have an overview it’s time to begin with…</w:t>
      </w:r>
    </w:p>
    <w:p w14:paraId="225C11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rPr>
      </w:pPr>
      <w:r>
        <w:rPr>
          <w:rFonts w:hint="default" w:ascii="Arial" w:hAnsi="Arial" w:cs="Arial"/>
          <w:i w:val="0"/>
          <w:iCs w:val="0"/>
          <w:caps w:val="0"/>
          <w:color w:val="272626"/>
          <w:bdr w:val="none" w:color="auto" w:sz="0" w:space="0"/>
          <w:shd w:val="clear" w:fill="FFFFFF"/>
        </w:rPr>
        <w:t>List of best engineering courses after 12</w:t>
      </w:r>
      <w:r>
        <w:rPr>
          <w:rFonts w:hint="default" w:ascii="Arial" w:hAnsi="Arial" w:cs="Arial"/>
          <w:i w:val="0"/>
          <w:iCs w:val="0"/>
          <w:caps w:val="0"/>
          <w:color w:val="272626"/>
          <w:bdr w:val="none" w:color="auto" w:sz="0" w:space="0"/>
          <w:shd w:val="clear" w:fill="FFFFFF"/>
          <w:vertAlign w:val="superscript"/>
        </w:rPr>
        <w:t>th</w:t>
      </w:r>
      <w:r>
        <w:rPr>
          <w:rFonts w:hint="default" w:ascii="Arial" w:hAnsi="Arial" w:cs="Arial"/>
          <w:i w:val="0"/>
          <w:iCs w:val="0"/>
          <w:caps w:val="0"/>
          <w:color w:val="272626"/>
          <w:bdr w:val="none" w:color="auto" w:sz="0" w:space="0"/>
          <w:shd w:val="clear" w:fill="FFFFFF"/>
        </w:rPr>
        <w:t> </w:t>
      </w:r>
    </w:p>
    <w:p w14:paraId="018CCC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Choosing the right engineering course after 12th involves considering personal interests, aptitude, and career goals. Research various engineering branches, understand their scope, and assess your strengths. Consider industry trends and job prospects. Attend career counseling sessions, explore internships, and talk to professionals in different fields. Evaluate your passion for subjects like computer science, electronics, or mechanical engineering. Make an informed decision that aligns with your skills and future aspirations for a rewarding and fulfilling career.</w:t>
      </w:r>
    </w:p>
    <w:p w14:paraId="2A33BB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rPr>
      </w:pPr>
      <w:r>
        <w:rPr>
          <w:rFonts w:hint="default" w:ascii="Arial" w:hAnsi="Arial" w:cs="Arial"/>
          <w:i w:val="0"/>
          <w:iCs w:val="0"/>
          <w:caps w:val="0"/>
          <w:color w:val="272626"/>
          <w:bdr w:val="none" w:color="auto" w:sz="0" w:space="0"/>
          <w:shd w:val="clear" w:fill="FFFFFF"/>
        </w:rPr>
        <w:t>Undergraduate courses (BE/Btech/BS/BSc)</w:t>
      </w:r>
    </w:p>
    <w:p w14:paraId="5C9EA69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Here’s the list of best engineering courses after 12</w:t>
      </w:r>
      <w:r>
        <w:rPr>
          <w:rFonts w:hint="default" w:ascii="Arial" w:hAnsi="Arial" w:cs="Arial"/>
          <w:i w:val="0"/>
          <w:iCs w:val="0"/>
          <w:caps w:val="0"/>
          <w:color w:val="272626"/>
          <w:spacing w:val="6"/>
          <w:sz w:val="19"/>
          <w:szCs w:val="19"/>
          <w:bdr w:val="none" w:color="auto" w:sz="0" w:space="0"/>
          <w:shd w:val="clear" w:fill="FFFFFF"/>
          <w:vertAlign w:val="superscript"/>
        </w:rPr>
        <w:t>th</w:t>
      </w:r>
      <w:r>
        <w:rPr>
          <w:rFonts w:hint="default" w:ascii="Arial" w:hAnsi="Arial" w:cs="Arial"/>
          <w:i w:val="0"/>
          <w:iCs w:val="0"/>
          <w:caps w:val="0"/>
          <w:color w:val="272626"/>
          <w:spacing w:val="6"/>
          <w:sz w:val="19"/>
          <w:szCs w:val="19"/>
          <w:bdr w:val="none" w:color="auto" w:sz="0" w:space="0"/>
          <w:shd w:val="clear" w:fill="FFFFFF"/>
        </w:rPr>
        <w:t>:</w:t>
      </w:r>
    </w:p>
    <w:p w14:paraId="4578638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Civil Engineering</w:t>
      </w:r>
    </w:p>
    <w:p w14:paraId="40A5F5A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Mechanical Engineering</w:t>
      </w:r>
    </w:p>
    <w:p w14:paraId="70DE8F5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Computer Science Engineering</w:t>
      </w:r>
    </w:p>
    <w:p w14:paraId="40B9B5E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Electrical Engineering</w:t>
      </w:r>
    </w:p>
    <w:p w14:paraId="4BFF94B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Electronics and Communication Engineering</w:t>
      </w:r>
    </w:p>
    <w:p w14:paraId="49F1A91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Chemical Engineering</w:t>
      </w:r>
    </w:p>
    <w:p w14:paraId="7BFF698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Aerospace Engineering</w:t>
      </w:r>
    </w:p>
    <w:p w14:paraId="72DF3C7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Biotechnology Engineering</w:t>
      </w:r>
    </w:p>
    <w:p w14:paraId="735DD72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Aeronautical Engineering</w:t>
      </w:r>
    </w:p>
    <w:p w14:paraId="77C25B3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Information Technology Engineering</w:t>
      </w:r>
    </w:p>
    <w:p w14:paraId="2860CA4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Automobile Engineering</w:t>
      </w:r>
    </w:p>
    <w:p w14:paraId="1A1D42E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Petroleum Engineering</w:t>
      </w:r>
    </w:p>
    <w:p w14:paraId="1961F44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Genetic Engineering</w:t>
      </w:r>
    </w:p>
    <w:p w14:paraId="3D94714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Environmental Engineering</w:t>
      </w:r>
    </w:p>
    <w:p w14:paraId="181D13C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Marine Engineering</w:t>
      </w:r>
    </w:p>
    <w:p w14:paraId="6D2092BB">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pPr>
      <w:bookmarkStart w:id="0" w:name="_GoBack"/>
      <w:bookmarkEnd w:id="0"/>
    </w:p>
    <w:p w14:paraId="17378E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rPr>
      </w:pPr>
      <w:r>
        <w:rPr>
          <w:rFonts w:hint="default" w:ascii="Arial" w:hAnsi="Arial" w:cs="Arial"/>
          <w:i w:val="0"/>
          <w:iCs w:val="0"/>
          <w:caps w:val="0"/>
          <w:color w:val="272626"/>
          <w:bdr w:val="none" w:color="auto" w:sz="0" w:space="0"/>
          <w:shd w:val="clear" w:fill="FFFFFF"/>
        </w:rPr>
        <w:t>Diploma engineering courses after 12th </w:t>
      </w:r>
    </w:p>
    <w:p w14:paraId="0A9CFB6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Below is the list of 15 best diploma engineering courses after 12</w:t>
      </w:r>
      <w:r>
        <w:rPr>
          <w:rFonts w:hint="default" w:ascii="Arial" w:hAnsi="Arial" w:cs="Arial"/>
          <w:i w:val="0"/>
          <w:iCs w:val="0"/>
          <w:caps w:val="0"/>
          <w:color w:val="272626"/>
          <w:spacing w:val="6"/>
          <w:sz w:val="19"/>
          <w:szCs w:val="19"/>
          <w:bdr w:val="none" w:color="auto" w:sz="0" w:space="0"/>
          <w:shd w:val="clear" w:fill="FFFFFF"/>
          <w:vertAlign w:val="superscript"/>
        </w:rPr>
        <w:t>th</w:t>
      </w:r>
      <w:r>
        <w:rPr>
          <w:rFonts w:hint="default" w:ascii="Arial" w:hAnsi="Arial" w:cs="Arial"/>
          <w:i w:val="0"/>
          <w:iCs w:val="0"/>
          <w:caps w:val="0"/>
          <w:color w:val="272626"/>
          <w:spacing w:val="6"/>
          <w:sz w:val="19"/>
          <w:szCs w:val="19"/>
          <w:bdr w:val="none" w:color="auto" w:sz="0" w:space="0"/>
          <w:shd w:val="clear" w:fill="FFFFFF"/>
        </w:rPr>
        <w:t> with PCM:</w:t>
      </w:r>
    </w:p>
    <w:p w14:paraId="4F33F26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Civil Engineering</w:t>
      </w:r>
    </w:p>
    <w:p w14:paraId="480B743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Mechanical Engineering</w:t>
      </w:r>
    </w:p>
    <w:p w14:paraId="119E877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Electrical Engineering</w:t>
      </w:r>
    </w:p>
    <w:p w14:paraId="1913D42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Electronics and Communication Engineering</w:t>
      </w:r>
    </w:p>
    <w:p w14:paraId="1283689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Computer Science Engineering</w:t>
      </w:r>
    </w:p>
    <w:p w14:paraId="5B62EB8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Chemical Engineering</w:t>
      </w:r>
    </w:p>
    <w:p w14:paraId="775E5ED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Automobile Engineering</w:t>
      </w:r>
    </w:p>
    <w:p w14:paraId="0249631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Information Technology</w:t>
      </w:r>
    </w:p>
    <w:p w14:paraId="46F947C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Mining Engineering</w:t>
      </w:r>
    </w:p>
    <w:p w14:paraId="747FCBC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Instrumentation Engineering</w:t>
      </w:r>
    </w:p>
    <w:p w14:paraId="412E958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Agricultural Engineering</w:t>
      </w:r>
    </w:p>
    <w:p w14:paraId="3FDEBDE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Metallurgical Engineering</w:t>
      </w:r>
    </w:p>
    <w:p w14:paraId="5C8D8CB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Textile Engineering</w:t>
      </w:r>
    </w:p>
    <w:p w14:paraId="35E940E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Petroleum Engineering</w:t>
      </w:r>
    </w:p>
    <w:p w14:paraId="3695D5C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pPr>
      <w:r>
        <w:rPr>
          <w:rFonts w:hint="default" w:ascii="Arial" w:hAnsi="Arial" w:cs="Arial"/>
          <w:i w:val="0"/>
          <w:iCs w:val="0"/>
          <w:caps w:val="0"/>
          <w:color w:val="272626"/>
          <w:spacing w:val="6"/>
          <w:sz w:val="19"/>
          <w:szCs w:val="19"/>
          <w:bdr w:val="none" w:color="auto" w:sz="0" w:space="0"/>
          <w:shd w:val="clear" w:fill="FFFFFF"/>
        </w:rPr>
        <w:t>Robotics Engineering</w:t>
      </w:r>
    </w:p>
    <w:p w14:paraId="6AC5EE6D">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7DBE48CF">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0EB8ABCB">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461D4A35">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66DBA22F">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688914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03E61BCE">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31E6151C">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rPr>
          <w:rFonts w:hint="default" w:ascii="Arial" w:hAnsi="Arial" w:cs="Arial"/>
          <w:i w:val="0"/>
          <w:iCs w:val="0"/>
          <w:caps w:val="0"/>
          <w:color w:val="272626"/>
          <w:spacing w:val="6"/>
          <w:sz w:val="19"/>
          <w:szCs w:val="19"/>
          <w:bdr w:val="none" w:color="auto" w:sz="0" w:space="0"/>
          <w:shd w:val="clear" w:fill="FFFFFF"/>
        </w:rPr>
      </w:pPr>
    </w:p>
    <w:p w14:paraId="2B70FB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rPr>
      </w:pPr>
      <w:r>
        <w:rPr>
          <w:rFonts w:hint="default" w:ascii="Arial" w:hAnsi="Arial" w:cs="Arial"/>
          <w:i w:val="0"/>
          <w:iCs w:val="0"/>
          <w:caps w:val="0"/>
          <w:color w:val="272626"/>
          <w:bdr w:val="none" w:color="auto" w:sz="0" w:space="0"/>
          <w:shd w:val="clear" w:fill="FFFFFF"/>
        </w:rPr>
        <w:t>Top high-salary engineering courses after 12</w:t>
      </w:r>
      <w:r>
        <w:rPr>
          <w:rFonts w:hint="default" w:ascii="Arial" w:hAnsi="Arial" w:cs="Arial"/>
          <w:i w:val="0"/>
          <w:iCs w:val="0"/>
          <w:caps w:val="0"/>
          <w:color w:val="272626"/>
          <w:bdr w:val="none" w:color="auto" w:sz="0" w:space="0"/>
          <w:shd w:val="clear" w:fill="FFFFFF"/>
          <w:vertAlign w:val="superscript"/>
        </w:rPr>
        <w:t>th</w:t>
      </w:r>
      <w:r>
        <w:rPr>
          <w:rFonts w:hint="default" w:ascii="Arial" w:hAnsi="Arial" w:cs="Arial"/>
          <w:i w:val="0"/>
          <w:iCs w:val="0"/>
          <w:caps w:val="0"/>
          <w:color w:val="272626"/>
          <w:bdr w:val="none" w:color="auto" w:sz="0" w:space="0"/>
          <w:shd w:val="clear" w:fill="FFFFFF"/>
        </w:rPr>
        <w:t> </w:t>
      </w:r>
    </w:p>
    <w:p w14:paraId="3E22191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iCs w:val="0"/>
          <w:caps w:val="0"/>
          <w:color w:val="272626"/>
          <w:spacing w:val="6"/>
          <w:sz w:val="19"/>
          <w:szCs w:val="19"/>
        </w:rPr>
      </w:pPr>
      <w:r>
        <w:rPr>
          <w:rFonts w:hint="default" w:ascii="Arial" w:hAnsi="Arial" w:cs="Arial"/>
          <w:i w:val="0"/>
          <w:iCs w:val="0"/>
          <w:caps w:val="0"/>
          <w:color w:val="272626"/>
          <w:spacing w:val="6"/>
          <w:sz w:val="19"/>
          <w:szCs w:val="19"/>
          <w:bdr w:val="none" w:color="auto" w:sz="0" w:space="0"/>
          <w:shd w:val="clear" w:fill="FFFFFF"/>
        </w:rPr>
        <w:t>Here’s the table showing the trending engineering courses after 12</w:t>
      </w:r>
      <w:r>
        <w:rPr>
          <w:rFonts w:hint="default" w:ascii="Arial" w:hAnsi="Arial" w:cs="Arial"/>
          <w:i w:val="0"/>
          <w:iCs w:val="0"/>
          <w:caps w:val="0"/>
          <w:color w:val="272626"/>
          <w:spacing w:val="6"/>
          <w:sz w:val="19"/>
          <w:szCs w:val="19"/>
          <w:bdr w:val="none" w:color="auto" w:sz="0" w:space="0"/>
          <w:shd w:val="clear" w:fill="FFFFFF"/>
          <w:vertAlign w:val="superscript"/>
        </w:rPr>
        <w:t>th</w:t>
      </w:r>
      <w:r>
        <w:rPr>
          <w:rFonts w:hint="default" w:ascii="Arial" w:hAnsi="Arial" w:cs="Arial"/>
          <w:i w:val="0"/>
          <w:iCs w:val="0"/>
          <w:caps w:val="0"/>
          <w:color w:val="272626"/>
          <w:spacing w:val="6"/>
          <w:sz w:val="19"/>
          <w:szCs w:val="19"/>
          <w:bdr w:val="none" w:color="auto" w:sz="0" w:space="0"/>
          <w:shd w:val="clear" w:fill="FFFFFF"/>
        </w:rPr>
        <w:t> with high-salary career opportunities: </w:t>
      </w:r>
    </w:p>
    <w:tbl>
      <w:tblPr>
        <w:tblW w:w="9468" w:type="dxa"/>
        <w:tblCellSpacing w:w="15" w:type="dxa"/>
        <w:tblInd w:w="-12" w:type="dxa"/>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79"/>
        <w:gridCol w:w="5489"/>
      </w:tblGrid>
      <w:tr w14:paraId="7342320E">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42378022">
            <w:pPr>
              <w:keepNext w:val="0"/>
              <w:keepLines w:val="0"/>
              <w:widowControl/>
              <w:suppressLineNumbers w:val="0"/>
              <w:jc w:val="left"/>
              <w:rPr>
                <w:sz w:val="18"/>
                <w:szCs w:val="18"/>
              </w:rPr>
            </w:pPr>
            <w:r>
              <w:rPr>
                <w:rStyle w:val="9"/>
                <w:rFonts w:ascii="SimSun" w:hAnsi="SimSun" w:eastAsia="SimSun" w:cs="SimSun"/>
                <w:kern w:val="0"/>
                <w:sz w:val="18"/>
                <w:szCs w:val="18"/>
                <w:bdr w:val="none" w:color="auto" w:sz="0" w:space="0"/>
                <w:lang w:val="en-US" w:eastAsia="zh-CN" w:bidi="ar"/>
              </w:rPr>
              <w:t>Engineering Course</w:t>
            </w:r>
          </w:p>
        </w:tc>
        <w:tc>
          <w:tcPr>
            <w:tcW w:w="0" w:type="auto"/>
            <w:shd w:val="clear"/>
            <w:tcMar>
              <w:top w:w="240" w:type="dxa"/>
              <w:left w:w="240" w:type="dxa"/>
              <w:bottom w:w="240" w:type="dxa"/>
              <w:right w:w="240" w:type="dxa"/>
            </w:tcMar>
            <w:vAlign w:val="center"/>
          </w:tcPr>
          <w:p w14:paraId="46F5C433">
            <w:pPr>
              <w:keepNext w:val="0"/>
              <w:keepLines w:val="0"/>
              <w:widowControl/>
              <w:suppressLineNumbers w:val="0"/>
              <w:jc w:val="left"/>
              <w:rPr>
                <w:sz w:val="18"/>
                <w:szCs w:val="18"/>
              </w:rPr>
            </w:pPr>
            <w:r>
              <w:rPr>
                <w:rStyle w:val="9"/>
                <w:rFonts w:ascii="SimSun" w:hAnsi="SimSun" w:eastAsia="SimSun" w:cs="SimSun"/>
                <w:kern w:val="0"/>
                <w:sz w:val="18"/>
                <w:szCs w:val="18"/>
                <w:bdr w:val="none" w:color="auto" w:sz="0" w:space="0"/>
                <w:lang w:val="en-US" w:eastAsia="zh-CN" w:bidi="ar"/>
              </w:rPr>
              <w:t>Average Salary (Per Year/Per Month)</w:t>
            </w:r>
          </w:p>
        </w:tc>
      </w:tr>
      <w:tr w14:paraId="1D9354F4">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31A15391">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Computer Engineering</w:t>
            </w:r>
          </w:p>
        </w:tc>
        <w:tc>
          <w:tcPr>
            <w:tcW w:w="0" w:type="auto"/>
            <w:shd w:val="clear"/>
            <w:tcMar>
              <w:top w:w="240" w:type="dxa"/>
              <w:left w:w="240" w:type="dxa"/>
              <w:bottom w:w="240" w:type="dxa"/>
              <w:right w:w="240" w:type="dxa"/>
            </w:tcMar>
            <w:vAlign w:val="center"/>
          </w:tcPr>
          <w:p w14:paraId="180C6A75">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₹7,00,000 per year (Glassdoor)</w:t>
            </w:r>
          </w:p>
        </w:tc>
      </w:tr>
      <w:tr w14:paraId="5556BCF3">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37DBBA7B">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Electronics Engineering</w:t>
            </w:r>
          </w:p>
        </w:tc>
        <w:tc>
          <w:tcPr>
            <w:tcW w:w="0" w:type="auto"/>
            <w:shd w:val="clear"/>
            <w:tcMar>
              <w:top w:w="240" w:type="dxa"/>
              <w:left w:w="240" w:type="dxa"/>
              <w:bottom w:w="240" w:type="dxa"/>
              <w:right w:w="240" w:type="dxa"/>
            </w:tcMar>
            <w:vAlign w:val="center"/>
          </w:tcPr>
          <w:p w14:paraId="5378C5A3">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₹4,61,720 per year (PayScale, 2024)</w:t>
            </w:r>
          </w:p>
        </w:tc>
      </w:tr>
      <w:tr w14:paraId="4125CC25">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143D8E33">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Mechanical Engineering</w:t>
            </w:r>
          </w:p>
        </w:tc>
        <w:tc>
          <w:tcPr>
            <w:tcW w:w="0" w:type="auto"/>
            <w:shd w:val="clear"/>
            <w:tcMar>
              <w:top w:w="240" w:type="dxa"/>
              <w:left w:w="240" w:type="dxa"/>
              <w:bottom w:w="240" w:type="dxa"/>
              <w:right w:w="240" w:type="dxa"/>
            </w:tcMar>
            <w:vAlign w:val="center"/>
          </w:tcPr>
          <w:p w14:paraId="58D56C57">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₹56,500 per month (Glassdoor)</w:t>
            </w:r>
          </w:p>
        </w:tc>
      </w:tr>
      <w:tr w14:paraId="3E590985">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04B25711">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Civil Engineering</w:t>
            </w:r>
          </w:p>
        </w:tc>
        <w:tc>
          <w:tcPr>
            <w:tcW w:w="0" w:type="auto"/>
            <w:shd w:val="clear"/>
            <w:tcMar>
              <w:top w:w="240" w:type="dxa"/>
              <w:left w:w="240" w:type="dxa"/>
              <w:bottom w:w="240" w:type="dxa"/>
              <w:right w:w="240" w:type="dxa"/>
            </w:tcMar>
            <w:vAlign w:val="center"/>
          </w:tcPr>
          <w:p w14:paraId="3D8D8909">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₹61,556 per month (Glassdoor)</w:t>
            </w:r>
          </w:p>
        </w:tc>
      </w:tr>
      <w:tr w14:paraId="2EE69FAB">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385AEB76">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Electrical Engineering</w:t>
            </w:r>
          </w:p>
        </w:tc>
        <w:tc>
          <w:tcPr>
            <w:tcW w:w="0" w:type="auto"/>
            <w:shd w:val="clear"/>
            <w:tcMar>
              <w:top w:w="240" w:type="dxa"/>
              <w:left w:w="240" w:type="dxa"/>
              <w:bottom w:w="240" w:type="dxa"/>
              <w:right w:w="240" w:type="dxa"/>
            </w:tcMar>
            <w:vAlign w:val="center"/>
          </w:tcPr>
          <w:p w14:paraId="1A5D61E9">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₹5,40,000 per year (Glassdoor)</w:t>
            </w:r>
          </w:p>
        </w:tc>
      </w:tr>
      <w:tr w14:paraId="3D936DF8">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64524F38">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Information Technology</w:t>
            </w:r>
          </w:p>
        </w:tc>
        <w:tc>
          <w:tcPr>
            <w:tcW w:w="0" w:type="auto"/>
            <w:shd w:val="clear"/>
            <w:tcMar>
              <w:top w:w="240" w:type="dxa"/>
              <w:left w:w="240" w:type="dxa"/>
              <w:bottom w:w="240" w:type="dxa"/>
              <w:right w:w="240" w:type="dxa"/>
            </w:tcMar>
            <w:vAlign w:val="center"/>
          </w:tcPr>
          <w:p w14:paraId="613A4802">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₹5,49,829 per year (Glassdoor)</w:t>
            </w:r>
          </w:p>
        </w:tc>
      </w:tr>
      <w:tr w14:paraId="210F3560">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1CAF0418">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Engineering &amp; Technology</w:t>
            </w:r>
          </w:p>
        </w:tc>
        <w:tc>
          <w:tcPr>
            <w:tcW w:w="0" w:type="auto"/>
            <w:shd w:val="clear"/>
            <w:tcMar>
              <w:top w:w="240" w:type="dxa"/>
              <w:left w:w="240" w:type="dxa"/>
              <w:bottom w:w="240" w:type="dxa"/>
              <w:right w:w="240" w:type="dxa"/>
            </w:tcMar>
            <w:vAlign w:val="center"/>
          </w:tcPr>
          <w:p w14:paraId="35F1C476">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₹6,50,000 per year (Glassdoor)</w:t>
            </w:r>
          </w:p>
        </w:tc>
      </w:tr>
      <w:tr w14:paraId="18E64572">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3C206479">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Architecture</w:t>
            </w:r>
          </w:p>
        </w:tc>
        <w:tc>
          <w:tcPr>
            <w:tcW w:w="0" w:type="auto"/>
            <w:shd w:val="clear"/>
            <w:tcMar>
              <w:top w:w="240" w:type="dxa"/>
              <w:left w:w="240" w:type="dxa"/>
              <w:bottom w:w="240" w:type="dxa"/>
              <w:right w:w="240" w:type="dxa"/>
            </w:tcMar>
            <w:vAlign w:val="center"/>
          </w:tcPr>
          <w:p w14:paraId="30DFF5E9">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₹11,11,000 per year (Glassdoor)</w:t>
            </w:r>
          </w:p>
        </w:tc>
      </w:tr>
      <w:tr w14:paraId="624DDAD1">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1ABC0871">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Chemical Engineering</w:t>
            </w:r>
          </w:p>
        </w:tc>
        <w:tc>
          <w:tcPr>
            <w:tcW w:w="0" w:type="auto"/>
            <w:shd w:val="clear"/>
            <w:tcMar>
              <w:top w:w="240" w:type="dxa"/>
              <w:left w:w="240" w:type="dxa"/>
              <w:bottom w:w="240" w:type="dxa"/>
              <w:right w:w="240" w:type="dxa"/>
            </w:tcMar>
            <w:vAlign w:val="center"/>
          </w:tcPr>
          <w:p w14:paraId="047217B9">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₹6,35,000 per year (Glassdoor)</w:t>
            </w:r>
          </w:p>
        </w:tc>
      </w:tr>
      <w:tr w14:paraId="5442376E">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4488F016">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Data Engineering </w:t>
            </w:r>
          </w:p>
        </w:tc>
        <w:tc>
          <w:tcPr>
            <w:tcW w:w="0" w:type="auto"/>
            <w:shd w:val="clear"/>
            <w:tcMar>
              <w:top w:w="240" w:type="dxa"/>
              <w:left w:w="240" w:type="dxa"/>
              <w:bottom w:w="240" w:type="dxa"/>
              <w:right w:w="240" w:type="dxa"/>
            </w:tcMar>
            <w:vAlign w:val="center"/>
          </w:tcPr>
          <w:p w14:paraId="15AB52C9">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₹10,52,990 per year (Indeed)</w:t>
            </w:r>
          </w:p>
        </w:tc>
      </w:tr>
      <w:tr w14:paraId="77625C6A">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240" w:type="dxa"/>
              <w:left w:w="240" w:type="dxa"/>
              <w:bottom w:w="240" w:type="dxa"/>
              <w:right w:w="240" w:type="dxa"/>
            </w:tcMar>
            <w:vAlign w:val="center"/>
          </w:tcPr>
          <w:p w14:paraId="3F24CCBD">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Software Engineering</w:t>
            </w:r>
          </w:p>
        </w:tc>
        <w:tc>
          <w:tcPr>
            <w:tcW w:w="0" w:type="auto"/>
            <w:shd w:val="clear"/>
            <w:tcMar>
              <w:top w:w="240" w:type="dxa"/>
              <w:left w:w="240" w:type="dxa"/>
              <w:bottom w:w="240" w:type="dxa"/>
              <w:right w:w="240" w:type="dxa"/>
            </w:tcMar>
            <w:vAlign w:val="center"/>
          </w:tcPr>
          <w:p w14:paraId="74CB1789">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₹6,36,310 per year (Indeed)</w:t>
            </w:r>
          </w:p>
        </w:tc>
      </w:tr>
    </w:tbl>
    <w:p w14:paraId="7205745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EDFC8"/>
    <w:multiLevelType w:val="multilevel"/>
    <w:tmpl w:val="89AEDF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013E6D"/>
    <w:multiLevelType w:val="multilevel"/>
    <w:tmpl w:val="93013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82CDC54"/>
    <w:multiLevelType w:val="multilevel"/>
    <w:tmpl w:val="182CDC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9322540"/>
    <w:multiLevelType w:val="multilevel"/>
    <w:tmpl w:val="493225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A1B4D"/>
    <w:rsid w:val="72EA1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2024-12-27T18:42:00Z</dcterms:created>
  <dc:creator>KAMESHKARNAN</dc:creator>
  <cp:lastModifiedBy>WPS_1725889265</cp:lastModifiedBy>
  <dcterms:modified xsi:type="dcterms:W3CDTF">2024-12-27T18:43:18Z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EA627F7691984583911B45B809E198B5_11</vt:lpwstr>
  </property>
</Properties>
</file>