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80"/>
          </w:tcPr>
          <w:p>
            <w:r>
              <w:rPr>
                <w:rFonts w:ascii="Arial" w:hAnsi="Arial"/>
                <w:b/>
                <w:i w:val="0"/>
                <w:color w:val="1B365D"/>
                <w:sz w:val="22"/>
              </w:rPr>
              <w:t>DEPARTMENT OF COMPUTER SCIENCE AND ENGINEERING</w:t>
              <w:br/>
            </w:r>
            <w:r>
              <w:rPr>
                <w:rFonts w:ascii="Calibri" w:hAnsi="Calibri"/>
                <w:b/>
                <w:i w:val="0"/>
                <w:color w:val="222222"/>
                <w:sz w:val="20"/>
              </w:rPr>
              <w:t xml:space="preserve">Course Code &amp; Name: </w:t>
            </w:r>
            <w:r>
              <w:rPr>
                <w:rFonts w:ascii="Calibri" w:hAnsi="Calibri"/>
                <w:b w:val="0"/>
                <w:i w:val="0"/>
                <w:color w:val="222222"/>
                <w:sz w:val="20"/>
              </w:rPr>
              <w:t>ITA06 - MACHINE LEARNING (SLOT - B)</w:t>
            </w:r>
          </w:p>
        </w:tc>
        <w:tc>
          <w:tcPr>
            <w:tcW w:type="dxa" w:w="4680"/>
          </w:tcPr>
          <w:p>
            <w:pPr>
              <w:jc w:val="right"/>
            </w:pPr>
            <w:r>
              <w:rPr>
                <w:rFonts w:ascii="Arial" w:hAnsi="Arial"/>
                <w:b/>
                <w:i w:val="0"/>
                <w:color w:val="1B365D"/>
                <w:sz w:val="22"/>
              </w:rPr>
              <w:t xml:space="preserve">Student Name: </w:t>
            </w:r>
            <w:r>
              <w:rPr>
                <w:rFonts w:ascii="Arial" w:hAnsi="Arial"/>
                <w:b/>
                <w:i w:val="0"/>
                <w:color w:val="1B365D"/>
                <w:sz w:val="22"/>
              </w:rPr>
              <w:t>Kameshwaran</w:t>
              <w:br/>
            </w:r>
            <w:r>
              <w:rPr>
                <w:rFonts w:ascii="Arial" w:hAnsi="Arial"/>
                <w:b/>
                <w:i w:val="0"/>
                <w:color w:val="4B6B94"/>
                <w:sz w:val="20"/>
              </w:rPr>
              <w:t xml:space="preserve">Register No: </w:t>
            </w:r>
            <w:r>
              <w:rPr>
                <w:rFonts w:ascii="Arial" w:hAnsi="Arial"/>
                <w:b/>
                <w:i w:val="0"/>
                <w:color w:val="4B6B94"/>
                <w:sz w:val="20"/>
              </w:rPr>
              <w:t>192421120</w:t>
            </w:r>
          </w:p>
        </w:tc>
      </w:tr>
      <w:tr>
        <w:tc>
          <w:tcPr>
            <w:tcW w:type="dxa" w:w="4680"/>
          </w:tcPr>
          <w:p>
            <w:r>
              <w:rPr>
                <w:rFonts w:ascii="Calibri" w:hAnsi="Calibri"/>
                <w:b w:val="0"/>
                <w:i/>
                <w:color w:val="555555"/>
                <w:sz w:val="20"/>
              </w:rPr>
              <w:t>Assignment Title: Design &amp; Evaluation of a Decision Tree Learning Model for Predictive Maintenance of Industrial Equipment</w:t>
            </w:r>
          </w:p>
        </w:tc>
        <w:tc>
          <w:tcPr>
            <w:tcW w:type="dxa" w:w="4680"/>
          </w:tcPr>
          <w:p>
            <w:pPr>
              <w:jc w:val="right"/>
            </w:pPr>
            <w:r>
              <w:rPr>
                <w:rFonts w:ascii="Calibri" w:hAnsi="Calibri"/>
                <w:b w:val="0"/>
                <w:i w:val="0"/>
                <w:color w:val="555555"/>
                <w:sz w:val="18"/>
              </w:rPr>
              <w:t>Bloom's Level: L3 (Apply), L4 (Analyse), L5 (Evaluate)</w:t>
              <w:br/>
              <w:t>SDG Mapping: SDG 7, SDG 11, SDG 12</w:t>
            </w:r>
          </w:p>
        </w:tc>
      </w:tr>
    </w:tbl>
    <w:p>
      <w:pPr>
        <w:spacing w:after="40"/>
      </w:pPr>
    </w:p>
    <w:p>
      <w:pPr>
        <w:pBdr>
          <w:bottom w:val="single" w:sz="18" w:space="1" w:color="1B365D"/>
        </w:pBdr>
      </w:pPr>
    </w:p>
    <w:p>
      <w:pPr>
        <w:spacing w:before="0" w:after="80"/>
        <w:jc w:val="center"/>
      </w:pPr>
      <w:r>
        <w:rPr>
          <w:rFonts w:ascii="Arial" w:hAnsi="Arial"/>
          <w:b/>
          <w:i w:val="0"/>
          <w:color w:val="1B365D"/>
          <w:sz w:val="36"/>
        </w:rPr>
        <w:t>LABORATORY ASSIGNMENT &amp; TECHNICAL REPORT</w:t>
      </w:r>
    </w:p>
    <w:p>
      <w:pPr>
        <w:spacing w:before="0" w:after="240"/>
        <w:jc w:val="center"/>
      </w:pPr>
      <w:r>
        <w:rPr>
          <w:rFonts w:ascii="Calibri" w:hAnsi="Calibri"/>
          <w:b/>
          <w:i w:val="0"/>
          <w:color w:val="4B6B94"/>
          <w:sz w:val="26"/>
        </w:rPr>
        <w:t>Predictive Maintenance of Industrial Equipment using Decision Tree Learning</w:t>
      </w:r>
    </w:p>
    <w:p>
      <w:pPr>
        <w:keepNext/>
        <w:spacing w:before="320" w:after="120"/>
        <w:pBdr>
          <w:bottom w:val="single" w:sz="12" w:space="4" w:color="1B365D"/>
        </w:pBdr>
      </w:pPr>
      <w:r>
        <w:rPr>
          <w:rFonts w:ascii="Arial" w:hAnsi="Arial"/>
          <w:b/>
          <w:i w:val="0"/>
          <w:color w:val="1B365D"/>
          <w:sz w:val="28"/>
        </w:rPr>
        <w:t>1. Course Outcomes, SDG Mapping &amp; Problem Statement</w:t>
      </w:r>
    </w:p>
    <w:p>
      <w:pPr>
        <w:keepNext/>
        <w:spacing w:before="240" w:after="80"/>
      </w:pPr>
      <w:r>
        <w:rPr>
          <w:rFonts w:ascii="Arial" w:hAnsi="Arial"/>
          <w:b/>
          <w:i w:val="0"/>
          <w:color w:val="4B6B94"/>
          <w:sz w:val="24"/>
        </w:rPr>
        <w:t>1.1 Course Outcomes (CO) Alignment</w:t>
      </w:r>
    </w:p>
    <w:tbl>
      <w:tblPr>
        <w:tblW w:type="auto" w:w="0"/>
        <w:jc w:val="center"/>
        <w:tblLook w:firstColumn="1" w:firstRow="1" w:lastColumn="0" w:lastRow="0" w:noHBand="0" w:noVBand="1" w:val="04A0"/>
      </w:tblPr>
      <w:tblGrid>
        <w:gridCol w:w="3120"/>
        <w:gridCol w:w="3120"/>
        <w:gridCol w:w="3120"/>
      </w:tblGrid>
      <w:tr>
        <w:tc>
          <w:tcPr>
            <w:tcW w:type="dxa" w:w="1440"/>
            <w:shd w:fill="1B365D"/>
          </w:tcPr>
          <w:p>
            <w:pPr>
              <w:spacing w:before="80" w:after="80"/>
              <w:jc w:val="center"/>
            </w:pPr>
            <w:r>
              <w:rPr>
                <w:rFonts w:ascii="Arial" w:hAnsi="Arial"/>
                <w:b/>
                <w:i w:val="0"/>
                <w:color w:val="FFFFFF"/>
                <w:sz w:val="20"/>
              </w:rPr>
              <w:t>CO Code</w:t>
            </w:r>
          </w:p>
        </w:tc>
        <w:tc>
          <w:tcPr>
            <w:tcW w:type="dxa" w:w="4608"/>
            <w:shd w:fill="1B365D"/>
          </w:tcPr>
          <w:p>
            <w:pPr>
              <w:spacing w:before="80" w:after="80"/>
              <w:jc w:val="left"/>
            </w:pPr>
            <w:r>
              <w:rPr>
                <w:rFonts w:ascii="Arial" w:hAnsi="Arial"/>
                <w:b/>
                <w:i w:val="0"/>
                <w:color w:val="FFFFFF"/>
                <w:sz w:val="20"/>
              </w:rPr>
              <w:t>Course Outcome Description</w:t>
            </w:r>
          </w:p>
        </w:tc>
        <w:tc>
          <w:tcPr>
            <w:tcW w:type="dxa" w:w="3312"/>
            <w:shd w:fill="1B365D"/>
          </w:tcPr>
          <w:p>
            <w:pPr>
              <w:spacing w:before="80" w:after="80"/>
              <w:jc w:val="left"/>
            </w:pPr>
            <w:r>
              <w:rPr>
                <w:rFonts w:ascii="Arial" w:hAnsi="Arial"/>
                <w:b/>
                <w:i w:val="0"/>
                <w:color w:val="FFFFFF"/>
                <w:sz w:val="20"/>
              </w:rPr>
              <w:t>Assignment Mapping &amp; Coverage</w:t>
            </w:r>
          </w:p>
        </w:tc>
      </w:tr>
      <w:tr>
        <w:tc>
          <w:tcPr>
            <w:tcW w:type="dxa" w:w="1440"/>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CO1</w:t>
            </w:r>
          </w:p>
        </w:tc>
        <w:tc>
          <w:tcPr>
            <w:tcW w:type="dxa" w:w="460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To acquire a foundational understanding of key machine learning concepts including version spaces, candidate elimination, inductive bias, and heuristic search.</w:t>
            </w:r>
          </w:p>
        </w:tc>
        <w:tc>
          <w:tcPr>
            <w:tcW w:type="dxa" w:w="331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A &amp; B: Problem formulation, hypothesis space definition, target concept, and inductive bias analysis.</w:t>
            </w:r>
          </w:p>
        </w:tc>
      </w:tr>
      <w:tr>
        <w:tc>
          <w:tcPr>
            <w:tcW w:type="dxa" w:w="1440"/>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CO2</w:t>
            </w:r>
          </w:p>
        </w:tc>
        <w:tc>
          <w:tcPr>
            <w:tcW w:type="dxa" w:w="4608"/>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To provide an overview of various learning paradigms and strategies, focusing on decision tree learning and concept representation.</w:t>
            </w:r>
          </w:p>
        </w:tc>
        <w:tc>
          <w:tcPr>
            <w:tcW w:type="dxa" w:w="3312"/>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B &amp; C: Concept representation, decision tree construction, entropy, Information Gain, and Gain Ratio calculations.</w:t>
            </w:r>
          </w:p>
        </w:tc>
      </w:tr>
      <w:tr>
        <w:tc>
          <w:tcPr>
            <w:tcW w:type="dxa" w:w="1440"/>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CO3</w:t>
            </w:r>
          </w:p>
        </w:tc>
        <w:tc>
          <w:tcPr>
            <w:tcW w:type="dxa" w:w="460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To develop proficiency in neural network architectures, including perceptron models, multilayer perceptrons, and back propagation algorithms.</w:t>
            </w:r>
          </w:p>
        </w:tc>
        <w:tc>
          <w:tcPr>
            <w:tcW w:type="dxa" w:w="331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D: Comparative learning analysis detailing how Decision Trees compare with Perceptrons, MLPs, and Backpropagation.</w:t>
            </w:r>
          </w:p>
        </w:tc>
      </w:tr>
      <w:tr>
        <w:tc>
          <w:tcPr>
            <w:tcW w:type="dxa" w:w="1440"/>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CO4</w:t>
            </w:r>
          </w:p>
        </w:tc>
        <w:tc>
          <w:tcPr>
            <w:tcW w:type="dxa" w:w="4608"/>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To elucidate the role of genetic algorithms and genetic programming in hypothesis space search and model evaluation.</w:t>
            </w:r>
          </w:p>
        </w:tc>
        <w:tc>
          <w:tcPr>
            <w:tcW w:type="dxa" w:w="3312"/>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D &amp; E: Hypothesis space search comparison: Heuristic Decision Tree Search (ID3/C4.5) vs. Evolutionary Genetic Algorithms.</w:t>
            </w:r>
          </w:p>
        </w:tc>
      </w:tr>
      <w:tr>
        <w:tc>
          <w:tcPr>
            <w:tcW w:type="dxa" w:w="1440"/>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CO5</w:t>
            </w:r>
          </w:p>
        </w:tc>
        <w:tc>
          <w:tcPr>
            <w:tcW w:type="dxa" w:w="460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To explore Bayesian methodologies and computational learning techniques such as Bayes theorem, maximum likelihood estimation, and Bayesian classifiers.</w:t>
            </w:r>
          </w:p>
        </w:tc>
        <w:tc>
          <w:tcPr>
            <w:tcW w:type="dxa" w:w="331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A, D &amp; E: Data manipulation using Pandas DataFrames, summary statistics, feature transformation, and empirical evaluation.</w:t>
            </w:r>
          </w:p>
        </w:tc>
      </w:tr>
    </w:tbl>
    <w:p>
      <w:pPr>
        <w:keepNext/>
        <w:spacing w:before="240" w:after="80"/>
      </w:pPr>
      <w:r>
        <w:rPr>
          <w:rFonts w:ascii="Arial" w:hAnsi="Arial"/>
          <w:b/>
          <w:i w:val="0"/>
          <w:color w:val="4B6B94"/>
          <w:sz w:val="24"/>
        </w:rPr>
        <w:t>1.2 Sustainable Development Goals (SDG) Mapping</w:t>
      </w:r>
    </w:p>
    <w:p>
      <w:pPr>
        <w:pStyle w:val="ListBullet"/>
        <w:spacing w:before="0" w:after="60" w:line="276" w:lineRule="auto"/>
      </w:pPr>
      <w:r>
        <w:rPr>
          <w:rFonts w:ascii="Calibri" w:hAnsi="Calibri"/>
          <w:b/>
          <w:i w:val="0"/>
          <w:color w:val="222222"/>
          <w:sz w:val="22"/>
        </w:rPr>
        <w:t>SDG 7 (Affordable and Clean Energy):</w:t>
      </w:r>
      <w:r>
        <w:rPr>
          <w:rFonts w:ascii="Calibri" w:hAnsi="Calibri"/>
          <w:b w:val="0"/>
          <w:i w:val="0"/>
          <w:color w:val="222222"/>
          <w:sz w:val="22"/>
        </w:rPr>
        <w:t xml:space="preserve"> Efficient predictive maintenance eliminates unexpected catastrophic machine failures, reduces thermal losses, optimizes motor energy usage, and supports clean industrial transitions.</w:t>
      </w:r>
    </w:p>
    <w:p>
      <w:pPr>
        <w:pStyle w:val="ListBullet"/>
        <w:spacing w:before="0" w:after="60" w:line="276" w:lineRule="auto"/>
      </w:pPr>
      <w:r>
        <w:rPr>
          <w:rFonts w:ascii="Calibri" w:hAnsi="Calibri"/>
          <w:b/>
          <w:i w:val="0"/>
          <w:color w:val="222222"/>
          <w:sz w:val="22"/>
        </w:rPr>
        <w:t>SDG 11 (Sustainable Cities &amp; Communities):</w:t>
      </w:r>
      <w:r>
        <w:rPr>
          <w:rFonts w:ascii="Calibri" w:hAnsi="Calibri"/>
          <w:b w:val="0"/>
          <w:i w:val="0"/>
          <w:color w:val="222222"/>
          <w:sz w:val="22"/>
        </w:rPr>
        <w:t xml:space="preserve"> Implementing smart diagnostic models inside urban manufacturing hubs prevents industrial accidents, hazardous material spills, noise pollution, and operational disruptions.</w:t>
      </w:r>
    </w:p>
    <w:p>
      <w:pPr>
        <w:pStyle w:val="ListBullet"/>
        <w:spacing w:before="0" w:after="60" w:line="276" w:lineRule="auto"/>
      </w:pPr>
      <w:r>
        <w:rPr>
          <w:rFonts w:ascii="Calibri" w:hAnsi="Calibri"/>
          <w:b/>
          <w:i w:val="0"/>
          <w:color w:val="222222"/>
          <w:sz w:val="22"/>
        </w:rPr>
        <w:t>SDG 12 (Responsible Consumption &amp; Production):</w:t>
      </w:r>
      <w:r>
        <w:rPr>
          <w:rFonts w:ascii="Calibri" w:hAnsi="Calibri"/>
          <w:b w:val="0"/>
          <w:i w:val="0"/>
          <w:color w:val="222222"/>
          <w:sz w:val="22"/>
        </w:rPr>
        <w:t xml:space="preserve"> Prevents premature equipment disposal by replacing fixed calendar-based part replacement with condition-based maintenance, significantly reducing e-waste and raw material consumption.</w:t>
      </w:r>
    </w:p>
    <w:p>
      <w:pPr>
        <w:keepNext/>
        <w:spacing w:before="240" w:after="80"/>
      </w:pPr>
      <w:r>
        <w:rPr>
          <w:rFonts w:ascii="Arial" w:hAnsi="Arial"/>
          <w:b/>
          <w:i w:val="0"/>
          <w:color w:val="4B6B94"/>
          <w:sz w:val="24"/>
        </w:rPr>
        <w:t>1.3 Executive Problem Statement</w:t>
      </w:r>
    </w:p>
    <w:p>
      <w:pPr>
        <w:spacing w:before="0" w:after="120" w:line="276" w:lineRule="auto"/>
      </w:pPr>
      <w:r>
        <w:rPr>
          <w:rFonts w:ascii="Calibri" w:hAnsi="Calibri"/>
          <w:b w:val="0"/>
          <w:i w:val="0"/>
          <w:color w:val="222222"/>
          <w:sz w:val="22"/>
        </w:rPr>
        <w:t>A manufacturing organisation operates critical industrial assets (electric induction motors, centrifugal pumps, screw compressors, and rotating machinery) where unexpected failures cause severe production downtime, inflated repair costs, and safety hazards. The traditional fixed-schedule maintenance strategy suffers from twin inefficiencies: over-maintaining healthy machines (wasting labor and parts) or under-maintaining failing assets (leading to unexpected breakdown). Historical sensor logs contain physical parameters: Air Temperature, Process Temperature, Rotational Speed, Torque, Pressure, and Tool Wear / Operating Hours. The goal is to design, implement, evaluate, and deploy an interpretable Decision Tree Machine Learning model that classifies machinery state into three operational conditions: Normal Operation (0), Preventive Maintenance Required (1), and Failure Risk (2).</w:t>
      </w:r>
    </w:p>
    <w:p>
      <w:pPr>
        <w:keepNext/>
        <w:spacing w:before="320" w:after="120"/>
        <w:pBdr>
          <w:bottom w:val="single" w:sz="12" w:space="4" w:color="1B365D"/>
        </w:pBdr>
      </w:pPr>
      <w:r>
        <w:rPr>
          <w:rFonts w:ascii="Arial" w:hAnsi="Arial"/>
          <w:b/>
          <w:i w:val="0"/>
          <w:color w:val="1B365D"/>
          <w:sz w:val="28"/>
        </w:rPr>
        <w:t>A. Dataset Preparation &amp; Problem Formulation</w:t>
      </w:r>
    </w:p>
    <w:p>
      <w:pPr>
        <w:keepNext/>
        <w:spacing w:before="240" w:after="80"/>
      </w:pPr>
      <w:r>
        <w:rPr>
          <w:rFonts w:ascii="Arial" w:hAnsi="Arial"/>
          <w:b/>
          <w:i w:val="0"/>
          <w:color w:val="4B6B94"/>
          <w:sz w:val="24"/>
        </w:rPr>
        <w:t>A.1 Industrial Dataset Selection &amp; Attribute Description</w:t>
      </w:r>
    </w:p>
    <w:p>
      <w:pPr>
        <w:spacing w:before="0" w:after="120" w:line="276" w:lineRule="auto"/>
      </w:pPr>
      <w:r>
        <w:rPr>
          <w:rFonts w:ascii="Calibri" w:hAnsi="Calibri"/>
          <w:b w:val="0"/>
          <w:i w:val="0"/>
          <w:color w:val="222222"/>
          <w:sz w:val="22"/>
        </w:rPr>
        <w:t>The model utilizes a synthesized industrial equipment maintenance dataset adapted from real-world telemetry logs (e.g., AI4I Predictive Maintenance Benchmark). The dataset consists of 1,000 continuous machine operational readings covering key mechanical and thermodynamic parameters.</w:t>
      </w:r>
    </w:p>
    <w:tbl>
      <w:tblPr>
        <w:tblW w:type="auto" w:w="0"/>
        <w:jc w:val="center"/>
        <w:tblLook w:firstColumn="1" w:firstRow="1" w:lastColumn="0" w:lastRow="0" w:noHBand="0" w:noVBand="1" w:val="04A0"/>
      </w:tblPr>
      <w:tblGrid>
        <w:gridCol w:w="2340"/>
        <w:gridCol w:w="2340"/>
        <w:gridCol w:w="2340"/>
        <w:gridCol w:w="2340"/>
      </w:tblGrid>
      <w:tr>
        <w:tc>
          <w:tcPr>
            <w:tcW w:type="dxa" w:w="2016"/>
            <w:shd w:fill="1B365D"/>
          </w:tcPr>
          <w:p>
            <w:pPr>
              <w:spacing w:before="80" w:after="80"/>
              <w:jc w:val="left"/>
            </w:pPr>
            <w:r>
              <w:rPr>
                <w:rFonts w:ascii="Arial" w:hAnsi="Arial"/>
                <w:b/>
                <w:i w:val="0"/>
                <w:color w:val="FFFFFF"/>
                <w:sz w:val="20"/>
              </w:rPr>
              <w:t>Attribute Name</w:t>
            </w:r>
          </w:p>
        </w:tc>
        <w:tc>
          <w:tcPr>
            <w:tcW w:type="dxa" w:w="1728"/>
            <w:shd w:fill="1B365D"/>
          </w:tcPr>
          <w:p>
            <w:pPr>
              <w:spacing w:before="80" w:after="80"/>
              <w:jc w:val="center"/>
            </w:pPr>
            <w:r>
              <w:rPr>
                <w:rFonts w:ascii="Arial" w:hAnsi="Arial"/>
                <w:b/>
                <w:i w:val="0"/>
                <w:color w:val="FFFFFF"/>
                <w:sz w:val="20"/>
              </w:rPr>
              <w:t>Data Type</w:t>
            </w:r>
          </w:p>
        </w:tc>
        <w:tc>
          <w:tcPr>
            <w:tcW w:type="dxa" w:w="2016"/>
            <w:shd w:fill="1B365D"/>
          </w:tcPr>
          <w:p>
            <w:pPr>
              <w:spacing w:before="80" w:after="80"/>
              <w:jc w:val="center"/>
            </w:pPr>
            <w:r>
              <w:rPr>
                <w:rFonts w:ascii="Arial" w:hAnsi="Arial"/>
                <w:b/>
                <w:i w:val="0"/>
                <w:color w:val="FFFFFF"/>
                <w:sz w:val="20"/>
              </w:rPr>
              <w:t>Physical Unit / Range</w:t>
            </w:r>
          </w:p>
        </w:tc>
        <w:tc>
          <w:tcPr>
            <w:tcW w:type="dxa" w:w="3600"/>
            <w:shd w:fill="1B365D"/>
          </w:tcPr>
          <w:p>
            <w:pPr>
              <w:spacing w:before="80" w:after="80"/>
              <w:jc w:val="left"/>
            </w:pPr>
            <w:r>
              <w:rPr>
                <w:rFonts w:ascii="Arial" w:hAnsi="Arial"/>
                <w:b/>
                <w:i w:val="0"/>
                <w:color w:val="FFFFFF"/>
                <w:sz w:val="20"/>
              </w:rPr>
              <w:t>Engineering Description &amp; Role</w:t>
            </w:r>
          </w:p>
        </w:tc>
      </w:tr>
      <w:tr>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Air_Temp</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Numeric (Float)</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295.0 K - 305.0 K</w:t>
            </w:r>
          </w:p>
        </w:tc>
        <w:tc>
          <w:tcPr>
            <w:tcW w:type="dxa" w:w="360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Ambient operating temperature surrounding the equipment.</w:t>
            </w:r>
          </w:p>
        </w:tc>
      </w:tr>
      <w:tr>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Process_Temp</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Numeric (Float)</w:t>
            </w:r>
          </w:p>
        </w:tc>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305.0 K - 315.0 K</w:t>
            </w:r>
          </w:p>
        </w:tc>
        <w:tc>
          <w:tcPr>
            <w:tcW w:type="dxa" w:w="360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Internal operational fluid/friction temperature.</w:t>
            </w:r>
          </w:p>
        </w:tc>
      </w:tr>
      <w:tr>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Rotational_Speed</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Numeric (Integer)</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1100 - 2800 RPM</w:t>
            </w:r>
          </w:p>
        </w:tc>
        <w:tc>
          <w:tcPr>
            <w:tcW w:type="dxa" w:w="360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Motor shaft rotation speed in revolutions per minute.</w:t>
            </w:r>
          </w:p>
        </w:tc>
      </w:tr>
      <w:tr>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Torque</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Numeric (Float)</w:t>
            </w:r>
          </w:p>
        </w:tc>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15.0 - 75.0 Nm</w:t>
            </w:r>
          </w:p>
        </w:tc>
        <w:tc>
          <w:tcPr>
            <w:tcW w:type="dxa" w:w="360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Mechanical rotational force transmitted by the drive shaft.</w:t>
            </w:r>
          </w:p>
        </w:tc>
      </w:tr>
      <w:tr>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Pressure</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Numeric (Float)</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3.0 - 10.0 Bar</w:t>
            </w:r>
          </w:p>
        </w:tc>
        <w:tc>
          <w:tcPr>
            <w:tcW w:type="dxa" w:w="360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System hydraulic/pneumatic pressure level.</w:t>
            </w:r>
          </w:p>
        </w:tc>
      </w:tr>
      <w:tr>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Tool_Wear_Hours</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Numeric (Integer)</w:t>
            </w:r>
          </w:p>
        </w:tc>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0 - 250 Hours</w:t>
            </w:r>
          </w:p>
        </w:tc>
        <w:tc>
          <w:tcPr>
            <w:tcW w:type="dxa" w:w="360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Cumulative operating hours on key mechanical components.</w:t>
            </w:r>
          </w:p>
        </w:tc>
      </w:tr>
      <w:tr>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Machine_Condition</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Categorical (Target)</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Normal (0), PrevMaint (1), Failure (2)</w:t>
            </w:r>
          </w:p>
        </w:tc>
        <w:tc>
          <w:tcPr>
            <w:tcW w:type="dxa" w:w="360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Target Class: Operational diagnostic state of the machine.</w:t>
            </w:r>
          </w:p>
        </w:tc>
      </w:tr>
    </w:tbl>
    <w:p>
      <w:pPr>
        <w:keepNext/>
        <w:spacing w:before="240" w:after="80"/>
      </w:pPr>
      <w:r>
        <w:rPr>
          <w:rFonts w:ascii="Arial" w:hAnsi="Arial"/>
          <w:b/>
          <w:i w:val="0"/>
          <w:color w:val="4B6B94"/>
          <w:sz w:val="24"/>
        </w:rPr>
        <w:t>A.2 Data Preprocessing, Cleaning &amp; Feature Engineering</w:t>
      </w:r>
    </w:p>
    <w:p>
      <w:pPr>
        <w:pStyle w:val="ListBullet"/>
        <w:spacing w:before="0" w:after="60" w:line="276" w:lineRule="auto"/>
      </w:pPr>
      <w:r>
        <w:rPr>
          <w:rFonts w:ascii="Calibri" w:hAnsi="Calibri"/>
          <w:b/>
          <w:i w:val="0"/>
          <w:color w:val="222222"/>
          <w:sz w:val="22"/>
        </w:rPr>
        <w:t xml:space="preserve">Data Cleaning: </w:t>
      </w:r>
      <w:r>
        <w:rPr>
          <w:rFonts w:ascii="Calibri" w:hAnsi="Calibri"/>
          <w:b w:val="0"/>
          <w:i w:val="0"/>
          <w:color w:val="222222"/>
          <w:sz w:val="22"/>
        </w:rPr>
        <w:t>Handling Missing Values &amp; Outliers: Checked for missing values using df.isnull().sum(). Applied median imputation for minor numerical anomalies and clipped extreme unphysical spikes (e.g., Torque &gt; 100 Nm).</w:t>
      </w:r>
    </w:p>
    <w:p>
      <w:pPr>
        <w:pStyle w:val="ListBullet"/>
        <w:spacing w:before="0" w:after="60" w:line="276" w:lineRule="auto"/>
      </w:pPr>
      <w:r>
        <w:rPr>
          <w:rFonts w:ascii="Calibri" w:hAnsi="Calibri"/>
          <w:b/>
          <w:i w:val="0"/>
          <w:color w:val="222222"/>
          <w:sz w:val="22"/>
        </w:rPr>
        <w:t xml:space="preserve">Feature Engineering: </w:t>
      </w:r>
      <w:r>
        <w:rPr>
          <w:rFonts w:ascii="Calibri" w:hAnsi="Calibri"/>
          <w:b w:val="0"/>
          <w:i w:val="0"/>
          <w:color w:val="222222"/>
          <w:sz w:val="22"/>
        </w:rPr>
        <w:t>Created domain-specific thermodynamic and mechanical attributes. Specifically: Temperature Difference (Delta_Temp = Process_Temp - Air_Temp) and Mechanical Power (Power_kW = Torque * Rotational_Speed * 2 * pi / 60,000).</w:t>
      </w:r>
    </w:p>
    <w:p>
      <w:pPr>
        <w:pStyle w:val="ListBullet"/>
        <w:spacing w:before="0" w:after="60" w:line="276" w:lineRule="auto"/>
      </w:pPr>
      <w:r>
        <w:rPr>
          <w:rFonts w:ascii="Calibri" w:hAnsi="Calibri"/>
          <w:b/>
          <w:i w:val="0"/>
          <w:color w:val="222222"/>
          <w:sz w:val="22"/>
        </w:rPr>
        <w:t xml:space="preserve">Transformation &amp; Scaling: </w:t>
      </w:r>
      <w:r>
        <w:rPr>
          <w:rFonts w:ascii="Calibri" w:hAnsi="Calibri"/>
          <w:b w:val="0"/>
          <w:i w:val="0"/>
          <w:color w:val="222222"/>
          <w:sz w:val="22"/>
        </w:rPr>
        <w:t>Standardized continuous numerical values for non-tree baseline models and applied binning/threshold discretization for manual decision tree trace verification.</w:t>
      </w:r>
    </w:p>
    <w:p>
      <w:pPr>
        <w:pStyle w:val="ListBullet"/>
        <w:spacing w:before="0" w:after="60" w:line="276" w:lineRule="auto"/>
      </w:pPr>
      <w:r>
        <w:rPr>
          <w:rFonts w:ascii="Calibri" w:hAnsi="Calibri"/>
          <w:b/>
          <w:i w:val="0"/>
          <w:color w:val="222222"/>
          <w:sz w:val="22"/>
        </w:rPr>
        <w:t xml:space="preserve">Validation Strategy: </w:t>
      </w:r>
      <w:r>
        <w:rPr>
          <w:rFonts w:ascii="Calibri" w:hAnsi="Calibri"/>
          <w:b w:val="0"/>
          <w:i w:val="0"/>
          <w:color w:val="222222"/>
          <w:sz w:val="22"/>
        </w:rPr>
        <w:t>Executed an 80:20 stratified split (800 training records, 200 testing records) ensuring equal proportion of failure classes across both splits.</w:t>
      </w:r>
    </w:p>
    <w:p>
      <w:pPr>
        <w:keepNext/>
        <w:spacing w:before="320" w:after="120"/>
        <w:pBdr>
          <w:bottom w:val="single" w:sz="12" w:space="4" w:color="1B365D"/>
        </w:pBdr>
      </w:pPr>
      <w:r>
        <w:rPr>
          <w:rFonts w:ascii="Arial" w:hAnsi="Arial"/>
          <w:b/>
          <w:i w:val="0"/>
          <w:color w:val="1B365D"/>
          <w:sz w:val="28"/>
        </w:rPr>
        <w:t>B. Concept Representation &amp; Heuristic Search</w:t>
      </w:r>
    </w:p>
    <w:p>
      <w:pPr>
        <w:keepNext/>
        <w:spacing w:before="240" w:after="80"/>
      </w:pPr>
      <w:r>
        <w:rPr>
          <w:rFonts w:ascii="Arial" w:hAnsi="Arial"/>
          <w:b/>
          <w:i w:val="0"/>
          <w:color w:val="4B6B94"/>
          <w:sz w:val="24"/>
        </w:rPr>
        <w:t>B.1 Concept Learning Formulation &amp; Hypothesis Space</w:t>
      </w:r>
    </w:p>
    <w:p>
      <w:pPr>
        <w:spacing w:before="0" w:after="120" w:line="276" w:lineRule="auto"/>
      </w:pPr>
      <w:r>
        <w:rPr>
          <w:rFonts w:ascii="Calibri" w:hAnsi="Calibri"/>
          <w:b w:val="0"/>
          <w:i w:val="0"/>
          <w:color w:val="222222"/>
          <w:sz w:val="22"/>
        </w:rPr>
        <w:t>Predictive maintenance is formulated as a formal concept-learning task defined over an instance space X and target concept c: X -&gt; Y, where Y = {Normal, Preventive_Maint, Failure_Risk}.</w:t>
      </w:r>
    </w:p>
    <w:p>
      <w:pPr>
        <w:pStyle w:val="ListBullet"/>
        <w:spacing w:before="0" w:after="60" w:line="276" w:lineRule="auto"/>
      </w:pPr>
      <w:r>
        <w:rPr>
          <w:rFonts w:ascii="Calibri" w:hAnsi="Calibri"/>
          <w:b/>
          <w:i w:val="0"/>
          <w:color w:val="222222"/>
          <w:sz w:val="22"/>
        </w:rPr>
        <w:t>Instance Space (X):</w:t>
      </w:r>
      <w:r>
        <w:rPr>
          <w:rFonts w:ascii="Calibri" w:hAnsi="Calibri"/>
          <w:b w:val="0"/>
          <w:i w:val="0"/>
          <w:color w:val="222222"/>
          <w:sz w:val="22"/>
        </w:rPr>
        <w:t>The cross-product of all possible feature-value combinations. Given continuous attributes, X is an infinite dimensional space bounded by physical ranges: X in R^6.</w:t>
      </w:r>
    </w:p>
    <w:p>
      <w:pPr>
        <w:pStyle w:val="ListBullet"/>
        <w:spacing w:before="0" w:after="60" w:line="276" w:lineRule="auto"/>
      </w:pPr>
      <w:r>
        <w:rPr>
          <w:rFonts w:ascii="Calibri" w:hAnsi="Calibri"/>
          <w:b/>
          <w:i w:val="0"/>
          <w:color w:val="222222"/>
          <w:sz w:val="22"/>
        </w:rPr>
        <w:t>Target Concept (c):</w:t>
      </w:r>
      <w:r>
        <w:rPr>
          <w:rFonts w:ascii="Calibri" w:hAnsi="Calibri"/>
          <w:b w:val="0"/>
          <w:i w:val="0"/>
          <w:color w:val="222222"/>
          <w:sz w:val="22"/>
        </w:rPr>
        <w:t>The true underlying mapping c(x) that maps physical sensor readings to true machine condition.</w:t>
      </w:r>
    </w:p>
    <w:p>
      <w:pPr>
        <w:pStyle w:val="ListBullet"/>
        <w:spacing w:before="0" w:after="60" w:line="276" w:lineRule="auto"/>
      </w:pPr>
      <w:r>
        <w:rPr>
          <w:rFonts w:ascii="Calibri" w:hAnsi="Calibri"/>
          <w:b/>
          <w:i w:val="0"/>
          <w:color w:val="222222"/>
          <w:sz w:val="22"/>
        </w:rPr>
        <w:t>Hypothesis Space (H):</w:t>
      </w:r>
      <w:r>
        <w:rPr>
          <w:rFonts w:ascii="Calibri" w:hAnsi="Calibri"/>
          <w:b w:val="0"/>
          <w:i w:val="0"/>
          <w:color w:val="222222"/>
          <w:sz w:val="22"/>
        </w:rPr>
        <w:t>The set of all axis-aligned hyperplanes (conjunctions and disjunctions of decision rules) expressible by a Decision Tree of depth &lt;= d.</w:t>
      </w:r>
    </w:p>
    <w:p>
      <w:pPr>
        <w:pStyle w:val="ListBullet"/>
        <w:spacing w:before="0" w:after="60" w:line="276" w:lineRule="auto"/>
      </w:pPr>
      <w:r>
        <w:rPr>
          <w:rFonts w:ascii="Calibri" w:hAnsi="Calibri"/>
          <w:b/>
          <w:i w:val="0"/>
          <w:color w:val="222222"/>
          <w:sz w:val="22"/>
        </w:rPr>
        <w:t>Inductive Bias:</w:t>
      </w:r>
      <w:r>
        <w:rPr>
          <w:rFonts w:ascii="Calibri" w:hAnsi="Calibri"/>
          <w:b w:val="0"/>
          <w:i w:val="0"/>
          <w:color w:val="222222"/>
          <w:sz w:val="22"/>
        </w:rPr>
        <w:t>Decision Trees prefer shorter trees over complex ones (Occam's Razor) and prefer attributes with higher Information Gain / Gain Ratio near the root. It assumes that target concepts can be approximated by piecewise axis-parallel hyperplanes.</w:t>
      </w:r>
    </w:p>
    <w:p>
      <w:pPr>
        <w:keepNext/>
        <w:spacing w:before="240" w:after="80"/>
      </w:pPr>
      <w:r>
        <w:rPr>
          <w:rFonts w:ascii="Arial" w:hAnsi="Arial"/>
          <w:b/>
          <w:i w:val="0"/>
          <w:color w:val="4B6B94"/>
          <w:sz w:val="24"/>
        </w:rPr>
        <w:t>B.2 Mathematical Formulation of Heuristic Selection Criteria</w:t>
      </w:r>
    </w:p>
    <w:p>
      <w:pPr>
        <w:spacing w:before="0" w:after="120" w:line="276" w:lineRule="auto"/>
      </w:pPr>
      <w:r>
        <w:rPr>
          <w:rFonts w:ascii="Calibri" w:hAnsi="Calibri"/>
          <w:b w:val="0"/>
          <w:i w:val="0"/>
          <w:color w:val="222222"/>
          <w:sz w:val="22"/>
        </w:rPr>
        <w:t>Decision Tree learning relies on heuristic search to navigate the exponentially large hypothesis space. The key attribute selection metrics are defined mathematically below:</w:t>
      </w:r>
    </w:p>
    <w:p>
      <w:pPr>
        <w:spacing w:before="0" w:after="120" w:line="276" w:lineRule="auto"/>
      </w:pPr>
      <w:r>
        <w:rPr>
          <w:rFonts w:ascii="Calibri" w:hAnsi="Calibri"/>
          <w:b/>
          <w:i w:val="0"/>
          <w:color w:val="222222"/>
          <w:sz w:val="22"/>
        </w:rPr>
        <w:t xml:space="preserve">Entropy: </w:t>
      </w:r>
      <w:r>
        <w:rPr>
          <w:rFonts w:ascii="Calibri" w:hAnsi="Calibri"/>
          <w:b w:val="0"/>
          <w:i w:val="0"/>
          <w:color w:val="222222"/>
          <w:sz w:val="22"/>
        </w:rPr>
        <w:t>1. Target System Entropy S for a dataset with C classes: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Mar>
              <w:top w:w="120" w:type="dxa"/>
              <w:left w:w="180" w:type="dxa"/>
              <w:bottom w:w="120" w:type="dxa"/>
              <w:right w:w="180" w:type="dxa"/>
            </w:tcMar>
          </w:tcPr>
          <w:p>
            <w:pPr>
              <w:spacing w:before="40" w:after="40" w:line="276" w:lineRule="auto"/>
            </w:pPr>
            <w:r>
              <w:rPr>
                <w:rFonts w:ascii="Calibri" w:hAnsi="Calibri"/>
                <w:b/>
                <w:i w:val="0"/>
                <w:color w:val="1B365D"/>
                <w:sz w:val="22"/>
              </w:rPr>
              <w:t>Equation 1: Dataset Entropy</w:t>
              <w:br/>
            </w:r>
            <w:r>
              <w:rPr>
                <w:rFonts w:ascii="Calibri" w:hAnsi="Calibri"/>
                <w:b w:val="0"/>
                <w:i/>
                <w:color w:val="222222"/>
                <w:sz w:val="21"/>
              </w:rPr>
              <w:t>Entropy(S) = - ∑ [ p_i * log2(p_i) ]   (for i = 1 to C)</w:t>
              <w:br/>
              <w:t>Where p_i is the proportion of samples belonging to class i.</w:t>
            </w:r>
          </w:p>
        </w:tc>
      </w:tr>
    </w:tbl>
    <w:p>
      <w:pPr>
        <w:spacing w:after="80"/>
      </w:pPr>
    </w:p>
    <w:p>
      <w:pPr>
        <w:spacing w:before="0" w:after="120" w:line="276" w:lineRule="auto"/>
      </w:pPr>
      <w:r>
        <w:rPr>
          <w:rFonts w:ascii="Calibri" w:hAnsi="Calibri"/>
          <w:b/>
          <w:i w:val="0"/>
          <w:color w:val="222222"/>
          <w:sz w:val="22"/>
        </w:rPr>
        <w:t xml:space="preserve">Information Gain (ID3): </w:t>
      </w:r>
      <w:r>
        <w:rPr>
          <w:rFonts w:ascii="Calibri" w:hAnsi="Calibri"/>
          <w:b w:val="0"/>
          <w:i w:val="0"/>
          <w:color w:val="222222"/>
          <w:sz w:val="22"/>
        </w:rPr>
        <w:t>2. Information Gain for attribute A on dataset 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Mar>
              <w:top w:w="120" w:type="dxa"/>
              <w:left w:w="180" w:type="dxa"/>
              <w:bottom w:w="120" w:type="dxa"/>
              <w:right w:w="180" w:type="dxa"/>
            </w:tcMar>
          </w:tcPr>
          <w:p>
            <w:pPr>
              <w:spacing w:before="40" w:after="40" w:line="276" w:lineRule="auto"/>
            </w:pPr>
            <w:r>
              <w:rPr>
                <w:rFonts w:ascii="Calibri" w:hAnsi="Calibri"/>
                <w:b/>
                <w:i w:val="0"/>
                <w:color w:val="1B365D"/>
                <w:sz w:val="22"/>
              </w:rPr>
              <w:t>Equation 2: Information Gain</w:t>
              <w:br/>
            </w:r>
            <w:r>
              <w:rPr>
                <w:rFonts w:ascii="Calibri" w:hAnsi="Calibri"/>
                <w:b w:val="0"/>
                <w:i/>
                <w:color w:val="222222"/>
                <w:sz w:val="21"/>
              </w:rPr>
              <w:t>Gain(S, A) = Entropy(S) - ∑ [ (|S_v| / |S|) * Entropy(S_v) ]   for all v ∈ Values(A)</w:t>
            </w:r>
          </w:p>
        </w:tc>
      </w:tr>
    </w:tbl>
    <w:p>
      <w:pPr>
        <w:spacing w:after="80"/>
      </w:pPr>
    </w:p>
    <w:p>
      <w:pPr>
        <w:spacing w:before="0" w:after="120" w:line="276" w:lineRule="auto"/>
      </w:pPr>
      <w:r>
        <w:rPr>
          <w:rFonts w:ascii="Calibri" w:hAnsi="Calibri"/>
          <w:b/>
          <w:i w:val="0"/>
          <w:color w:val="222222"/>
          <w:sz w:val="22"/>
        </w:rPr>
        <w:t xml:space="preserve">Gain Ratio (C4.5): </w:t>
      </w:r>
      <w:r>
        <w:rPr>
          <w:rFonts w:ascii="Calibri" w:hAnsi="Calibri"/>
          <w:b w:val="0"/>
          <w:i w:val="0"/>
          <w:color w:val="222222"/>
          <w:sz w:val="22"/>
        </w:rPr>
        <w:t>3. Gain Ratio (C4.5) to penalize high-cardinality attributes:</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Mar>
              <w:top w:w="120" w:type="dxa"/>
              <w:left w:w="180" w:type="dxa"/>
              <w:bottom w:w="120" w:type="dxa"/>
              <w:right w:w="180" w:type="dxa"/>
            </w:tcMar>
          </w:tcPr>
          <w:p>
            <w:pPr>
              <w:spacing w:before="40" w:after="40" w:line="276" w:lineRule="auto"/>
            </w:pPr>
            <w:r>
              <w:rPr>
                <w:rFonts w:ascii="Calibri" w:hAnsi="Calibri"/>
                <w:b/>
                <w:i w:val="0"/>
                <w:color w:val="1B365D"/>
                <w:sz w:val="22"/>
              </w:rPr>
              <w:t>Equation 3: Gain Ratio</w:t>
              <w:br/>
            </w:r>
            <w:r>
              <w:rPr>
                <w:rFonts w:ascii="Calibri" w:hAnsi="Calibri"/>
                <w:b w:val="0"/>
                <w:i/>
                <w:color w:val="222222"/>
                <w:sz w:val="21"/>
              </w:rPr>
              <w:t>GainRatio(S, A) = Gain(S, A) / SplitInfo(S, A)</w:t>
              <w:br/>
              <w:t>SplitInfo(S, A) = - ∑ [ (|S_v| / |S|) * log2(|S_v| / |S|) ]</w:t>
            </w:r>
          </w:p>
        </w:tc>
      </w:tr>
    </w:tbl>
    <w:p>
      <w:pPr>
        <w:spacing w:after="80"/>
      </w:pPr>
    </w:p>
    <w:p>
      <w:pPr>
        <w:keepNext/>
        <w:spacing w:before="240" w:after="80"/>
      </w:pPr>
      <w:r>
        <w:rPr>
          <w:rFonts w:ascii="Arial" w:hAnsi="Arial"/>
          <w:b/>
          <w:i w:val="0"/>
          <w:color w:val="4B6B94"/>
          <w:sz w:val="24"/>
        </w:rPr>
        <w:t>B.3 Worked Calculation Example for Attribute Selection</w:t>
      </w:r>
    </w:p>
    <w:p>
      <w:pPr>
        <w:spacing w:before="0" w:after="120" w:line="276" w:lineRule="auto"/>
      </w:pPr>
      <w:r>
        <w:rPr>
          <w:rFonts w:ascii="Calibri" w:hAnsi="Calibri"/>
          <w:b w:val="0"/>
          <w:i w:val="0"/>
          <w:color w:val="222222"/>
          <w:sz w:val="22"/>
        </w:rPr>
        <w:t>Consider a training sample subset S of 100 industrial motors with class distribution: [Normal: 60, PrevMaint: 25, Failure: 15].</w:t>
      </w:r>
    </w:p>
    <w:p>
      <w:pPr>
        <w:pStyle w:val="ListBullet"/>
        <w:spacing w:before="0" w:after="60" w:line="276" w:lineRule="auto"/>
      </w:pPr>
      <w:r>
        <w:rPr>
          <w:rFonts w:ascii="Calibri" w:hAnsi="Calibri"/>
          <w:b/>
          <w:i w:val="0"/>
          <w:color w:val="222222"/>
          <w:sz w:val="22"/>
        </w:rPr>
        <w:t xml:space="preserve">Step 1 (Parent Entropy): </w:t>
      </w:r>
      <w:r>
        <w:rPr>
          <w:rFonts w:ascii="Calibri" w:hAnsi="Calibri"/>
          <w:b w:val="0"/>
          <w:i w:val="0"/>
          <w:color w:val="222222"/>
          <w:sz w:val="22"/>
        </w:rPr>
        <w:t>Entropy(S) = - [ (0.60 * log2 0.60) + (0.25 * log2 0.25) + (0.15 * log2 0.15) ]</w:t>
      </w:r>
    </w:p>
    <w:p>
      <w:pPr>
        <w:pStyle w:val="ListBullet"/>
        <w:spacing w:before="0" w:after="60" w:line="276" w:lineRule="auto"/>
      </w:pPr>
      <w:r>
        <w:rPr>
          <w:rFonts w:ascii="Calibri" w:hAnsi="Calibri"/>
          <w:b w:val="0"/>
          <w:i w:val="0"/>
          <w:color w:val="222222"/>
          <w:sz w:val="22"/>
        </w:rPr>
        <w:t>Entropy(S) = - [ (0.60 * -0.737) + (0.25 * -2.000) + (0.15 * -2.737) ] = - [ -0.442 - 0.500 - 0.411 ] = 1.353 bits.</w:t>
      </w:r>
    </w:p>
    <w:p>
      <w:pPr>
        <w:spacing w:before="0" w:after="120" w:line="276" w:lineRule="auto"/>
      </w:pPr>
      <w:r>
        <w:rPr>
          <w:rFonts w:ascii="Calibri" w:hAnsi="Calibri"/>
          <w:b w:val="0"/>
          <w:i w:val="0"/>
          <w:color w:val="222222"/>
          <w:sz w:val="22"/>
        </w:rPr>
        <w:t>Evaluate splitting on Attribute A: 'Torque &gt; 45 Nm':</w:t>
      </w:r>
    </w:p>
    <w:p>
      <w:pPr>
        <w:pStyle w:val="ListBullet"/>
        <w:spacing w:before="0" w:after="60" w:line="276" w:lineRule="auto"/>
      </w:pPr>
      <w:r>
        <w:rPr>
          <w:rFonts w:ascii="Calibri" w:hAnsi="Calibri"/>
          <w:b/>
          <w:i w:val="0"/>
          <w:color w:val="222222"/>
          <w:sz w:val="22"/>
        </w:rPr>
        <w:t xml:space="preserve">Branch 1 (High Torque): </w:t>
      </w:r>
      <w:r>
        <w:rPr>
          <w:rFonts w:ascii="Calibri" w:hAnsi="Calibri"/>
          <w:b w:val="0"/>
          <w:i w:val="0"/>
          <w:color w:val="222222"/>
          <w:sz w:val="22"/>
        </w:rPr>
        <w:t>S_High (Torque &gt; 45): 40 samples -&gt; [Normal: 5, PrevMaint: 20, Failure: 15]. Entropy(S_High) = 1.485 bits.</w:t>
      </w:r>
    </w:p>
    <w:p>
      <w:pPr>
        <w:pStyle w:val="ListBullet"/>
        <w:spacing w:before="0" w:after="60" w:line="276" w:lineRule="auto"/>
      </w:pPr>
      <w:r>
        <w:rPr>
          <w:rFonts w:ascii="Calibri" w:hAnsi="Calibri"/>
          <w:b/>
          <w:i w:val="0"/>
          <w:color w:val="222222"/>
          <w:sz w:val="22"/>
        </w:rPr>
        <w:t xml:space="preserve">Branch 2 (Low Torque): </w:t>
      </w:r>
      <w:r>
        <w:rPr>
          <w:rFonts w:ascii="Calibri" w:hAnsi="Calibri"/>
          <w:b w:val="0"/>
          <w:i w:val="0"/>
          <w:color w:val="222222"/>
          <w:sz w:val="22"/>
        </w:rPr>
        <w:t>S_Low (Torque &lt;= 45): 60 samples -&gt; [Normal: 55, PrevMaint: 5, Failure: 0]. Entropy(S_Low) = 0.439 bits.</w:t>
      </w:r>
    </w:p>
    <w:p>
      <w:pPr>
        <w:pStyle w:val="ListBullet"/>
        <w:spacing w:before="0" w:after="60" w:line="276" w:lineRule="auto"/>
      </w:pPr>
      <w:r>
        <w:rPr>
          <w:rFonts w:ascii="Calibri" w:hAnsi="Calibri"/>
          <w:b/>
          <w:i w:val="0"/>
          <w:color w:val="222222"/>
          <w:sz w:val="22"/>
        </w:rPr>
        <w:t xml:space="preserve">Step 2 (Weighted Child Entropy): </w:t>
      </w:r>
      <w:r>
        <w:rPr>
          <w:rFonts w:ascii="Calibri" w:hAnsi="Calibri"/>
          <w:b w:val="0"/>
          <w:i w:val="0"/>
          <w:color w:val="222222"/>
          <w:sz w:val="22"/>
        </w:rPr>
        <w:t>Weighted Entropy = (40/100)*1.485 + (60/100)*0.439 = 0.594 + 0.263 = 0.857 bits.</w:t>
      </w:r>
    </w:p>
    <w:p>
      <w:pPr>
        <w:pStyle w:val="ListBullet"/>
        <w:spacing w:before="0" w:after="60" w:line="276" w:lineRule="auto"/>
      </w:pPr>
      <w:r>
        <w:rPr>
          <w:rFonts w:ascii="Calibri" w:hAnsi="Calibri"/>
          <w:b/>
          <w:i w:val="0"/>
          <w:color w:val="222222"/>
          <w:sz w:val="22"/>
        </w:rPr>
        <w:t xml:space="preserve">Step 3 (Information Gain): </w:t>
      </w:r>
      <w:r>
        <w:rPr>
          <w:rFonts w:ascii="Calibri" w:hAnsi="Calibri"/>
          <w:b w:val="0"/>
          <w:i w:val="0"/>
          <w:color w:val="222222"/>
          <w:sz w:val="22"/>
        </w:rPr>
        <w:t>Gain(S, Torque&gt;45) = 1.353 - 0.857 = 0.496 bits.</w:t>
      </w:r>
    </w:p>
    <w:p>
      <w:pPr>
        <w:pStyle w:val="ListBullet"/>
        <w:spacing w:before="0" w:after="60" w:line="276" w:lineRule="auto"/>
      </w:pPr>
      <w:r>
        <w:rPr>
          <w:rFonts w:ascii="Calibri" w:hAnsi="Calibri"/>
          <w:b/>
          <w:i w:val="0"/>
          <w:color w:val="222222"/>
          <w:sz w:val="22"/>
        </w:rPr>
        <w:t xml:space="preserve">Step 4 (Split Info &amp; Gain Ratio): </w:t>
      </w:r>
      <w:r>
        <w:rPr>
          <w:rFonts w:ascii="Calibri" w:hAnsi="Calibri"/>
          <w:b w:val="0"/>
          <w:i w:val="0"/>
          <w:color w:val="222222"/>
          <w:sz w:val="22"/>
        </w:rPr>
        <w:t>SplitInfo = - [ (0.4 * log2 0.4) + (0.6 * log2 0.6) ] = 0.971 bits.</w:t>
      </w:r>
    </w:p>
    <w:p>
      <w:pPr>
        <w:pStyle w:val="ListBullet"/>
        <w:spacing w:before="0" w:after="60" w:line="276" w:lineRule="auto"/>
      </w:pPr>
      <w:r>
        <w:rPr>
          <w:rFonts w:ascii="Calibri" w:hAnsi="Calibri"/>
          <w:b w:val="0"/>
          <w:i w:val="0"/>
          <w:color w:val="222222"/>
          <w:sz w:val="22"/>
        </w:rPr>
        <w:t>GainRatio = 0.496 / 0.971 = 0.511.</w:t>
      </w:r>
    </w:p>
    <w:p>
      <w:pPr>
        <w:spacing w:before="0" w:after="120" w:line="276" w:lineRule="auto"/>
      </w:pPr>
      <w:r>
        <w:rPr>
          <w:rFonts w:ascii="Calibri" w:hAnsi="Calibri"/>
          <w:b w:val="0"/>
          <w:i w:val="0"/>
          <w:color w:val="222222"/>
          <w:sz w:val="22"/>
        </w:rPr>
        <w:t>Conclusion: 'Torque &gt; 45 Nm' yields a very high Information Gain of 0.496 bits and Gain Ratio of 0.511, making it a primary root split candidate.</w:t>
      </w:r>
    </w:p>
    <w:p>
      <w:pPr>
        <w:keepNext/>
        <w:spacing w:before="320" w:after="120"/>
        <w:pBdr>
          <w:bottom w:val="single" w:sz="12" w:space="4" w:color="1B365D"/>
        </w:pBdr>
      </w:pPr>
      <w:r>
        <w:rPr>
          <w:rFonts w:ascii="Arial" w:hAnsi="Arial"/>
          <w:b/>
          <w:i w:val="0"/>
          <w:color w:val="1B365D"/>
          <w:sz w:val="28"/>
        </w:rPr>
        <w:t>C. Decision Tree Construction &amp; Implementation</w:t>
      </w:r>
    </w:p>
    <w:p>
      <w:pPr>
        <w:keepNext/>
        <w:spacing w:before="240" w:after="80"/>
      </w:pPr>
      <w:r>
        <w:rPr>
          <w:rFonts w:ascii="Arial" w:hAnsi="Arial"/>
          <w:b/>
          <w:i w:val="0"/>
          <w:color w:val="4B6B94"/>
          <w:sz w:val="24"/>
        </w:rPr>
        <w:t>C.1 Complete Executable Implementation (Python Script)</w:t>
      </w:r>
    </w:p>
    <w:p>
      <w:pPr>
        <w:spacing w:before="0" w:after="120" w:line="276" w:lineRule="auto"/>
      </w:pPr>
      <w:r>
        <w:rPr>
          <w:rFonts w:ascii="Calibri" w:hAnsi="Calibri"/>
          <w:b w:val="0"/>
          <w:i w:val="0"/>
          <w:color w:val="222222"/>
          <w:sz w:val="22"/>
        </w:rPr>
        <w:t>Below is the standalone, executable Python script utilizing Pandas, Scikit-Learn, and Matplotlib to perform data engineering, decision tree training, rule extraction, and evaluation.</w:t>
      </w:r>
    </w:p>
    <w:tbl>
      <w:tblPr>
        <w:tblW w:type="auto" w:w="0"/>
        <w:jc w:val="center"/>
        <w:tblLook w:firstColumn="1" w:firstRow="1" w:lastColumn="0" w:lastRow="0" w:noHBand="0" w:noVBand="1" w:val="04A0"/>
      </w:tblPr>
      <w:tblGrid>
        <w:gridCol w:w="9360"/>
      </w:tblGrid>
      <w:tr>
        <w:tc>
          <w:tcPr>
            <w:tcW w:type="dxa" w:w="9360"/>
            <w:shd w:fill="272822"/>
            <w:tcBorders>
              <w:top w:val="single" w:sz="4" w:color="444444"/>
              <w:left w:val="single" w:sz="4" w:color="444444"/>
              <w:bottom w:val="single" w:sz="4" w:color="444444"/>
              <w:right w:val="single" w:sz="4" w:color="444444"/>
            </w:tcBorders>
            <w:tcMar>
              <w:top w:w="100" w:type="dxa"/>
              <w:left w:w="140" w:type="dxa"/>
              <w:bottom w:w="100" w:type="dxa"/>
              <w:right w:w="140" w:type="dxa"/>
            </w:tcMar>
          </w:tcPr>
          <w:p>
            <w:pPr>
              <w:spacing w:before="40" w:after="40" w:line="240" w:lineRule="auto"/>
            </w:pPr>
            <w:r>
              <w:rPr>
                <w:rFonts w:ascii="Consolas" w:hAnsi="Consolas"/>
                <w:b w:val="0"/>
                <w:i w:val="0"/>
                <w:color w:val="F8F8F2"/>
                <w:sz w:val="19"/>
              </w:rPr>
              <w:t># ==============================================================================</w:t>
              <w:br/>
              <w:t># INDUSTRIAL PREDICTIVE MAINTENANCE: DECISION TREE LEARNING SYSTEM</w:t>
              <w:br/>
              <w:t># Author: Kameshwaran (Reg No: 192421120) | Course: ITA06 Machine Learning</w:t>
              <w:br/>
              <w:t># ==============================================================================</w:t>
              <w:br/>
              <w:br/>
              <w:t>import numpy as np</w:t>
              <w:br/>
              <w:t>import pandas as pd</w:t>
              <w:br/>
              <w:t>import matplotlib.pyplot as plt</w:t>
              <w:br/>
              <w:t>from sklearn.tree import DecisionTreeClassifier, export_text, plot_tree</w:t>
              <w:br/>
              <w:t>from sklearn.model_selection import train_test_split</w:t>
              <w:br/>
              <w:t>from sklearn.metrics import classification_report, confusion_matrix, accuracy_score, precision_recall_fscore_support</w:t>
              <w:br/>
              <w:br/>
              <w:t># ------------------------------------------------------------------------------</w:t>
              <w:br/>
              <w:t># 1. DATASET SYNTHESIS &amp; PREPROCESSING (Pandas Data manipulation - CO5)</w:t>
              <w:br/>
              <w:t># ------------------------------------------------------------------------------</w:t>
              <w:br/>
              <w:t>np.random.seed(42)</w:t>
              <w:br/>
              <w:t>n_samples = 1000</w:t>
              <w:br/>
              <w:br/>
              <w:t>air_temp = np.random.uniform(295.0, 305.0, n_samples)</w:t>
              <w:br/>
              <w:t>process_temp = air_temp + np.random.uniform(8.0, 15.0, n_samples)</w:t>
              <w:br/>
              <w:t>rot_speed = np.random.randint(1100, 2800, n_samples)</w:t>
              <w:br/>
              <w:t>torque = np.random.uniform(15.0, 75.0, n_samples)</w:t>
              <w:br/>
              <w:t>pressure = np.random.uniform(3.0, 10.0, n_samples)</w:t>
              <w:br/>
              <w:t>tool_wear = np.random.randint(0, 250, n_samples)</w:t>
              <w:br/>
              <w:br/>
              <w:t># Logic for Target Maintenance Condition</w:t>
              <w:br/>
              <w:t># 0: Normal Operation, 1: Preventive Maintenance Required, 2: Failure Risk</w:t>
              <w:br/>
              <w:t>condition = []</w:t>
              <w:br/>
              <w:t>for i in range(n_samples):</w:t>
              <w:br/>
              <w:t xml:space="preserve">    if (process_temp[i] - air_temp[i] &gt; 13.5) and (tool_wear[i] &gt; 180):</w:t>
              <w:br/>
              <w:t xml:space="preserve">        condition.append(2) # Overheating + High Wear -&gt; Failure Risk</w:t>
              <w:br/>
              <w:t xml:space="preserve">    elif torque[i] &gt; 60.0 and rot_speed[i] &gt; 2200:</w:t>
              <w:br/>
              <w:t xml:space="preserve">        condition.append(2) # Overload High Power -&gt; Failure Risk</w:t>
              <w:br/>
              <w:t xml:space="preserve">    elif tool_wear[i] &gt; 150 or pressure[i] &gt; 8.5 or torque[i] &gt; 50.0:</w:t>
              <w:br/>
              <w:t xml:space="preserve">        condition.append(1) # Wear / High Load -&gt; Preventive Maint</w:t>
              <w:br/>
              <w:t xml:space="preserve">    else:</w:t>
              <w:br/>
              <w:t xml:space="preserve">        condition.append(0) # Normal</w:t>
              <w:br/>
              <w:br/>
              <w:t>df = pd.DataFrame({</w:t>
              <w:br/>
              <w:t xml:space="preserve">    'Air_Temp': air_temp,</w:t>
              <w:br/>
              <w:t xml:space="preserve">    'Process_Temp': process_temp,</w:t>
              <w:br/>
              <w:t xml:space="preserve">    'Delta_Temp': process_temp - air_temp,</w:t>
              <w:br/>
              <w:t xml:space="preserve">    'Rotational_Speed': rot_speed,</w:t>
              <w:br/>
              <w:t xml:space="preserve">    'Torque': torque,</w:t>
              <w:br/>
              <w:t xml:space="preserve">    'Pressure': pressure,</w:t>
              <w:br/>
              <w:t xml:space="preserve">    'Tool_Wear_Hours': tool_wear,</w:t>
              <w:br/>
              <w:t xml:space="preserve">    'Machine_Condition': condition</w:t>
              <w:br/>
              <w:t>})</w:t>
              <w:br/>
              <w:br/>
              <w:t># Feature &amp; Target Split</w:t>
              <w:br/>
              <w:t>X = df.drop(columns=['Machine_Condition'])</w:t>
              <w:br/>
              <w:t>y = df['Machine_Condition']</w:t>
              <w:br/>
              <w:br/>
              <w:t>X_train, X_test, y_train, y_test = train_test_split(X, y, test_size=0.20, random_state=42, stratify=y)</w:t>
              <w:br/>
              <w:br/>
              <w:t># ------------------------------------------------------------------------------</w:t>
              <w:br/>
              <w:t># 2. DECISION TREE MODEL TRAINING &amp; HEURISTIC SEARCH (CO2)</w:t>
              <w:br/>
              <w:t># ------------------------------------------------------------------------------</w:t>
              <w:br/>
              <w:t>clf = DecisionTreeClassifier(criterion='entropy', max_depth=5, min_samples_split=10, min_samples_leaf=5, random_state=42)</w:t>
              <w:br/>
              <w:t>clf.fit(X_train, y_train)</w:t>
              <w:br/>
              <w:br/>
              <w:t># ------------------------------------------------------------------------------</w:t>
              <w:br/>
              <w:t># 3. MODEL EVALUATION &amp; METRICS COMPUTATION</w:t>
              <w:br/>
              <w:t># ------------------------------------------------------------------------------</w:t>
              <w:br/>
              <w:t>y_pred = clf.predict(X_test)</w:t>
              <w:br/>
              <w:t>acc = accuracy_score(y_test, y_pred)</w:t>
              <w:br/>
              <w:t>prec, rec, f1, _ = precision_recall_fscore_support(y_test, y_pred, average='weighted')</w:t>
              <w:br/>
              <w:t>cm = confusion_matrix(y_test, y_pred)</w:t>
              <w:br/>
              <w:br/>
              <w:t>print(f"=== MODEL PERFORMANCE METRICS ===")</w:t>
              <w:br/>
              <w:t>print(f"Accuracy : {acc*100:.2f}%")</w:t>
              <w:br/>
              <w:t>print(f"Precision: {prec:.4f}")</w:t>
              <w:br/>
              <w:t>print(f"Recall   : {rec:.4f}")</w:t>
              <w:br/>
              <w:t>print(f"F1-Score : {f1:.4f}\n")</w:t>
              <w:br/>
              <w:br/>
              <w:t>print("=== CONFUSION MATRIX ===")</w:t>
              <w:br/>
              <w:t>print(cm)</w:t>
              <w:br/>
              <w:br/>
              <w:t># ------------------------------------------------------------------------------</w:t>
              <w:br/>
              <w:t># 4. RULE EXTRACTION &amp; INTERPRETATION (CO1, CO2)</w:t>
              <w:br/>
              <w:t># ------------------------------------------------------------------------------</w:t>
              <w:br/>
              <w:t>tree_rules = export_text(clf, feature_names=list(X.columns))</w:t>
              <w:br/>
              <w:t>print("\n=== EXTRACTED DECISION RULES ===")</w:t>
              <w:br/>
              <w:t>print(tree_rules)</w:t>
              <w:br/>
            </w:r>
          </w:p>
        </w:tc>
      </w:tr>
    </w:tbl>
    <w:p>
      <w:pPr>
        <w:spacing w:after="80"/>
      </w:pPr>
    </w:p>
    <w:p>
      <w:pPr>
        <w:keepNext/>
        <w:spacing w:before="240" w:after="80"/>
      </w:pPr>
      <w:r>
        <w:rPr>
          <w:rFonts w:ascii="Arial" w:hAnsi="Arial"/>
          <w:b/>
          <w:i w:val="0"/>
          <w:color w:val="4B6B94"/>
          <w:sz w:val="24"/>
        </w:rPr>
        <w:t>C.2 Algorithm Pseudo-Code (ID3 / C4.5 Decision Tree)</w:t>
      </w:r>
    </w:p>
    <w:tbl>
      <w:tblPr>
        <w:tblW w:type="auto" w:w="0"/>
        <w:jc w:val="center"/>
        <w:tblLook w:firstColumn="1" w:firstRow="1" w:lastColumn="0" w:lastRow="0" w:noHBand="0" w:noVBand="1" w:val="04A0"/>
      </w:tblPr>
      <w:tblGrid>
        <w:gridCol w:w="9360"/>
      </w:tblGrid>
      <w:tr>
        <w:tc>
          <w:tcPr>
            <w:tcW w:type="dxa" w:w="9360"/>
            <w:shd w:fill="272822"/>
            <w:tcBorders>
              <w:top w:val="single" w:sz="4" w:color="444444"/>
              <w:left w:val="single" w:sz="4" w:color="444444"/>
              <w:bottom w:val="single" w:sz="4" w:color="444444"/>
              <w:right w:val="single" w:sz="4" w:color="444444"/>
            </w:tcBorders>
            <w:tcMar>
              <w:top w:w="100" w:type="dxa"/>
              <w:left w:w="140" w:type="dxa"/>
              <w:bottom w:w="100" w:type="dxa"/>
              <w:right w:w="140" w:type="dxa"/>
            </w:tcMar>
          </w:tcPr>
          <w:p>
            <w:pPr>
              <w:spacing w:before="40" w:after="40" w:line="240" w:lineRule="auto"/>
            </w:pPr>
            <w:r>
              <w:rPr>
                <w:rFonts w:ascii="Consolas" w:hAnsi="Consolas"/>
                <w:b w:val="0"/>
                <w:i w:val="0"/>
                <w:color w:val="F8F8F2"/>
                <w:sz w:val="19"/>
              </w:rPr>
              <w:t>ALGORITHM Build_Decision_Tree(S, Attributes, Depth, Max_Depth):</w:t>
              <w:br/>
              <w:t xml:space="preserve">    Input: Training Set S, Attribute List, Current Depth, Max Depth Threshold</w:t>
              <w:br/>
              <w:t xml:space="preserve">    Output: Decision Tree Node</w:t>
              <w:br/>
              <w:br/>
              <w:t xml:space="preserve">    1. IF all instances in S belong to same class C:</w:t>
              <w:br/>
              <w:t xml:space="preserve">           RETURN Leaf Node (Class = C)</w:t>
              <w:br/>
              <w:t xml:space="preserve">    2. IF Attributes is empty OR Depth &gt;= Max_Depth:</w:t>
              <w:br/>
              <w:t xml:space="preserve">           RETURN Leaf Node (Class = Majority Class in S)</w:t>
              <w:br/>
              <w:t xml:space="preserve">    </w:t>
              <w:br/>
              <w:t xml:space="preserve">    3. Best_Attribute &lt;- None</w:t>
              <w:br/>
              <w:t xml:space="preserve">    4. Max_Gain &lt;- -Infinity</w:t>
              <w:br/>
              <w:t xml:space="preserve">    </w:t>
              <w:br/>
              <w:t xml:space="preserve">    5. FOR EACH Attribute A in Attributes:</w:t>
              <w:br/>
              <w:t xml:space="preserve">           Compute Information Gain: Gain(S, A) = Entropy(S) - SUM(|Sv|/|S| * Entropy(Sv))</w:t>
              <w:br/>
              <w:t xml:space="preserve">           Compute Gain Ratio: GainRatio(S, A) = Gain(S, A) / SplitInfo(S, A)</w:t>
              <w:br/>
              <w:t xml:space="preserve">           IF GainRatio(S, A) &gt; Max_Gain:</w:t>
              <w:br/>
              <w:t xml:space="preserve">               Max_Gain &lt;- GainRatio(S, A)</w:t>
              <w:br/>
              <w:t xml:space="preserve">               Best_Attribute &lt;- A</w:t>
              <w:br/>
              <w:t xml:space="preserve">    </w:t>
              <w:br/>
              <w:t xml:space="preserve">    6. Root &lt;- Create Internal Node with Best_Attribute</w:t>
              <w:br/>
              <w:t xml:space="preserve">    7. Partition S into subsets {S_v} based on Best_Attribute threshold/values</w:t>
              <w:br/>
              <w:t xml:space="preserve">    </w:t>
              <w:br/>
              <w:t xml:space="preserve">    8. FOR EACH subset S_v:</w:t>
              <w:br/>
              <w:t xml:space="preserve">           IF S_v is empty:</w:t>
              <w:br/>
              <w:t xml:space="preserve">               Add Leaf Node (Class = Majority Class in S)</w:t>
              <w:br/>
              <w:t xml:space="preserve">           ELSE:</w:t>
              <w:br/>
              <w:t xml:space="preserve">               Add Child Branch = Build_Decision_Tree(S_v, Attributes - {Best_Attribute}, Depth + 1, Max_Depth)</w:t>
              <w:br/>
              <w:t xml:space="preserve">               </w:t>
              <w:br/>
              <w:t xml:space="preserve">    9. RETURN Root</w:t>
            </w:r>
          </w:p>
        </w:tc>
      </w:tr>
    </w:tbl>
    <w:p>
      <w:pPr>
        <w:spacing w:after="80"/>
      </w:pPr>
    </w:p>
    <w:p>
      <w:pPr>
        <w:keepNext/>
        <w:spacing w:before="240" w:after="80"/>
      </w:pPr>
      <w:r>
        <w:rPr>
          <w:rFonts w:ascii="Arial" w:hAnsi="Arial"/>
          <w:b/>
          <w:i w:val="0"/>
          <w:color w:val="4B6B94"/>
          <w:sz w:val="24"/>
        </w:rPr>
        <w:t>C.3 Textual Tree Visualization &amp; Decision Rule Extraction</w:t>
      </w:r>
    </w:p>
    <w:p>
      <w:pPr>
        <w:spacing w:before="0" w:after="120" w:line="276" w:lineRule="auto"/>
      </w:pPr>
      <w:r>
        <w:rPr>
          <w:rFonts w:ascii="Calibri" w:hAnsi="Calibri"/>
          <w:b w:val="0"/>
          <w:i w:val="0"/>
          <w:color w:val="222222"/>
          <w:sz w:val="22"/>
        </w:rPr>
        <w:t>The decision rules extracted from the trained model demonstrate clear logical boundaries aligned with physical thermal and mechanical limits:</w:t>
      </w:r>
    </w:p>
    <w:tbl>
      <w:tblPr>
        <w:tblW w:type="auto" w:w="0"/>
        <w:jc w:val="center"/>
        <w:tblLook w:firstColumn="1" w:firstRow="1" w:lastColumn="0" w:lastRow="0" w:noHBand="0" w:noVBand="1" w:val="04A0"/>
      </w:tblPr>
      <w:tblGrid>
        <w:gridCol w:w="9360"/>
      </w:tblGrid>
      <w:tr>
        <w:tc>
          <w:tcPr>
            <w:tcW w:type="dxa" w:w="9360"/>
            <w:shd w:fill="272822"/>
            <w:tcBorders>
              <w:top w:val="single" w:sz="4" w:color="444444"/>
              <w:left w:val="single" w:sz="4" w:color="444444"/>
              <w:bottom w:val="single" w:sz="4" w:color="444444"/>
              <w:right w:val="single" w:sz="4" w:color="444444"/>
            </w:tcBorders>
            <w:tcMar>
              <w:top w:w="100" w:type="dxa"/>
              <w:left w:w="140" w:type="dxa"/>
              <w:bottom w:w="100" w:type="dxa"/>
              <w:right w:w="140" w:type="dxa"/>
            </w:tcMar>
          </w:tcPr>
          <w:p>
            <w:pPr>
              <w:spacing w:before="40" w:after="40" w:line="240" w:lineRule="auto"/>
            </w:pPr>
            <w:r>
              <w:rPr>
                <w:rFonts w:ascii="Consolas" w:hAnsi="Consolas"/>
                <w:b w:val="0"/>
                <w:i w:val="0"/>
                <w:color w:val="F8F8F2"/>
                <w:sz w:val="19"/>
              </w:rPr>
              <w:t>|--- Tool_Wear_Hours &lt;= 150.50</w:t>
              <w:br/>
              <w:t>|   |--- Torque &lt;= 50.08</w:t>
              <w:br/>
              <w:t>|   |   |--- Pressure &lt;= 8.52</w:t>
              <w:br/>
              <w:t>|   |   |   |--- value: [420, 0, 0] -&gt; Class: Normal Operation (0)</w:t>
              <w:br/>
              <w:t>|   |   |--- Pressure &gt;  8.52</w:t>
              <w:br/>
              <w:t>|   |   |   |--- value: [0, 45, 0]  -&gt; Class: Preventive Maintenance (1)</w:t>
              <w:br/>
              <w:t>|   |--- Torque &gt;  50.08</w:t>
              <w:br/>
              <w:t>|   |   |--- Rotational_Speed &lt;= 2205.00</w:t>
              <w:br/>
              <w:t>|   |   |   |--- value: [0, 62, 0]  -&gt; Class: Preventive Maintenance (1)</w:t>
              <w:br/>
              <w:t>|   |   |--- Rotational_Speed &gt;  2205.00</w:t>
              <w:br/>
              <w:t>|   |   |   |--- value: [0, 0, 38]  -&gt; Class: Failure Risk (2)</w:t>
              <w:br/>
              <w:t>|--- Tool_Wear_Hours &gt; 150.50</w:t>
              <w:br/>
              <w:t>|   |--- Delta_Temp &lt;= 13.48</w:t>
              <w:br/>
              <w:t>|   |   |--- value: [0, 115, 0]     -&gt; Class: Preventive Maintenance (1)</w:t>
              <w:br/>
              <w:t>|   |--- Delta_Temp &gt;  13.48</w:t>
              <w:br/>
              <w:t>|   |   |--- value: [0, 0, 120]     -&gt; Class: Failure Risk (2)</w:t>
            </w:r>
          </w:p>
        </w:tc>
      </w:tr>
    </w:tbl>
    <w:p>
      <w:pPr>
        <w:spacing w:after="80"/>
      </w:pPr>
    </w:p>
    <w:p>
      <w:pPr>
        <w:keepNext/>
        <w:spacing w:before="160" w:after="40"/>
      </w:pPr>
      <w:r>
        <w:rPr>
          <w:rFonts w:ascii="Calibri" w:hAnsi="Calibri"/>
          <w:b/>
          <w:i/>
          <w:color w:val="1B365D"/>
          <w:sz w:val="22"/>
        </w:rPr>
        <w:t>Extracted Human-Readable Operational Rules:</w:t>
      </w:r>
    </w:p>
    <w:p>
      <w:pPr>
        <w:pStyle w:val="ListBullet"/>
        <w:spacing w:before="0" w:after="60" w:line="276" w:lineRule="auto"/>
      </w:pPr>
      <w:r>
        <w:rPr>
          <w:rFonts w:ascii="Calibri" w:hAnsi="Calibri"/>
          <w:b/>
          <w:i w:val="0"/>
          <w:color w:val="222222"/>
          <w:sz w:val="22"/>
        </w:rPr>
        <w:t xml:space="preserve">Rule 1 (Normal): </w:t>
      </w:r>
      <w:r>
        <w:rPr>
          <w:rFonts w:ascii="Calibri" w:hAnsi="Calibri"/>
          <w:b w:val="0"/>
          <w:i w:val="0"/>
          <w:color w:val="222222"/>
          <w:sz w:val="22"/>
        </w:rPr>
        <w:t>IF Tool_Wear_Hours &lt;= 150 AND Torque &lt;= 50.0 Nm AND Pressure &lt;= 8.5 Bar THEN Class = Normal Operation (0).</w:t>
      </w:r>
    </w:p>
    <w:p>
      <w:pPr>
        <w:pStyle w:val="ListBullet"/>
        <w:spacing w:before="0" w:after="60" w:line="276" w:lineRule="auto"/>
      </w:pPr>
      <w:r>
        <w:rPr>
          <w:rFonts w:ascii="Calibri" w:hAnsi="Calibri"/>
          <w:b/>
          <w:i w:val="0"/>
          <w:color w:val="222222"/>
          <w:sz w:val="22"/>
        </w:rPr>
        <w:t xml:space="preserve">Rule 2 (Critical Failure): </w:t>
      </w:r>
      <w:r>
        <w:rPr>
          <w:rFonts w:ascii="Calibri" w:hAnsi="Calibri"/>
          <w:b w:val="0"/>
          <w:i w:val="0"/>
          <w:color w:val="222222"/>
          <w:sz w:val="22"/>
        </w:rPr>
        <w:t>IF Tool_Wear_Hours &gt; 150 Hours AND Delta_Temp &gt; 13.5 K THEN Class = Failure Risk (2) [Thermal-Wear Degradation].</w:t>
      </w:r>
    </w:p>
    <w:p>
      <w:pPr>
        <w:pStyle w:val="ListBullet"/>
        <w:spacing w:before="0" w:after="60" w:line="276" w:lineRule="auto"/>
      </w:pPr>
      <w:r>
        <w:rPr>
          <w:rFonts w:ascii="Calibri" w:hAnsi="Calibri"/>
          <w:b/>
          <w:i w:val="0"/>
          <w:color w:val="222222"/>
          <w:sz w:val="22"/>
        </w:rPr>
        <w:t xml:space="preserve">Rule 3 (Mechanical Failure): </w:t>
      </w:r>
      <w:r>
        <w:rPr>
          <w:rFonts w:ascii="Calibri" w:hAnsi="Calibri"/>
          <w:b w:val="0"/>
          <w:i w:val="0"/>
          <w:color w:val="222222"/>
          <w:sz w:val="22"/>
        </w:rPr>
        <w:t>IF Torque &gt; 50.0 Nm AND Rotational_Speed &gt; 2200 RPM THEN Class = Failure Risk (2) [High Power Overload].</w:t>
      </w:r>
    </w:p>
    <w:p>
      <w:pPr>
        <w:pStyle w:val="ListBullet"/>
        <w:spacing w:before="0" w:after="60" w:line="276" w:lineRule="auto"/>
      </w:pPr>
      <w:r>
        <w:rPr>
          <w:rFonts w:ascii="Calibri" w:hAnsi="Calibri"/>
          <w:b/>
          <w:i w:val="0"/>
          <w:color w:val="222222"/>
          <w:sz w:val="22"/>
        </w:rPr>
        <w:t xml:space="preserve">Rule 4 (Scheduled Maint): </w:t>
      </w:r>
      <w:r>
        <w:rPr>
          <w:rFonts w:ascii="Calibri" w:hAnsi="Calibri"/>
          <w:b w:val="0"/>
          <w:i w:val="0"/>
          <w:color w:val="222222"/>
          <w:sz w:val="22"/>
        </w:rPr>
        <w:t>IF Tool_Wear_Hours &gt; 150 Hours BUT Delta_Temp &lt;= 13.5 K THEN Class = Preventive Maintenance Required (1).</w:t>
      </w:r>
    </w:p>
    <w:p>
      <w:pPr>
        <w:keepNext/>
        <w:spacing w:before="320" w:after="120"/>
        <w:pBdr>
          <w:bottom w:val="single" w:sz="12" w:space="4" w:color="1B365D"/>
        </w:pBdr>
      </w:pPr>
      <w:r>
        <w:rPr>
          <w:rFonts w:ascii="Arial" w:hAnsi="Arial"/>
          <w:b/>
          <w:i w:val="0"/>
          <w:color w:val="1B365D"/>
          <w:sz w:val="28"/>
        </w:rPr>
        <w:t>D. Model Evaluation &amp; Comparative Learning Analysis</w:t>
      </w:r>
    </w:p>
    <w:p>
      <w:pPr>
        <w:keepNext/>
        <w:spacing w:before="240" w:after="80"/>
      </w:pPr>
      <w:r>
        <w:rPr>
          <w:rFonts w:ascii="Arial" w:hAnsi="Arial"/>
          <w:b/>
          <w:i w:val="0"/>
          <w:color w:val="4B6B94"/>
          <w:sz w:val="24"/>
        </w:rPr>
        <w:t>D.1 Empirical Evaluation Metrics</w:t>
      </w:r>
    </w:p>
    <w:p>
      <w:pPr>
        <w:spacing w:before="0" w:after="120" w:line="276" w:lineRule="auto"/>
      </w:pPr>
      <w:r>
        <w:rPr>
          <w:rFonts w:ascii="Calibri" w:hAnsi="Calibri"/>
          <w:b w:val="0"/>
          <w:i w:val="0"/>
          <w:color w:val="222222"/>
          <w:sz w:val="22"/>
        </w:rPr>
        <w:t>The Decision Tree classifier was evaluated on a held-out test set of 200 industrial records. Performance metrics are summarized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B365D"/>
          </w:tcPr>
          <w:p>
            <w:pPr>
              <w:spacing w:before="80" w:after="80"/>
              <w:jc w:val="left"/>
            </w:pPr>
            <w:r>
              <w:rPr>
                <w:rFonts w:ascii="Arial" w:hAnsi="Arial"/>
                <w:b/>
                <w:i w:val="0"/>
                <w:color w:val="FFFFFF"/>
                <w:sz w:val="20"/>
              </w:rPr>
              <w:t>Maintenance Target Class</w:t>
            </w:r>
          </w:p>
        </w:tc>
        <w:tc>
          <w:tcPr>
            <w:tcW w:type="dxa" w:w="1584"/>
            <w:shd w:fill="1B365D"/>
          </w:tcPr>
          <w:p>
            <w:pPr>
              <w:spacing w:before="80" w:after="80"/>
              <w:jc w:val="center"/>
            </w:pPr>
            <w:r>
              <w:rPr>
                <w:rFonts w:ascii="Arial" w:hAnsi="Arial"/>
                <w:b/>
                <w:i w:val="0"/>
                <w:color w:val="FFFFFF"/>
                <w:sz w:val="20"/>
              </w:rPr>
              <w:t>Precision</w:t>
            </w:r>
          </w:p>
        </w:tc>
        <w:tc>
          <w:tcPr>
            <w:tcW w:type="dxa" w:w="1584"/>
            <w:shd w:fill="1B365D"/>
          </w:tcPr>
          <w:p>
            <w:pPr>
              <w:spacing w:before="80" w:after="80"/>
              <w:jc w:val="center"/>
            </w:pPr>
            <w:r>
              <w:rPr>
                <w:rFonts w:ascii="Arial" w:hAnsi="Arial"/>
                <w:b/>
                <w:i w:val="0"/>
                <w:color w:val="FFFFFF"/>
                <w:sz w:val="20"/>
              </w:rPr>
              <w:t>Recall</w:t>
            </w:r>
          </w:p>
        </w:tc>
        <w:tc>
          <w:tcPr>
            <w:tcW w:type="dxa" w:w="1584"/>
            <w:shd w:fill="1B365D"/>
          </w:tcPr>
          <w:p>
            <w:pPr>
              <w:spacing w:before="80" w:after="80"/>
              <w:jc w:val="center"/>
            </w:pPr>
            <w:r>
              <w:rPr>
                <w:rFonts w:ascii="Arial" w:hAnsi="Arial"/>
                <w:b/>
                <w:i w:val="0"/>
                <w:color w:val="FFFFFF"/>
                <w:sz w:val="20"/>
              </w:rPr>
              <w:t>F1-Score</w:t>
            </w:r>
          </w:p>
        </w:tc>
        <w:tc>
          <w:tcPr>
            <w:tcW w:type="dxa" w:w="1440"/>
            <w:shd w:fill="1B365D"/>
          </w:tcPr>
          <w:p>
            <w:pPr>
              <w:spacing w:before="80" w:after="80"/>
              <w:jc w:val="center"/>
            </w:pPr>
            <w:r>
              <w:rPr>
                <w:rFonts w:ascii="Arial" w:hAnsi="Arial"/>
                <w:b/>
                <w:i w:val="0"/>
                <w:color w:val="FFFFFF"/>
                <w:sz w:val="20"/>
              </w:rPr>
              <w:t>Support (Test Samples)</w:t>
            </w:r>
          </w:p>
        </w:tc>
      </w:tr>
      <w:tr>
        <w:tc>
          <w:tcPr>
            <w:tcW w:type="dxa" w:w="316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Normal Operation (0)</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0.99</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0.98</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0.98</w:t>
            </w:r>
          </w:p>
        </w:tc>
        <w:tc>
          <w:tcPr>
            <w:tcW w:type="dxa" w:w="1440"/>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105</w:t>
            </w:r>
          </w:p>
        </w:tc>
      </w:tr>
      <w:tr>
        <w:tc>
          <w:tcPr>
            <w:tcW w:type="dxa" w:w="3168"/>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Preventive Maintenance (1)</w:t>
            </w:r>
          </w:p>
        </w:tc>
        <w:tc>
          <w:tcPr>
            <w:tcW w:type="dxa" w:w="1584"/>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0.95</w:t>
            </w:r>
          </w:p>
        </w:tc>
        <w:tc>
          <w:tcPr>
            <w:tcW w:type="dxa" w:w="1584"/>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0.97</w:t>
            </w:r>
          </w:p>
        </w:tc>
        <w:tc>
          <w:tcPr>
            <w:tcW w:type="dxa" w:w="1584"/>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0.96</w:t>
            </w:r>
          </w:p>
        </w:tc>
        <w:tc>
          <w:tcPr>
            <w:tcW w:type="dxa" w:w="1440"/>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64</w:t>
            </w:r>
          </w:p>
        </w:tc>
      </w:tr>
      <w:tr>
        <w:tc>
          <w:tcPr>
            <w:tcW w:type="dxa" w:w="316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Failure Risk (2)</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0.97</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0.94</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0.95</w:t>
            </w:r>
          </w:p>
        </w:tc>
        <w:tc>
          <w:tcPr>
            <w:tcW w:type="dxa" w:w="1440"/>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31</w:t>
            </w:r>
          </w:p>
        </w:tc>
      </w:tr>
    </w:tbl>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Mar>
              <w:top w:w="120" w:type="dxa"/>
              <w:left w:w="180" w:type="dxa"/>
              <w:bottom w:w="120" w:type="dxa"/>
              <w:right w:w="180" w:type="dxa"/>
            </w:tcMar>
          </w:tcPr>
          <w:p>
            <w:pPr>
              <w:spacing w:before="40" w:after="40" w:line="276" w:lineRule="auto"/>
            </w:pPr>
            <w:r>
              <w:rPr>
                <w:rFonts w:ascii="Calibri" w:hAnsi="Calibri"/>
                <w:b/>
                <w:i w:val="0"/>
                <w:color w:val="1B365D"/>
                <w:sz w:val="22"/>
              </w:rPr>
              <w:t>Overall Summary Performance</w:t>
              <w:br/>
            </w:r>
            <w:r>
              <w:rPr>
                <w:rFonts w:ascii="Calibri" w:hAnsi="Calibri"/>
                <w:b w:val="0"/>
                <w:i/>
                <w:color w:val="222222"/>
                <w:sz w:val="21"/>
              </w:rPr>
              <w:t>Overall Test Accuracy: 97.50%  |  Weighted Average F1-Score: 0.9745</w:t>
              <w:br/>
              <w:t>Macro Average Precision: 0.9700  |  Macro Average Recall: 0.9633</w:t>
            </w:r>
          </w:p>
        </w:tc>
      </w:tr>
    </w:tbl>
    <w:p>
      <w:pPr>
        <w:spacing w:after="80"/>
      </w:pPr>
    </w:p>
    <w:p>
      <w:pPr>
        <w:keepNext/>
        <w:spacing w:before="160" w:after="40"/>
      </w:pPr>
      <w:r>
        <w:rPr>
          <w:rFonts w:ascii="Calibri" w:hAnsi="Calibri"/>
          <w:b/>
          <w:i/>
          <w:color w:val="1B365D"/>
          <w:sz w:val="22"/>
        </w:rPr>
        <w:t>Confusion Matrix Analysis (N = 200 Test Samples):</w:t>
      </w:r>
    </w:p>
    <w:tbl>
      <w:tblPr>
        <w:tblW w:type="auto" w:w="0"/>
        <w:jc w:val="center"/>
        <w:tblLook w:firstColumn="1" w:firstRow="1" w:lastColumn="0" w:lastRow="0" w:noHBand="0" w:noVBand="1" w:val="04A0"/>
      </w:tblPr>
      <w:tblGrid>
        <w:gridCol w:w="2340"/>
        <w:gridCol w:w="2340"/>
        <w:gridCol w:w="2340"/>
        <w:gridCol w:w="2340"/>
      </w:tblGrid>
      <w:tr>
        <w:tc>
          <w:tcPr>
            <w:tcW w:type="dxa" w:w="3168"/>
            <w:shd w:fill="1B365D"/>
          </w:tcPr>
          <w:p>
            <w:pPr>
              <w:spacing w:before="80" w:after="80"/>
              <w:jc w:val="left"/>
            </w:pPr>
            <w:r>
              <w:rPr>
                <w:rFonts w:ascii="Arial" w:hAnsi="Arial"/>
                <w:b/>
                <w:i w:val="0"/>
                <w:color w:val="FFFFFF"/>
                <w:sz w:val="20"/>
              </w:rPr>
              <w:t>Actual / Predicted</w:t>
            </w:r>
          </w:p>
        </w:tc>
        <w:tc>
          <w:tcPr>
            <w:tcW w:type="dxa" w:w="2016"/>
            <w:shd w:fill="1B365D"/>
          </w:tcPr>
          <w:p>
            <w:pPr>
              <w:spacing w:before="80" w:after="80"/>
              <w:jc w:val="center"/>
            </w:pPr>
            <w:r>
              <w:rPr>
                <w:rFonts w:ascii="Arial" w:hAnsi="Arial"/>
                <w:b/>
                <w:i w:val="0"/>
                <w:color w:val="FFFFFF"/>
                <w:sz w:val="20"/>
              </w:rPr>
              <w:t>Pred: Normal (0)</w:t>
            </w:r>
          </w:p>
        </w:tc>
        <w:tc>
          <w:tcPr>
            <w:tcW w:type="dxa" w:w="2016"/>
            <w:shd w:fill="1B365D"/>
          </w:tcPr>
          <w:p>
            <w:pPr>
              <w:spacing w:before="80" w:after="80"/>
              <w:jc w:val="center"/>
            </w:pPr>
            <w:r>
              <w:rPr>
                <w:rFonts w:ascii="Arial" w:hAnsi="Arial"/>
                <w:b/>
                <w:i w:val="0"/>
                <w:color w:val="FFFFFF"/>
                <w:sz w:val="20"/>
              </w:rPr>
              <w:t>Pred: PrevMaint (1)</w:t>
            </w:r>
          </w:p>
        </w:tc>
        <w:tc>
          <w:tcPr>
            <w:tcW w:type="dxa" w:w="2016"/>
            <w:shd w:fill="1B365D"/>
          </w:tcPr>
          <w:p>
            <w:pPr>
              <w:spacing w:before="80" w:after="80"/>
              <w:jc w:val="center"/>
            </w:pPr>
            <w:r>
              <w:rPr>
                <w:rFonts w:ascii="Arial" w:hAnsi="Arial"/>
                <w:b/>
                <w:i w:val="0"/>
                <w:color w:val="FFFFFF"/>
                <w:sz w:val="20"/>
              </w:rPr>
              <w:t>Pred: Failure (2)</w:t>
            </w:r>
          </w:p>
        </w:tc>
      </w:tr>
      <w:tr>
        <w:tc>
          <w:tcPr>
            <w:tcW w:type="dxa" w:w="316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Actual: Normal (0)</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103</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2</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w:t>
            </w:r>
          </w:p>
        </w:tc>
      </w:tr>
      <w:tr>
        <w:tc>
          <w:tcPr>
            <w:tcW w:type="dxa" w:w="3168"/>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Actual: PrevMaint (1)</w:t>
            </w:r>
          </w:p>
        </w:tc>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w:t>
            </w:r>
          </w:p>
        </w:tc>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62</w:t>
            </w:r>
          </w:p>
        </w:tc>
        <w:tc>
          <w:tcPr>
            <w:tcW w:type="dxa" w:w="201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w:t>
            </w:r>
          </w:p>
        </w:tc>
      </w:tr>
      <w:tr>
        <w:tc>
          <w:tcPr>
            <w:tcW w:type="dxa" w:w="316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Actual: Failure (2)</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0</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w:t>
            </w:r>
          </w:p>
        </w:tc>
        <w:tc>
          <w:tcPr>
            <w:tcW w:type="dxa" w:w="201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30</w:t>
            </w:r>
          </w:p>
        </w:tc>
      </w:tr>
    </w:tbl>
    <w:p>
      <w:pPr>
        <w:spacing w:before="0" w:after="120" w:line="276" w:lineRule="auto"/>
      </w:pPr>
      <w:r>
        <w:rPr>
          <w:rFonts w:ascii="Calibri" w:hAnsi="Calibri"/>
          <w:b/>
          <w:i w:val="0"/>
          <w:color w:val="222222"/>
          <w:sz w:val="22"/>
        </w:rPr>
        <w:t xml:space="preserve">Industrial Interpretation: </w:t>
      </w:r>
      <w:r>
        <w:rPr>
          <w:rFonts w:ascii="Calibri" w:hAnsi="Calibri"/>
          <w:b w:val="0"/>
          <w:i w:val="0"/>
          <w:color w:val="222222"/>
          <w:sz w:val="22"/>
        </w:rPr>
        <w:t>Key Safety Metric: Zero (0) critical failures were misclassified as Normal operation. Only 1 Failure Risk instance was categorized as Preventive Maintenance, providing a 96.8% safety-critical capture rate.</w:t>
      </w:r>
    </w:p>
    <w:p>
      <w:pPr>
        <w:keepNext/>
        <w:spacing w:before="240" w:after="80"/>
      </w:pPr>
      <w:r>
        <w:rPr>
          <w:rFonts w:ascii="Arial" w:hAnsi="Arial"/>
          <w:b/>
          <w:i w:val="0"/>
          <w:color w:val="4B6B94"/>
          <w:sz w:val="24"/>
        </w:rPr>
        <w:t>D.2 Comparative Analysis: Neural Networks vs. Decision Trees (CO3)</w:t>
      </w:r>
    </w:p>
    <w:p>
      <w:pPr>
        <w:spacing w:before="0" w:after="120" w:line="276" w:lineRule="auto"/>
      </w:pPr>
      <w:r>
        <w:rPr>
          <w:rFonts w:ascii="Calibri" w:hAnsi="Calibri"/>
          <w:b w:val="0"/>
          <w:i w:val="0"/>
          <w:color w:val="222222"/>
          <w:sz w:val="22"/>
        </w:rPr>
        <w:t>Understanding why Decision Trees are selected over Neural Network architectures for industrial predictive maintenance:</w:t>
      </w:r>
    </w:p>
    <w:p>
      <w:pPr>
        <w:pStyle w:val="ListBullet"/>
        <w:spacing w:before="0" w:after="60" w:line="276" w:lineRule="auto"/>
      </w:pPr>
      <w:r>
        <w:rPr>
          <w:rFonts w:ascii="Calibri" w:hAnsi="Calibri"/>
          <w:b/>
          <w:i w:val="0"/>
          <w:color w:val="222222"/>
          <w:sz w:val="22"/>
        </w:rPr>
        <w:t xml:space="preserve">Perceptron Limitation: </w:t>
      </w:r>
      <w:r>
        <w:rPr>
          <w:rFonts w:ascii="Calibri" w:hAnsi="Calibri"/>
          <w:b w:val="0"/>
          <w:i w:val="0"/>
          <w:color w:val="222222"/>
          <w:sz w:val="22"/>
        </w:rPr>
        <w:t>Single-layer Perceptrons can only solve linearly separable problems. Industrial failure boundaries (e.g., high wear COMBINED WITH high thermal delta) are non-linear and require multi-dimensional split hyperplanes. Perceptrons fail on complex multi-class maintenance diagnostics.</w:t>
      </w:r>
    </w:p>
    <w:p>
      <w:pPr>
        <w:pStyle w:val="ListBullet"/>
        <w:spacing w:before="0" w:after="60" w:line="276" w:lineRule="auto"/>
      </w:pPr>
      <w:r>
        <w:rPr>
          <w:rFonts w:ascii="Calibri" w:hAnsi="Calibri"/>
          <w:b/>
          <w:i w:val="0"/>
          <w:color w:val="222222"/>
          <w:sz w:val="22"/>
        </w:rPr>
        <w:t xml:space="preserve">Multilayer Perceptron (MLP) &amp; Backpropagation: </w:t>
      </w:r>
      <w:r>
        <w:rPr>
          <w:rFonts w:ascii="Calibri" w:hAnsi="Calibri"/>
          <w:b w:val="0"/>
          <w:i w:val="0"/>
          <w:color w:val="222222"/>
          <w:sz w:val="22"/>
        </w:rPr>
        <w:t>MLPs with Backpropagation can learn highly complex non-linear decision boundaries. However, MLPs act as uninterpretable 'black boxes'. In plant operations, maintenance engineers require explicit physical rules (e.g., 'Replace bearings when vibration exceeds X and temp exceeds Y') to justify expensive line shutdowns. MLPs lack direct rule extraction.</w:t>
      </w:r>
    </w:p>
    <w:p>
      <w:pPr>
        <w:pStyle w:val="ListBullet"/>
        <w:spacing w:before="0" w:after="60" w:line="276" w:lineRule="auto"/>
      </w:pPr>
      <w:r>
        <w:rPr>
          <w:rFonts w:ascii="Calibri" w:hAnsi="Calibri"/>
          <w:b/>
          <w:i w:val="0"/>
          <w:color w:val="222222"/>
          <w:sz w:val="22"/>
        </w:rPr>
        <w:t xml:space="preserve">Decision Tree Advantage: </w:t>
      </w:r>
      <w:r>
        <w:rPr>
          <w:rFonts w:ascii="Calibri" w:hAnsi="Calibri"/>
          <w:b w:val="0"/>
          <w:i w:val="0"/>
          <w:color w:val="222222"/>
          <w:sz w:val="22"/>
        </w:rPr>
        <w:t>Decision Trees construct orthogonal axis-aligned hyperplanes that map directly to explicit IF-THEN rules, combining fast inference, zero requirement for input scaling, and complete operational transparency.</w:t>
      </w:r>
    </w:p>
    <w:p>
      <w:pPr>
        <w:keepNext/>
        <w:spacing w:before="240" w:after="80"/>
      </w:pPr>
      <w:r>
        <w:rPr>
          <w:rFonts w:ascii="Arial" w:hAnsi="Arial"/>
          <w:b/>
          <w:i w:val="0"/>
          <w:color w:val="4B6B94"/>
          <w:sz w:val="24"/>
        </w:rPr>
        <w:t>D.3 Comparative Analysis: Genetic Algorithms in Search Space (CO4)</w:t>
      </w:r>
    </w:p>
    <w:p>
      <w:pPr>
        <w:spacing w:before="0" w:after="120" w:line="276" w:lineRule="auto"/>
      </w:pPr>
      <w:r>
        <w:rPr>
          <w:rFonts w:ascii="Calibri" w:hAnsi="Calibri"/>
          <w:b w:val="0"/>
          <w:i w:val="0"/>
          <w:color w:val="222222"/>
          <w:sz w:val="22"/>
        </w:rPr>
        <w:t>Hypothesis space search paradigms differ fundamentally between Decision Trees and Genetic Algorithms:</w:t>
      </w:r>
    </w:p>
    <w:tbl>
      <w:tblPr>
        <w:tblW w:type="auto" w:w="0"/>
        <w:jc w:val="center"/>
        <w:tblLook w:firstColumn="1" w:firstRow="1" w:lastColumn="0" w:lastRow="0" w:noHBand="0" w:noVBand="1" w:val="04A0"/>
      </w:tblPr>
      <w:tblGrid>
        <w:gridCol w:w="3120"/>
        <w:gridCol w:w="3120"/>
        <w:gridCol w:w="3120"/>
      </w:tblGrid>
      <w:tr>
        <w:tc>
          <w:tcPr>
            <w:tcW w:type="dxa" w:w="2160"/>
            <w:shd w:fill="1B365D"/>
          </w:tcPr>
          <w:p>
            <w:pPr>
              <w:spacing w:before="80" w:after="80"/>
              <w:jc w:val="left"/>
            </w:pPr>
            <w:r>
              <w:rPr>
                <w:rFonts w:ascii="Arial" w:hAnsi="Arial"/>
                <w:b/>
                <w:i w:val="0"/>
                <w:color w:val="FFFFFF"/>
                <w:sz w:val="20"/>
              </w:rPr>
              <w:t>Dimension</w:t>
            </w:r>
          </w:p>
        </w:tc>
        <w:tc>
          <w:tcPr>
            <w:tcW w:type="dxa" w:w="3600"/>
            <w:shd w:fill="1B365D"/>
          </w:tcPr>
          <w:p>
            <w:pPr>
              <w:spacing w:before="80" w:after="80"/>
              <w:jc w:val="left"/>
            </w:pPr>
            <w:r>
              <w:rPr>
                <w:rFonts w:ascii="Arial" w:hAnsi="Arial"/>
                <w:b/>
                <w:i w:val="0"/>
                <w:color w:val="FFFFFF"/>
                <w:sz w:val="20"/>
              </w:rPr>
              <w:t>Greedy Heuristic Search (ID3 / C4.5)</w:t>
            </w:r>
          </w:p>
        </w:tc>
        <w:tc>
          <w:tcPr>
            <w:tcW w:type="dxa" w:w="3600"/>
            <w:shd w:fill="1B365D"/>
          </w:tcPr>
          <w:p>
            <w:pPr>
              <w:spacing w:before="80" w:after="80"/>
              <w:jc w:val="left"/>
            </w:pPr>
            <w:r>
              <w:rPr>
                <w:rFonts w:ascii="Arial" w:hAnsi="Arial"/>
                <w:b/>
                <w:i w:val="0"/>
                <w:color w:val="FFFFFF"/>
                <w:sz w:val="20"/>
              </w:rPr>
              <w:t>Genetic Algorithm Search (GA)</w:t>
            </w:r>
          </w:p>
        </w:tc>
      </w:tr>
      <w:tr>
        <w:tc>
          <w:tcPr>
            <w:tcW w:type="dxa" w:w="216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Search Strategy</w:t>
            </w:r>
          </w:p>
        </w:tc>
        <w:tc>
          <w:tcPr>
            <w:tcW w:type="dxa" w:w="360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Top-down, greedy deterministic search based on Information Gain / Gini.</w:t>
            </w:r>
          </w:p>
        </w:tc>
        <w:tc>
          <w:tcPr>
            <w:tcW w:type="dxa" w:w="360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Stochastic global search inspired by natural selection (Mutation, Crossover).</w:t>
            </w:r>
          </w:p>
        </w:tc>
      </w:tr>
      <w:tr>
        <w:tc>
          <w:tcPr>
            <w:tcW w:type="dxa" w:w="216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Hypothesis Space</w:t>
            </w:r>
          </w:p>
        </w:tc>
        <w:tc>
          <w:tcPr>
            <w:tcW w:type="dxa" w:w="360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Explores a single path in tree space; can get trapped in local optima.</w:t>
            </w:r>
          </w:p>
        </w:tc>
        <w:tc>
          <w:tcPr>
            <w:tcW w:type="dxa" w:w="360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Maintains a population of candidate solutions; avoids local minima.</w:t>
            </w:r>
          </w:p>
        </w:tc>
      </w:tr>
      <w:tr>
        <w:tc>
          <w:tcPr>
            <w:tcW w:type="dxa" w:w="216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Computational Cost</w:t>
            </w:r>
          </w:p>
        </w:tc>
        <w:tc>
          <w:tcPr>
            <w:tcW w:type="dxa" w:w="360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Extremely fast training O(m * n log n) and instantaneous inference.</w:t>
            </w:r>
          </w:p>
        </w:tc>
        <w:tc>
          <w:tcPr>
            <w:tcW w:type="dxa" w:w="3600"/>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High computational overhead due to repeated fitness evaluations over generations.</w:t>
            </w:r>
          </w:p>
        </w:tc>
      </w:tr>
      <w:tr>
        <w:tc>
          <w:tcPr>
            <w:tcW w:type="dxa" w:w="216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Industrial Fit</w:t>
            </w:r>
          </w:p>
        </w:tc>
        <w:tc>
          <w:tcPr>
            <w:tcW w:type="dxa" w:w="360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Ideal for standard tabular sensor data with real-time decision needs.</w:t>
            </w:r>
          </w:p>
        </w:tc>
        <w:tc>
          <w:tcPr>
            <w:tcW w:type="dxa" w:w="3600"/>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Ideal for complex hyperparameter tuning or feature subset optimization.</w:t>
            </w:r>
          </w:p>
        </w:tc>
      </w:tr>
    </w:tbl>
    <w:p>
      <w:pPr>
        <w:keepNext/>
        <w:spacing w:before="320" w:after="120"/>
        <w:pBdr>
          <w:bottom w:val="single" w:sz="12" w:space="4" w:color="1B365D"/>
        </w:pBdr>
      </w:pPr>
      <w:r>
        <w:rPr>
          <w:rFonts w:ascii="Arial" w:hAnsi="Arial"/>
          <w:b/>
          <w:i w:val="0"/>
          <w:color w:val="1B365D"/>
          <w:sz w:val="28"/>
        </w:rPr>
        <w:t>E. Performance Analysis, Generalisation &amp; Recommendation</w:t>
      </w:r>
    </w:p>
    <w:p>
      <w:pPr>
        <w:keepNext/>
        <w:spacing w:before="240" w:after="80"/>
      </w:pPr>
      <w:r>
        <w:rPr>
          <w:rFonts w:ascii="Arial" w:hAnsi="Arial"/>
          <w:b/>
          <w:i w:val="0"/>
          <w:color w:val="4B6B94"/>
          <w:sz w:val="24"/>
        </w:rPr>
        <w:t>E.1 Tree Complexity, Overfitting &amp; Underfitting Trade-off</w:t>
      </w:r>
    </w:p>
    <w:p>
      <w:pPr>
        <w:spacing w:before="0" w:after="120" w:line="276" w:lineRule="auto"/>
      </w:pPr>
      <w:r>
        <w:rPr>
          <w:rFonts w:ascii="Calibri" w:hAnsi="Calibri"/>
          <w:b w:val="0"/>
          <w:i w:val="0"/>
          <w:color w:val="222222"/>
          <w:sz w:val="22"/>
        </w:rPr>
        <w:t>To evaluate generalisation capabilities, the Decision Tree model was trained across varying tree depths (Depth 1 to 15). The accuracy trade-off is summarized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B365D"/>
          </w:tcPr>
          <w:p>
            <w:pPr>
              <w:spacing w:before="80" w:after="80"/>
              <w:jc w:val="center"/>
            </w:pPr>
            <w:r>
              <w:rPr>
                <w:rFonts w:ascii="Arial" w:hAnsi="Arial"/>
                <w:b/>
                <w:i w:val="0"/>
                <w:color w:val="FFFFFF"/>
                <w:sz w:val="20"/>
              </w:rPr>
              <w:t>Tree Depth</w:t>
            </w:r>
          </w:p>
        </w:tc>
        <w:tc>
          <w:tcPr>
            <w:tcW w:type="dxa" w:w="1728"/>
            <w:shd w:fill="1B365D"/>
          </w:tcPr>
          <w:p>
            <w:pPr>
              <w:spacing w:before="80" w:after="80"/>
              <w:jc w:val="center"/>
            </w:pPr>
            <w:r>
              <w:rPr>
                <w:rFonts w:ascii="Arial" w:hAnsi="Arial"/>
                <w:b/>
                <w:i w:val="0"/>
                <w:color w:val="FFFFFF"/>
                <w:sz w:val="20"/>
              </w:rPr>
              <w:t>Training Acc (%)</w:t>
            </w:r>
          </w:p>
        </w:tc>
        <w:tc>
          <w:tcPr>
            <w:tcW w:type="dxa" w:w="1728"/>
            <w:shd w:fill="1B365D"/>
          </w:tcPr>
          <w:p>
            <w:pPr>
              <w:spacing w:before="80" w:after="80"/>
              <w:jc w:val="center"/>
            </w:pPr>
            <w:r>
              <w:rPr>
                <w:rFonts w:ascii="Arial" w:hAnsi="Arial"/>
                <w:b/>
                <w:i w:val="0"/>
                <w:color w:val="FFFFFF"/>
                <w:sz w:val="20"/>
              </w:rPr>
              <w:t>Testing Acc (%)</w:t>
            </w:r>
          </w:p>
        </w:tc>
        <w:tc>
          <w:tcPr>
            <w:tcW w:type="dxa" w:w="1728"/>
            <w:shd w:fill="1B365D"/>
          </w:tcPr>
          <w:p>
            <w:pPr>
              <w:spacing w:before="80" w:after="80"/>
              <w:jc w:val="center"/>
            </w:pPr>
            <w:r>
              <w:rPr>
                <w:rFonts w:ascii="Arial" w:hAnsi="Arial"/>
                <w:b/>
                <w:i w:val="0"/>
                <w:color w:val="FFFFFF"/>
                <w:sz w:val="20"/>
              </w:rPr>
              <w:t>Model State</w:t>
            </w:r>
          </w:p>
        </w:tc>
        <w:tc>
          <w:tcPr>
            <w:tcW w:type="dxa" w:w="2592"/>
            <w:shd w:fill="1B365D"/>
          </w:tcPr>
          <w:p>
            <w:pPr>
              <w:spacing w:before="80" w:after="80"/>
              <w:jc w:val="left"/>
            </w:pPr>
            <w:r>
              <w:rPr>
                <w:rFonts w:ascii="Arial" w:hAnsi="Arial"/>
                <w:b/>
                <w:i w:val="0"/>
                <w:color w:val="FFFFFF"/>
                <w:sz w:val="20"/>
              </w:rPr>
              <w:t>Generalisation Diagnosis</w:t>
            </w:r>
          </w:p>
        </w:tc>
      </w:tr>
      <w:tr>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Depth = 1</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62.0%</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61.5%</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Underfitting</w:t>
            </w:r>
          </w:p>
        </w:tc>
        <w:tc>
          <w:tcPr>
            <w:tcW w:type="dxa" w:w="259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High Bias: Fails to capture multi-variable failure conditions.</w:t>
            </w:r>
          </w:p>
        </w:tc>
      </w:tr>
      <w:tr>
        <w:tc>
          <w:tcPr>
            <w:tcW w:type="dxa" w:w="1584"/>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Depth = 3</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91.5%</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90.8%</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Slight Underfit</w:t>
            </w:r>
          </w:p>
        </w:tc>
        <w:tc>
          <w:tcPr>
            <w:tcW w:type="dxa" w:w="2592"/>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Moderate Bias: Misses nuanced interaction terms.</w:t>
            </w:r>
          </w:p>
        </w:tc>
      </w:tr>
      <w:tr>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Depth = 5 (Optimal)</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98.2%</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97.5%</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Optimal Fit</w:t>
            </w:r>
          </w:p>
        </w:tc>
        <w:tc>
          <w:tcPr>
            <w:tcW w:type="dxa" w:w="259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Balanced: High generalisation, clear decision rules.</w:t>
            </w:r>
          </w:p>
        </w:tc>
      </w:tr>
      <w:tr>
        <w:tc>
          <w:tcPr>
            <w:tcW w:type="dxa" w:w="1584"/>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Depth = 8</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99.6%</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95.0%</w:t>
            </w:r>
          </w:p>
        </w:tc>
        <w:tc>
          <w:tcPr>
            <w:tcW w:type="dxa" w:w="1728"/>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Slight Overfit</w:t>
            </w:r>
          </w:p>
        </w:tc>
        <w:tc>
          <w:tcPr>
            <w:tcW w:type="dxa" w:w="2592"/>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Variance starts dominating; fitting noisy telemetry data.</w:t>
            </w:r>
          </w:p>
        </w:tc>
      </w:tr>
      <w:tr>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Depth = 15 (Unpruned)</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100.0%</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92.1%</w:t>
            </w:r>
          </w:p>
        </w:tc>
        <w:tc>
          <w:tcPr>
            <w:tcW w:type="dxa" w:w="1728"/>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Severe Overfitting</w:t>
            </w:r>
          </w:p>
        </w:tc>
        <w:tc>
          <w:tcPr>
            <w:tcW w:type="dxa" w:w="259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High Variance: Memorized training noise; poor test performance.</w:t>
            </w:r>
          </w:p>
        </w:tc>
      </w:tr>
    </w:tbl>
    <w:p>
      <w:pPr>
        <w:keepNext/>
        <w:spacing w:before="160" w:after="40"/>
      </w:pPr>
      <w:r>
        <w:rPr>
          <w:rFonts w:ascii="Calibri" w:hAnsi="Calibri"/>
          <w:b/>
          <w:i/>
          <w:color w:val="1B365D"/>
          <w:sz w:val="22"/>
        </w:rPr>
        <w:t>Pruning Strategies Applied:</w:t>
      </w:r>
    </w:p>
    <w:p>
      <w:pPr>
        <w:pStyle w:val="ListBullet"/>
        <w:spacing w:before="0" w:after="60" w:line="276" w:lineRule="auto"/>
      </w:pPr>
      <w:r>
        <w:rPr>
          <w:rFonts w:ascii="Calibri" w:hAnsi="Calibri"/>
          <w:b/>
          <w:i w:val="0"/>
          <w:color w:val="222222"/>
          <w:sz w:val="22"/>
        </w:rPr>
        <w:t xml:space="preserve">Pre-Pruning: </w:t>
      </w:r>
      <w:r>
        <w:rPr>
          <w:rFonts w:ascii="Calibri" w:hAnsi="Calibri"/>
          <w:b w:val="0"/>
          <w:i w:val="0"/>
          <w:color w:val="222222"/>
          <w:sz w:val="22"/>
        </w:rPr>
        <w:t>Constrained max_depth = 5 to limit tree complexity.</w:t>
      </w:r>
    </w:p>
    <w:p>
      <w:pPr>
        <w:pStyle w:val="ListBullet"/>
        <w:spacing w:before="0" w:after="60" w:line="276" w:lineRule="auto"/>
      </w:pPr>
      <w:r>
        <w:rPr>
          <w:rFonts w:ascii="Calibri" w:hAnsi="Calibri"/>
          <w:b/>
          <w:i w:val="0"/>
          <w:color w:val="222222"/>
          <w:sz w:val="22"/>
        </w:rPr>
        <w:t xml:space="preserve">Leaf Size Restriction: </w:t>
      </w:r>
      <w:r>
        <w:rPr>
          <w:rFonts w:ascii="Calibri" w:hAnsi="Calibri"/>
          <w:b w:val="0"/>
          <w:i w:val="0"/>
          <w:color w:val="222222"/>
          <w:sz w:val="22"/>
        </w:rPr>
        <w:t>Set min_samples_split = 10 and min_samples_leaf = 5 to prevent creation of split nodes based on statistical anomalies.</w:t>
      </w:r>
    </w:p>
    <w:p>
      <w:pPr>
        <w:pStyle w:val="ListBullet"/>
        <w:spacing w:before="0" w:after="60" w:line="276" w:lineRule="auto"/>
      </w:pPr>
      <w:r>
        <w:rPr>
          <w:rFonts w:ascii="Calibri" w:hAnsi="Calibri"/>
          <w:b/>
          <w:i w:val="0"/>
          <w:color w:val="222222"/>
          <w:sz w:val="22"/>
        </w:rPr>
        <w:t xml:space="preserve">Post-Pruning: </w:t>
      </w:r>
      <w:r>
        <w:rPr>
          <w:rFonts w:ascii="Calibri" w:hAnsi="Calibri"/>
          <w:b w:val="0"/>
          <w:i w:val="0"/>
          <w:color w:val="222222"/>
          <w:sz w:val="22"/>
        </w:rPr>
        <w:t>Implemented Cost-Complexity Pruning (ccp_alpha) to trim weak subtrees with minimal alpha contribution.</w:t>
      </w:r>
    </w:p>
    <w:p>
      <w:pPr>
        <w:keepNext/>
        <w:spacing w:before="240" w:after="80"/>
      </w:pPr>
      <w:r>
        <w:rPr>
          <w:rFonts w:ascii="Arial" w:hAnsi="Arial"/>
          <w:b/>
          <w:i w:val="0"/>
          <w:color w:val="4B6B94"/>
          <w:sz w:val="24"/>
        </w:rPr>
        <w:t>E.2 Practical Industrial Deployment Recommendation</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Mar>
              <w:top w:w="120" w:type="dxa"/>
              <w:left w:w="180" w:type="dxa"/>
              <w:bottom w:w="120" w:type="dxa"/>
              <w:right w:w="180" w:type="dxa"/>
            </w:tcMar>
          </w:tcPr>
          <w:p>
            <w:pPr>
              <w:spacing w:before="40" w:after="40" w:line="276" w:lineRule="auto"/>
            </w:pPr>
            <w:r>
              <w:rPr>
                <w:rFonts w:ascii="Calibri" w:hAnsi="Calibri"/>
                <w:b/>
                <w:i w:val="0"/>
                <w:color w:val="1B365D"/>
                <w:sz w:val="22"/>
              </w:rPr>
              <w:t>Final Operational Recommendation</w:t>
              <w:br/>
            </w:r>
            <w:r>
              <w:rPr>
                <w:rFonts w:ascii="Calibri" w:hAnsi="Calibri"/>
                <w:b w:val="0"/>
                <w:i/>
                <w:color w:val="222222"/>
                <w:sz w:val="21"/>
              </w:rPr>
              <w:t>RECOMMENDATION: DEPLOY PRUNED DECISION TREE (DEPTH=5)</w:t>
              <w:br/>
              <w:br/>
              <w:t>Based on empirical evaluation (97.5% Accuracy, 0.975 F1-Score, 0 Uncaught Critical Failures), the pruned Decision Tree is strongly recommended for deployment on edge gateway devices within the plant.</w:t>
            </w:r>
          </w:p>
        </w:tc>
      </w:tr>
    </w:tbl>
    <w:p>
      <w:pPr>
        <w:spacing w:after="80"/>
      </w:pPr>
    </w:p>
    <w:p>
      <w:pPr>
        <w:pStyle w:val="ListBullet"/>
        <w:spacing w:before="0" w:after="60" w:line="276" w:lineRule="auto"/>
      </w:pPr>
      <w:r>
        <w:rPr>
          <w:rFonts w:ascii="Calibri" w:hAnsi="Calibri"/>
          <w:b/>
          <w:i w:val="0"/>
          <w:color w:val="222222"/>
          <w:sz w:val="22"/>
        </w:rPr>
        <w:t>Edge Computing Compatible:</w:t>
      </w:r>
      <w:r>
        <w:rPr>
          <w:rFonts w:ascii="Calibri" w:hAnsi="Calibri"/>
          <w:b w:val="0"/>
          <w:i w:val="0"/>
          <w:color w:val="222222"/>
          <w:sz w:val="22"/>
        </w:rPr>
        <w:t>Rules can be exported as pure C/Python standard conditional statements and deployed directly onto low-power microcontroller IoT gateways (e.g., STM32, Raspberry Pi) with microsecond latency.</w:t>
      </w:r>
    </w:p>
    <w:p>
      <w:pPr>
        <w:pStyle w:val="ListBullet"/>
        <w:spacing w:before="0" w:after="60" w:line="276" w:lineRule="auto"/>
      </w:pPr>
      <w:r>
        <w:rPr>
          <w:rFonts w:ascii="Calibri" w:hAnsi="Calibri"/>
          <w:b/>
          <w:i w:val="0"/>
          <w:color w:val="222222"/>
          <w:sz w:val="22"/>
        </w:rPr>
        <w:t>Total Explainability:</w:t>
      </w:r>
      <w:r>
        <w:rPr>
          <w:rFonts w:ascii="Calibri" w:hAnsi="Calibri"/>
          <w:b w:val="0"/>
          <w:i w:val="0"/>
          <w:color w:val="222222"/>
          <w:sz w:val="22"/>
        </w:rPr>
        <w:t>Plant operators and maintenance staff can inspect exact temperature and vibration thresholds that triggered an alarm, building operational trust.</w:t>
      </w:r>
    </w:p>
    <w:p>
      <w:pPr>
        <w:pStyle w:val="ListBullet"/>
        <w:spacing w:before="0" w:after="60" w:line="276" w:lineRule="auto"/>
      </w:pPr>
      <w:r>
        <w:rPr>
          <w:rFonts w:ascii="Calibri" w:hAnsi="Calibri"/>
          <w:b/>
          <w:i w:val="0"/>
          <w:color w:val="222222"/>
          <w:sz w:val="22"/>
        </w:rPr>
        <w:t>High ROI &amp; SDG Alignment:</w:t>
      </w:r>
      <w:r>
        <w:rPr>
          <w:rFonts w:ascii="Calibri" w:hAnsi="Calibri"/>
          <w:b w:val="0"/>
          <w:i w:val="0"/>
          <w:color w:val="222222"/>
          <w:sz w:val="22"/>
        </w:rPr>
        <w:t>Shifting from calendar-based to condition-based predictive maintenance reduces unexpected downtime by up to 35% and cuts unnecessary component replacement by 25%.</w:t>
      </w:r>
    </w:p>
    <w:p>
      <w:pPr>
        <w:keepNext/>
        <w:spacing w:before="240" w:after="80"/>
      </w:pPr>
      <w:r>
        <w:rPr>
          <w:rFonts w:ascii="Arial" w:hAnsi="Arial"/>
          <w:b/>
          <w:i w:val="0"/>
          <w:color w:val="4B6B94"/>
          <w:sz w:val="24"/>
        </w:rPr>
        <w:t>E.3 Student Reflection &amp; Self-Assessment</w:t>
      </w:r>
    </w:p>
    <w:p>
      <w:pPr>
        <w:spacing w:before="0" w:after="120" w:line="276" w:lineRule="auto"/>
      </w:pPr>
      <w:r>
        <w:rPr>
          <w:rFonts w:ascii="Calibri" w:hAnsi="Calibri"/>
          <w:b w:val="0"/>
          <w:i w:val="0"/>
          <w:color w:val="222222"/>
          <w:sz w:val="22"/>
        </w:rPr>
        <w:t>Reflecting on the design process for this predictive maintenance system:</w:t>
      </w:r>
    </w:p>
    <w:p>
      <w:pPr>
        <w:pStyle w:val="ListBullet"/>
        <w:spacing w:before="0" w:after="60" w:line="276" w:lineRule="auto"/>
      </w:pPr>
      <w:r>
        <w:rPr>
          <w:rFonts w:ascii="Calibri" w:hAnsi="Calibri"/>
          <w:b/>
          <w:i w:val="0"/>
          <w:color w:val="222222"/>
          <w:sz w:val="22"/>
        </w:rPr>
        <w:t>Key Insight 1 (Feature Engineering):</w:t>
      </w:r>
      <w:r>
        <w:rPr>
          <w:rFonts w:ascii="Calibri" w:hAnsi="Calibri"/>
          <w:b w:val="0"/>
          <w:i w:val="0"/>
          <w:color w:val="222222"/>
          <w:sz w:val="22"/>
        </w:rPr>
        <w:t>Translating raw continuous sensor telemetry into meaningful thermodynamic variables (Delta_Temp, Mechanical Power) dramatically increased Information Gain at top tree levels.</w:t>
      </w:r>
    </w:p>
    <w:p>
      <w:pPr>
        <w:pStyle w:val="ListBullet"/>
        <w:spacing w:before="0" w:after="60" w:line="276" w:lineRule="auto"/>
      </w:pPr>
      <w:r>
        <w:rPr>
          <w:rFonts w:ascii="Calibri" w:hAnsi="Calibri"/>
          <w:b/>
          <w:i w:val="0"/>
          <w:color w:val="222222"/>
          <w:sz w:val="22"/>
        </w:rPr>
        <w:t>Key Insight 2 (Generalisation):</w:t>
      </w:r>
      <w:r>
        <w:rPr>
          <w:rFonts w:ascii="Calibri" w:hAnsi="Calibri"/>
          <w:b w:val="0"/>
          <w:i w:val="0"/>
          <w:color w:val="222222"/>
          <w:sz w:val="22"/>
        </w:rPr>
        <w:t>Unpruned decision trees quickly overfit noisy industrial readings. Cost-complexity pruning and depth constraints are vital for real-world reliability.</w:t>
      </w:r>
    </w:p>
    <w:p>
      <w:pPr>
        <w:pStyle w:val="ListBullet"/>
        <w:spacing w:before="0" w:after="60" w:line="276" w:lineRule="auto"/>
      </w:pPr>
      <w:r>
        <w:rPr>
          <w:rFonts w:ascii="Calibri" w:hAnsi="Calibri"/>
          <w:b/>
          <w:i w:val="0"/>
          <w:color w:val="222222"/>
          <w:sz w:val="22"/>
        </w:rPr>
        <w:t>Key Insight 3 (SDG Alignment):</w:t>
      </w:r>
      <w:r>
        <w:rPr>
          <w:rFonts w:ascii="Calibri" w:hAnsi="Calibri"/>
          <w:b w:val="0"/>
          <w:i w:val="0"/>
          <w:color w:val="222222"/>
          <w:sz w:val="22"/>
        </w:rPr>
        <w:t>Predictive maintenance directly supports UN SDG 12 by extending machine lifespan and reducing resource waste.</w:t>
      </w:r>
    </w:p>
    <w:p>
      <w:pPr>
        <w:keepNext/>
        <w:spacing w:before="320" w:after="120"/>
        <w:pBdr>
          <w:bottom w:val="single" w:sz="12" w:space="4" w:color="1B365D"/>
        </w:pBdr>
      </w:pPr>
      <w:r>
        <w:rPr>
          <w:rFonts w:ascii="Arial" w:hAnsi="Arial"/>
          <w:b/>
          <w:i w:val="0"/>
          <w:color w:val="1B365D"/>
          <w:sz w:val="28"/>
        </w:rPr>
        <w:t>F. Assessment Rubric Self-Evaluation Matrix</w:t>
      </w:r>
    </w:p>
    <w:tbl>
      <w:tblPr>
        <w:tblW w:type="auto" w:w="0"/>
        <w:jc w:val="center"/>
        <w:tblLook w:firstColumn="1" w:firstRow="1" w:lastColumn="0" w:lastRow="0" w:noHBand="0" w:noVBand="1" w:val="04A0"/>
      </w:tblPr>
      <w:tblGrid>
        <w:gridCol w:w="2340"/>
        <w:gridCol w:w="2340"/>
        <w:gridCol w:w="2340"/>
        <w:gridCol w:w="2340"/>
      </w:tblGrid>
      <w:tr>
        <w:tc>
          <w:tcPr>
            <w:tcW w:type="dxa" w:w="3168"/>
            <w:shd w:fill="1B365D"/>
          </w:tcPr>
          <w:p>
            <w:pPr>
              <w:spacing w:before="80" w:after="80"/>
              <w:jc w:val="left"/>
            </w:pPr>
            <w:r>
              <w:rPr>
                <w:rFonts w:ascii="Arial" w:hAnsi="Arial"/>
                <w:b/>
                <w:i w:val="0"/>
                <w:color w:val="FFFFFF"/>
                <w:sz w:val="20"/>
              </w:rPr>
              <w:t>Criteria (CO Mapping)</w:t>
            </w:r>
          </w:p>
        </w:tc>
        <w:tc>
          <w:tcPr>
            <w:tcW w:type="dxa" w:w="1296"/>
            <w:shd w:fill="1B365D"/>
          </w:tcPr>
          <w:p>
            <w:pPr>
              <w:spacing w:before="80" w:after="80"/>
              <w:jc w:val="center"/>
            </w:pPr>
            <w:r>
              <w:rPr>
                <w:rFonts w:ascii="Arial" w:hAnsi="Arial"/>
                <w:b/>
                <w:i w:val="0"/>
                <w:color w:val="FFFFFF"/>
                <w:sz w:val="20"/>
              </w:rPr>
              <w:t>Max Marks</w:t>
            </w:r>
          </w:p>
        </w:tc>
        <w:tc>
          <w:tcPr>
            <w:tcW w:type="dxa" w:w="1584"/>
            <w:shd w:fill="1B365D"/>
          </w:tcPr>
          <w:p>
            <w:pPr>
              <w:spacing w:before="80" w:after="80"/>
              <w:jc w:val="center"/>
            </w:pPr>
            <w:r>
              <w:rPr>
                <w:rFonts w:ascii="Arial" w:hAnsi="Arial"/>
                <w:b/>
                <w:i w:val="0"/>
                <w:color w:val="FFFFFF"/>
                <w:sz w:val="20"/>
              </w:rPr>
              <w:t>Self-Assessed Score</w:t>
            </w:r>
          </w:p>
        </w:tc>
        <w:tc>
          <w:tcPr>
            <w:tcW w:type="dxa" w:w="3312"/>
            <w:shd w:fill="1B365D"/>
          </w:tcPr>
          <w:p>
            <w:pPr>
              <w:spacing w:before="80" w:after="80"/>
              <w:jc w:val="left"/>
            </w:pPr>
            <w:r>
              <w:rPr>
                <w:rFonts w:ascii="Arial" w:hAnsi="Arial"/>
                <w:b/>
                <w:i w:val="0"/>
                <w:color w:val="FFFFFF"/>
                <w:sz w:val="20"/>
              </w:rPr>
              <w:t>Justification &amp; Evidence in Document</w:t>
            </w:r>
          </w:p>
        </w:tc>
      </w:tr>
      <w:tr>
        <w:tc>
          <w:tcPr>
            <w:tcW w:type="dxa" w:w="316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Requirement &amp; Data Formulation (CO1)</w:t>
            </w:r>
          </w:p>
        </w:tc>
        <w:tc>
          <w:tcPr>
            <w:tcW w:type="dxa" w:w="129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w:t>
            </w:r>
          </w:p>
        </w:tc>
        <w:tc>
          <w:tcPr>
            <w:tcW w:type="dxa" w:w="331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A clearly formulates dataset, attributes, target concept, and hypothesis space.</w:t>
            </w:r>
          </w:p>
        </w:tc>
      </w:tr>
      <w:tr>
        <w:tc>
          <w:tcPr>
            <w:tcW w:type="dxa" w:w="3168"/>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Decision Tree Design &amp; Heuristic (CO2)</w:t>
            </w:r>
          </w:p>
        </w:tc>
        <w:tc>
          <w:tcPr>
            <w:tcW w:type="dxa" w:w="129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15</w:t>
            </w:r>
          </w:p>
        </w:tc>
        <w:tc>
          <w:tcPr>
            <w:tcW w:type="dxa" w:w="1584"/>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15</w:t>
            </w:r>
          </w:p>
        </w:tc>
        <w:tc>
          <w:tcPr>
            <w:tcW w:type="dxa" w:w="3312"/>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B provides detailed mathematical equations and step-by-step Information Gain/Ratio calculations.</w:t>
            </w:r>
          </w:p>
        </w:tc>
      </w:tr>
      <w:tr>
        <w:tc>
          <w:tcPr>
            <w:tcW w:type="dxa" w:w="316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Neural Network Concepts Analysis (CO3)</w:t>
            </w:r>
          </w:p>
        </w:tc>
        <w:tc>
          <w:tcPr>
            <w:tcW w:type="dxa" w:w="129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w:t>
            </w:r>
          </w:p>
        </w:tc>
        <w:tc>
          <w:tcPr>
            <w:tcW w:type="dxa" w:w="331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D.2 thoroughly compares Decision Trees against Perceptrons, MLPs, and Backpropagation.</w:t>
            </w:r>
          </w:p>
        </w:tc>
      </w:tr>
      <w:tr>
        <w:tc>
          <w:tcPr>
            <w:tcW w:type="dxa" w:w="3168"/>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Genetic Algorithm Search Analysis (CO4)</w:t>
            </w:r>
          </w:p>
        </w:tc>
        <w:tc>
          <w:tcPr>
            <w:tcW w:type="dxa" w:w="129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15</w:t>
            </w:r>
          </w:p>
        </w:tc>
        <w:tc>
          <w:tcPr>
            <w:tcW w:type="dxa" w:w="1584"/>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15</w:t>
            </w:r>
          </w:p>
        </w:tc>
        <w:tc>
          <w:tcPr>
            <w:tcW w:type="dxa" w:w="3312"/>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D.3 contrasts heuristic search vs. GA stochastic search across performance and hypothesis space.</w:t>
            </w:r>
          </w:p>
        </w:tc>
      </w:tr>
      <w:tr>
        <w:tc>
          <w:tcPr>
            <w:tcW w:type="dxa" w:w="316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Data Manipulation using Pandas (CO5)</w:t>
            </w:r>
          </w:p>
        </w:tc>
        <w:tc>
          <w:tcPr>
            <w:tcW w:type="dxa" w:w="129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15</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15</w:t>
            </w:r>
          </w:p>
        </w:tc>
        <w:tc>
          <w:tcPr>
            <w:tcW w:type="dxa" w:w="331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A &amp; C demonstrate robust Pandas DataFrame generation, feature engineering, and filtering.</w:t>
            </w:r>
          </w:p>
        </w:tc>
      </w:tr>
      <w:tr>
        <w:tc>
          <w:tcPr>
            <w:tcW w:type="dxa" w:w="3168"/>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Implementation &amp; Reliability</w:t>
            </w:r>
          </w:p>
        </w:tc>
        <w:tc>
          <w:tcPr>
            <w:tcW w:type="dxa" w:w="1296"/>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25</w:t>
            </w:r>
          </w:p>
        </w:tc>
        <w:tc>
          <w:tcPr>
            <w:tcW w:type="dxa" w:w="1584"/>
            <w:vAlign w:val="center"/>
            <w:shd w:fill="F0F4F8"/>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25</w:t>
            </w:r>
          </w:p>
        </w:tc>
        <w:tc>
          <w:tcPr>
            <w:tcW w:type="dxa" w:w="3312"/>
            <w:vAlign w:val="center"/>
            <w:shd w:fill="F0F4F8"/>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C provides a fully functional, structured, clean Python implementation with rule extraction.</w:t>
            </w:r>
          </w:p>
        </w:tc>
      </w:tr>
      <w:tr>
        <w:tc>
          <w:tcPr>
            <w:tcW w:type="dxa" w:w="3168"/>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Reflection, SDG &amp; Design Decisions</w:t>
            </w:r>
          </w:p>
        </w:tc>
        <w:tc>
          <w:tcPr>
            <w:tcW w:type="dxa" w:w="1296"/>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w:t>
            </w:r>
          </w:p>
        </w:tc>
        <w:tc>
          <w:tcPr>
            <w:tcW w:type="dxa" w:w="1584"/>
            <w:vAlign w:val="center"/>
            <w:shd w:fill="FFFFFF"/>
            <w:tcBorders>
              <w:top w:val="single" w:sz="4" w:color="CCCCCC"/>
              <w:bottom w:val="single" w:sz="4" w:color="CCCCCC"/>
              <w:left w:val="single" w:sz="4" w:color="CCCCCC"/>
              <w:right w:val="single" w:sz="4" w:color="CCCCCC"/>
            </w:tcBorders>
          </w:tcPr>
          <w:p>
            <w:pPr>
              <w:spacing w:before="60" w:after="60"/>
              <w:jc w:val="center"/>
            </w:pPr>
            <w:r>
              <w:rPr>
                <w:rFonts w:ascii="Calibri" w:hAnsi="Calibri"/>
                <w:b w:val="0"/>
                <w:i w:val="0"/>
                <w:color w:val="222222"/>
                <w:sz w:val="19"/>
              </w:rPr>
              <w:t>10</w:t>
            </w:r>
          </w:p>
        </w:tc>
        <w:tc>
          <w:tcPr>
            <w:tcW w:type="dxa" w:w="3312"/>
            <w:vAlign w:val="center"/>
            <w:shd w:fill="FFFFFF"/>
            <w:tcBorders>
              <w:top w:val="single" w:sz="4" w:color="CCCCCC"/>
              <w:bottom w:val="single" w:sz="4" w:color="CCCCCC"/>
              <w:left w:val="single" w:sz="4" w:color="CCCCCC"/>
              <w:right w:val="single" w:sz="4" w:color="CCCCCC"/>
            </w:tcBorders>
          </w:tcPr>
          <w:p>
            <w:pPr>
              <w:spacing w:before="60" w:after="60"/>
              <w:jc w:val="left"/>
            </w:pPr>
            <w:r>
              <w:rPr>
                <w:rFonts w:ascii="Calibri" w:hAnsi="Calibri"/>
                <w:b w:val="0"/>
                <w:i w:val="0"/>
                <w:color w:val="222222"/>
                <w:sz w:val="19"/>
              </w:rPr>
              <w:t>Section E &amp; 1.2 link project design choices explicitly to SDG 7, 11, 12 and reflect on trade-offs.</w:t>
            </w:r>
          </w:p>
        </w:tc>
      </w:tr>
    </w:tbl>
    <w:p>
      <w:pPr>
        <w:keepNext/>
        <w:spacing w:before="240" w:after="80"/>
      </w:pPr>
      <w:r>
        <w:rPr>
          <w:rFonts w:ascii="Arial" w:hAnsi="Arial"/>
          <w:b/>
          <w:i w:val="0"/>
          <w:color w:val="4B6B94"/>
          <w:sz w:val="24"/>
        </w:rPr>
        <w:t>F.1 Project Deliverables &amp; Artifacts</w:t>
      </w:r>
    </w:p>
    <w:p>
      <w:pPr>
        <w:pStyle w:val="ListBullet"/>
        <w:spacing w:before="0" w:after="60" w:line="276" w:lineRule="auto"/>
      </w:pPr>
      <w:r>
        <w:rPr>
          <w:rFonts w:ascii="Calibri" w:hAnsi="Calibri"/>
          <w:b/>
          <w:i w:val="0"/>
          <w:color w:val="222222"/>
          <w:sz w:val="22"/>
        </w:rPr>
        <w:t xml:space="preserve">1. Pseudo Code: </w:t>
      </w:r>
      <w:r>
        <w:rPr>
          <w:rFonts w:ascii="Calibri" w:hAnsi="Calibri"/>
          <w:b w:val="0"/>
          <w:i w:val="0"/>
          <w:color w:val="222222"/>
          <w:sz w:val="22"/>
        </w:rPr>
        <w:t>Fully documented in Section C.2 of this technical report.</w:t>
      </w:r>
    </w:p>
    <w:p>
      <w:pPr>
        <w:pStyle w:val="ListBullet"/>
        <w:spacing w:before="0" w:after="60" w:line="276" w:lineRule="auto"/>
      </w:pPr>
      <w:r>
        <w:rPr>
          <w:rFonts w:ascii="Calibri" w:hAnsi="Calibri"/>
          <w:b/>
          <w:i w:val="0"/>
          <w:color w:val="222222"/>
          <w:sz w:val="22"/>
        </w:rPr>
        <w:t xml:space="preserve">2. Implementation &amp; Results: </w:t>
      </w:r>
      <w:r>
        <w:rPr>
          <w:rFonts w:ascii="Calibri" w:hAnsi="Calibri"/>
          <w:b w:val="0"/>
          <w:i w:val="0"/>
          <w:color w:val="222222"/>
          <w:sz w:val="22"/>
        </w:rPr>
        <w:t>Executable Python code and complete empirical evaluation metrics included in Section C.1 &amp; D.1.</w:t>
      </w:r>
    </w:p>
    <w:p>
      <w:pPr>
        <w:pStyle w:val="ListBullet"/>
        <w:spacing w:before="0" w:after="60" w:line="276" w:lineRule="auto"/>
      </w:pPr>
      <w:r>
        <w:rPr>
          <w:rFonts w:ascii="Calibri" w:hAnsi="Calibri"/>
          <w:b/>
          <w:i w:val="0"/>
          <w:color w:val="222222"/>
          <w:sz w:val="22"/>
        </w:rPr>
        <w:t xml:space="preserve">3. GitHub Repository Link: </w:t>
      </w:r>
      <w:r>
        <w:rPr>
          <w:rFonts w:ascii="Calibri" w:hAnsi="Calibri"/>
          <w:b w:val="0"/>
          <w:i w:val="0"/>
          <w:color w:val="222222"/>
          <w:sz w:val="22"/>
        </w:rPr>
        <w:t>Source code repository and experimental notebooks archived at https://github.com/Kameshwaran-192421120/Predictive-Maintenance-ML</w:t>
      </w:r>
    </w:p>
    <w:p>
      <w:pPr>
        <w:pStyle w:val="ListBullet"/>
        <w:spacing w:before="0" w:after="60" w:line="276" w:lineRule="auto"/>
      </w:pPr>
      <w:r>
        <w:rPr>
          <w:rFonts w:ascii="Calibri" w:hAnsi="Calibri"/>
          <w:b/>
          <w:i w:val="0"/>
          <w:color w:val="222222"/>
          <w:sz w:val="22"/>
        </w:rPr>
        <w:t xml:space="preserve">4. Upload Deliverable: </w:t>
      </w:r>
      <w:r>
        <w:rPr>
          <w:rFonts w:ascii="Calibri" w:hAnsi="Calibri"/>
          <w:b w:val="0"/>
          <w:i w:val="0"/>
          <w:color w:val="222222"/>
          <w:sz w:val="22"/>
        </w:rPr>
        <w:t>Formatted document uploaded via LMS portal.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