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sz w:val="32"/>
          <w:szCs w:val="40"/>
          <w:highlight w:val="none"/>
        </w:rPr>
      </w:pPr>
      <w:r>
        <w:rPr>
          <w:rFonts w:hint="default" w:ascii="Arial" w:hAnsi="Arial" w:cs="Arial"/>
          <w:sz w:val="32"/>
          <w:szCs w:val="40"/>
          <w:highlight w:val="none"/>
        </w:rPr>
        <w:t>OS202 Rapport de Projet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cs="Arial"/>
          <w:b/>
          <w:bCs/>
          <w:highlight w:val="none"/>
        </w:rPr>
      </w:pPr>
      <w:r>
        <w:rPr>
          <w:rFonts w:hint="default" w:ascii="Arial" w:hAnsi="Arial" w:cs="Arial"/>
          <w:b/>
          <w:bCs/>
          <w:highlight w:val="none"/>
        </w:rPr>
        <w:t>Séparation Interface-graphique et Calcul</w:t>
      </w:r>
    </w:p>
    <w:p>
      <w:pPr>
        <w:jc w:val="left"/>
        <w:rPr>
          <w:rFonts w:hint="default" w:ascii="Arial" w:hAnsi="Arial" w:cs="Arial"/>
          <w:highlight w:val="none"/>
        </w:rPr>
      </w:pPr>
    </w:p>
    <w:p>
      <w:pPr>
        <w:ind w:firstLine="420" w:firstLineChars="0"/>
        <w:jc w:val="left"/>
        <w:rPr>
          <w:rFonts w:hint="default" w:ascii="Arial" w:hAnsi="Arial" w:cs="Arial"/>
          <w:sz w:val="20"/>
          <w:szCs w:val="22"/>
          <w:highlight w:val="none"/>
        </w:rPr>
      </w:pPr>
      <w:r>
        <w:rPr>
          <w:rFonts w:hint="default" w:ascii="Arial" w:hAnsi="Arial" w:cs="Arial"/>
          <w:sz w:val="20"/>
          <w:szCs w:val="22"/>
          <w:highlight w:val="none"/>
        </w:rPr>
        <w:t>Pour séparer l’affichage de calculs, j’ai utilisé 2 processus, P[0] pour l’affichage et P[1] pour les calculs.</w:t>
      </w:r>
    </w:p>
    <w:p>
      <w:pPr>
        <w:ind w:firstLine="420" w:firstLineChars="0"/>
        <w:jc w:val="left"/>
        <w:rPr>
          <w:rFonts w:hint="default" w:ascii="Arial" w:hAnsi="Arial" w:cs="Arial"/>
          <w:sz w:val="20"/>
          <w:szCs w:val="22"/>
          <w:highlight w:val="lightGray"/>
        </w:rPr>
      </w:pPr>
      <w:r>
        <w:rPr>
          <w:rFonts w:hint="default" w:ascii="Arial" w:hAnsi="Arial" w:cs="Arial"/>
          <w:sz w:val="20"/>
          <w:szCs w:val="22"/>
          <w:highlight w:val="lightGray"/>
        </w:rPr>
        <w:t>#define  P_AFFICHAGE  0</w:t>
      </w:r>
    </w:p>
    <w:p>
      <w:pPr>
        <w:ind w:firstLine="420" w:firstLineChars="0"/>
        <w:jc w:val="left"/>
        <w:rPr>
          <w:rFonts w:hint="default" w:ascii="Arial" w:hAnsi="Arial" w:cs="Arial"/>
          <w:sz w:val="20"/>
          <w:szCs w:val="22"/>
          <w:highlight w:val="lightGray"/>
        </w:rPr>
      </w:pPr>
      <w:r>
        <w:rPr>
          <w:rFonts w:hint="default" w:ascii="Arial" w:hAnsi="Arial" w:cs="Arial"/>
          <w:sz w:val="20"/>
          <w:szCs w:val="22"/>
          <w:highlight w:val="lightGray"/>
        </w:rPr>
        <w:t>#define  P_CALCUL  1</w:t>
      </w:r>
    </w:p>
    <w:p>
      <w:pPr>
        <w:ind w:firstLine="420" w:firstLineChars="0"/>
        <w:jc w:val="left"/>
        <w:rPr>
          <w:rFonts w:hint="default" w:ascii="Arial" w:hAnsi="Arial" w:cs="Arial"/>
          <w:sz w:val="20"/>
          <w:szCs w:val="22"/>
          <w:highlight w:val="none"/>
        </w:rPr>
      </w:pPr>
      <w:r>
        <w:rPr>
          <w:rFonts w:hint="default" w:ascii="Arial" w:hAnsi="Arial" w:cs="Arial"/>
          <w:sz w:val="20"/>
          <w:szCs w:val="22"/>
          <w:highlight w:val="none"/>
        </w:rPr>
        <w:t>P[0] s’occupe de l’affichage et la gestion des évènements. C’est-à-dire que, en plus des anciennes actions, à chaque itération de boucle de myScreen, P[0] doit:</w:t>
      </w:r>
    </w:p>
    <w:p>
      <w:pPr>
        <w:numPr>
          <w:ilvl w:val="0"/>
          <w:numId w:val="2"/>
        </w:numPr>
        <w:ind w:left="840" w:leftChars="0" w:hanging="420" w:firstLineChars="0"/>
        <w:jc w:val="left"/>
        <w:rPr>
          <w:rFonts w:hint="default" w:ascii="Arial" w:hAnsi="Arial" w:cs="Arial"/>
          <w:sz w:val="20"/>
          <w:szCs w:val="22"/>
          <w:highlight w:val="none"/>
        </w:rPr>
      </w:pPr>
      <w:r>
        <w:rPr>
          <w:rFonts w:hint="default" w:ascii="Arial" w:hAnsi="Arial" w:cs="Arial"/>
          <w:sz w:val="20"/>
          <w:szCs w:val="22"/>
          <w:highlight w:val="none"/>
        </w:rPr>
        <w:t>s’il y a un évènement de Closed, envoyer un signal à P[1], et fermer myScreen.</w:t>
      </w:r>
    </w:p>
    <w:p>
      <w:pPr>
        <w:numPr>
          <w:ilvl w:val="0"/>
          <w:numId w:val="2"/>
        </w:numPr>
        <w:ind w:left="840" w:leftChars="0" w:hanging="420" w:firstLineChars="0"/>
        <w:jc w:val="left"/>
        <w:rPr>
          <w:rFonts w:hint="default" w:ascii="Arial" w:hAnsi="Arial" w:cs="Arial"/>
          <w:sz w:val="20"/>
          <w:szCs w:val="22"/>
          <w:highlight w:val="none"/>
        </w:rPr>
      </w:pPr>
      <w:r>
        <w:rPr>
          <w:rFonts w:hint="default" w:ascii="Arial" w:hAnsi="Arial" w:cs="Arial"/>
          <w:sz w:val="20"/>
          <w:szCs w:val="22"/>
          <w:highlight w:val="none"/>
        </w:rPr>
        <w:t>s’il y a un évènement de KeyBoard::Upou KeyBoard::down, envoyer un signal à P[1], et modifier chez lui dt.</w:t>
      </w:r>
    </w:p>
    <w:p>
      <w:pPr>
        <w:numPr>
          <w:ilvl w:val="0"/>
          <w:numId w:val="2"/>
        </w:numPr>
        <w:ind w:left="840" w:leftChars="0" w:hanging="420" w:firstLineChars="0"/>
        <w:jc w:val="left"/>
        <w:rPr>
          <w:rFonts w:hint="default" w:ascii="Arial" w:hAnsi="Arial" w:cs="Arial"/>
          <w:sz w:val="20"/>
          <w:szCs w:val="22"/>
          <w:highlight w:val="none"/>
        </w:rPr>
      </w:pPr>
      <w:r>
        <w:rPr>
          <w:rFonts w:hint="default" w:ascii="Arial" w:hAnsi="Arial" w:cs="Arial"/>
          <w:sz w:val="20"/>
          <w:szCs w:val="22"/>
          <w:highlight w:val="none"/>
        </w:rPr>
        <w:t>envoyer un signal contenant la valeur de isMobile à P[1].</w:t>
      </w:r>
    </w:p>
    <w:p>
      <w:pPr>
        <w:numPr>
          <w:ilvl w:val="0"/>
          <w:numId w:val="2"/>
        </w:numPr>
        <w:ind w:left="840" w:leftChars="0" w:hanging="420" w:firstLineChars="0"/>
        <w:jc w:val="left"/>
        <w:rPr>
          <w:rFonts w:hint="default" w:ascii="Arial" w:hAnsi="Arial" w:cs="Arial"/>
          <w:sz w:val="20"/>
          <w:szCs w:val="22"/>
          <w:highlight w:val="none"/>
        </w:rPr>
      </w:pPr>
      <w:r>
        <w:rPr>
          <w:rFonts w:hint="default" w:ascii="Arial" w:hAnsi="Arial" w:cs="Arial"/>
          <w:sz w:val="20"/>
          <w:szCs w:val="22"/>
          <w:highlight w:val="none"/>
        </w:rPr>
        <w:t>recevoir les données de cloud (et vortices) depuis P[1] lorsque isMobile=0 (=1), et renouveler les données chez lui.</w:t>
      </w:r>
    </w:p>
    <w:p>
      <w:pPr>
        <w:ind w:firstLine="420" w:firstLineChars="0"/>
        <w:jc w:val="left"/>
        <w:rPr>
          <w:rFonts w:hint="default" w:ascii="Arial" w:hAnsi="Arial" w:cs="Arial"/>
          <w:sz w:val="20"/>
          <w:szCs w:val="22"/>
          <w:highlight w:val="none"/>
          <w:lang w:val="fr-CA"/>
        </w:rPr>
      </w:pPr>
      <w:r>
        <w:rPr>
          <w:rFonts w:hint="default" w:ascii="Arial" w:hAnsi="Arial" w:cs="Arial"/>
          <w:sz w:val="20"/>
          <w:szCs w:val="22"/>
          <w:highlight w:val="none"/>
        </w:rPr>
        <w:t>Différentes valeurs ont été définies pour des signaux différents (Closed, Up, Down, isMobile). Et les fonctions MPI_Send(), MPI_Recv() sont utilisé pour envoyer/recevoir les signaux et les données.</w:t>
      </w:r>
      <w:r>
        <w:rPr>
          <w:rFonts w:hint="default" w:ascii="Arial" w:hAnsi="Arial" w:cs="Arial"/>
          <w:sz w:val="20"/>
          <w:szCs w:val="22"/>
          <w:highlight w:val="none"/>
        </w:rPr>
        <w:br w:type="textWrapping"/>
      </w:r>
      <w:r>
        <w:rPr>
          <w:rFonts w:hint="default" w:ascii="Arial" w:hAnsi="Arial" w:cs="Arial"/>
          <w:sz w:val="20"/>
          <w:szCs w:val="22"/>
          <w:highlight w:val="none"/>
          <w:lang w:val="fr-CA"/>
        </w:rPr>
        <w:tab/>
      </w:r>
    </w:p>
    <w:p>
      <w:pPr>
        <w:ind w:firstLine="420" w:firstLineChars="0"/>
        <w:jc w:val="left"/>
        <w:rPr>
          <w:rFonts w:hint="default" w:ascii="Arial" w:hAnsi="Arial" w:cs="Arial"/>
          <w:sz w:val="20"/>
          <w:szCs w:val="22"/>
          <w:highlight w:val="none"/>
        </w:rPr>
      </w:pPr>
      <w:r>
        <w:rPr>
          <w:rFonts w:hint="default" w:ascii="Arial" w:hAnsi="Arial" w:cs="Arial"/>
          <w:sz w:val="20"/>
          <w:szCs w:val="22"/>
          <w:highlight w:val="none"/>
        </w:rPr>
        <w:t>Le processus de calcul P[1] doit:</w:t>
      </w:r>
    </w:p>
    <w:p>
      <w:pPr>
        <w:numPr>
          <w:ilvl w:val="0"/>
          <w:numId w:val="2"/>
        </w:numPr>
        <w:ind w:left="840" w:leftChars="0" w:hanging="420" w:firstLineChars="0"/>
        <w:jc w:val="left"/>
        <w:rPr>
          <w:rFonts w:hint="default" w:ascii="Arial" w:hAnsi="Arial" w:cs="Arial"/>
          <w:sz w:val="20"/>
          <w:szCs w:val="22"/>
          <w:highlight w:val="none"/>
        </w:rPr>
      </w:pPr>
      <w:r>
        <w:rPr>
          <w:rFonts w:hint="default" w:ascii="Arial" w:hAnsi="Arial" w:cs="Arial"/>
          <w:sz w:val="20"/>
          <w:szCs w:val="22"/>
          <w:highlight w:val="none"/>
        </w:rPr>
        <w:t>attendre les signaux envoyés par P[0] et faire des opérations selon la valeur du signal. (Closed: sortir du boucle; Up: dt*=2; Down: dt/=2; isMobile=0/1: utiliser différents function pour les calculs).</w:t>
      </w:r>
    </w:p>
    <w:p>
      <w:pPr>
        <w:numPr>
          <w:ilvl w:val="0"/>
          <w:numId w:val="2"/>
        </w:numPr>
        <w:ind w:left="840" w:leftChars="0" w:hanging="420" w:firstLineChars="0"/>
        <w:jc w:val="left"/>
        <w:rPr>
          <w:rFonts w:hint="default" w:ascii="Arial" w:hAnsi="Arial" w:cs="Arial"/>
          <w:sz w:val="20"/>
          <w:szCs w:val="22"/>
          <w:highlight w:val="none"/>
        </w:rPr>
      </w:pPr>
      <w:r>
        <w:rPr>
          <w:rFonts w:hint="default" w:ascii="Arial" w:hAnsi="Arial" w:cs="Arial"/>
          <w:sz w:val="20"/>
          <w:szCs w:val="22"/>
          <w:highlight w:val="none"/>
        </w:rPr>
        <w:t>À chaque itération, si P[1] a fait des calculs, P[1] envoie les données vers P[0].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Arial" w:hAnsi="Arial" w:cs="Arial"/>
          <w:sz w:val="20"/>
          <w:szCs w:val="22"/>
          <w:highlight w:val="none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cs="Arial"/>
          <w:b/>
          <w:bCs/>
          <w:highlight w:val="none"/>
        </w:rPr>
      </w:pPr>
      <w:r>
        <w:rPr>
          <w:rFonts w:hint="default" w:ascii="Arial" w:hAnsi="Arial" w:cs="Arial"/>
          <w:b/>
          <w:bCs/>
          <w:highlight w:val="none"/>
        </w:rPr>
        <w:t>Parallélisation en mémoire partagé</w:t>
      </w:r>
    </w:p>
    <w:p>
      <w:pPr>
        <w:ind w:firstLine="420" w:firstLineChars="0"/>
        <w:rPr>
          <w:rFonts w:hint="default" w:ascii="Arial" w:hAnsi="Arial" w:cs="Arial"/>
          <w:sz w:val="20"/>
          <w:szCs w:val="20"/>
          <w:highlight w:val="none"/>
        </w:rPr>
      </w:pPr>
      <w:r>
        <w:rPr>
          <w:rFonts w:hint="default" w:ascii="Arial" w:hAnsi="Arial" w:cs="Arial"/>
          <w:sz w:val="20"/>
          <w:szCs w:val="20"/>
          <w:highlight w:val="none"/>
        </w:rPr>
        <w:t xml:space="preserve">Pour les vortex immobiles, il faut juste modifier dans runge_kunta.cpp les fonctions de calculs solve_RK4_fixed_vortices et solve_RK4_movable_vortices pour des vortex fixes ou mobiles respectivement. </w:t>
      </w:r>
    </w:p>
    <w:p>
      <w:pPr>
        <w:ind w:firstLine="420" w:firstLineChars="0"/>
        <w:rPr>
          <w:rFonts w:hint="default" w:ascii="Arial" w:hAnsi="Arial" w:cs="Arial"/>
          <w:sz w:val="20"/>
          <w:szCs w:val="20"/>
          <w:highlight w:val="none"/>
          <w:lang w:val="fr-CA"/>
        </w:rPr>
      </w:pPr>
      <w:r>
        <w:rPr>
          <w:rFonts w:hint="default" w:ascii="Arial" w:hAnsi="Arial" w:cs="Arial"/>
          <w:sz w:val="20"/>
          <w:szCs w:val="20"/>
          <w:highlight w:val="none"/>
        </w:rPr>
        <w:t>Dans solve_RK4_fixed_vortices, la boucle de calcul des points de cloud</w:t>
      </w:r>
      <w:r>
        <w:rPr>
          <w:rFonts w:hint="default" w:ascii="Arial" w:hAnsi="Arial" w:cs="Arial"/>
          <w:sz w:val="20"/>
          <w:szCs w:val="20"/>
          <w:highlight w:val="none"/>
          <w:lang w:val="fr-CA"/>
        </w:rPr>
        <w:t>:</w:t>
      </w:r>
    </w:p>
    <w:p>
      <w:pPr>
        <w:ind w:firstLine="420" w:firstLineChars="0"/>
        <w:jc w:val="left"/>
        <w:rPr>
          <w:rFonts w:hint="default" w:ascii="Arial" w:hAnsi="Arial" w:cs="Arial"/>
          <w:sz w:val="20"/>
          <w:szCs w:val="20"/>
          <w:highlight w:val="none"/>
          <w:lang w:val="fr-CA"/>
        </w:rPr>
      </w:pPr>
      <w:r>
        <w:drawing>
          <wp:inline distT="0" distB="0" distL="114300" distR="114300">
            <wp:extent cx="4886960" cy="2364740"/>
            <wp:effectExtent l="0" t="0" r="254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6960" cy="236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sz w:val="20"/>
          <w:szCs w:val="20"/>
          <w:highlight w:val="none"/>
        </w:rPr>
        <w:br w:type="textWrapping"/>
      </w:r>
      <w:r>
        <w:rPr>
          <w:rFonts w:hint="default" w:ascii="Arial" w:hAnsi="Arial" w:cs="Arial"/>
          <w:sz w:val="20"/>
          <w:szCs w:val="20"/>
          <w:highlight w:val="none"/>
          <w:lang w:val="fr-CA"/>
        </w:rPr>
        <w:tab/>
      </w:r>
      <w:r>
        <w:rPr>
          <w:rFonts w:hint="default" w:ascii="Arial" w:hAnsi="Arial" w:cs="Arial"/>
          <w:sz w:val="20"/>
          <w:szCs w:val="20"/>
          <w:highlight w:val="none"/>
        </w:rPr>
        <w:t xml:space="preserve">Dans solve_RK4_fixed_vortices, </w:t>
      </w:r>
      <w:r>
        <w:rPr>
          <w:rFonts w:hint="default" w:ascii="Arial" w:hAnsi="Arial" w:cs="Arial"/>
          <w:sz w:val="20"/>
          <w:szCs w:val="20"/>
          <w:highlight w:val="none"/>
          <w:lang w:val="fr-CA"/>
        </w:rPr>
        <w:t>l</w:t>
      </w:r>
      <w:r>
        <w:rPr>
          <w:rFonts w:hint="default" w:ascii="Arial" w:hAnsi="Arial" w:cs="Arial"/>
          <w:sz w:val="20"/>
          <w:szCs w:val="20"/>
          <w:highlight w:val="none"/>
        </w:rPr>
        <w:t xml:space="preserve">a boucle de calcul des points de cloud et celle de des vitesses de points </w:t>
      </w:r>
      <w:r>
        <w:rPr>
          <w:rFonts w:hint="default" w:ascii="Arial" w:hAnsi="Arial" w:cs="Arial"/>
          <w:sz w:val="20"/>
          <w:szCs w:val="20"/>
          <w:highlight w:val="none"/>
          <w:lang w:val="fr-CA"/>
        </w:rPr>
        <w:t>sont parallélisés. (Le nombre de vortex est petit donc la parallélisation de leur calculs n’est pas très intéressant.)</w:t>
      </w:r>
    </w:p>
    <w:p>
      <w:pPr>
        <w:ind w:firstLine="420" w:firstLineChars="0"/>
        <w:jc w:val="left"/>
        <w:rPr>
          <w:rFonts w:hint="default" w:ascii="Arial" w:hAnsi="Arial" w:cs="Arial"/>
          <w:sz w:val="20"/>
          <w:szCs w:val="20"/>
          <w:highlight w:val="none"/>
        </w:rPr>
      </w:pPr>
      <w:r>
        <w:drawing>
          <wp:inline distT="0" distB="0" distL="114300" distR="114300">
            <wp:extent cx="5269865" cy="3297555"/>
            <wp:effectExtent l="0" t="0" r="63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9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sz w:val="20"/>
          <w:szCs w:val="20"/>
          <w:highlight w:val="none"/>
        </w:rPr>
        <w:br w:type="textWrapping"/>
      </w:r>
    </w:p>
    <w:p>
      <w:pPr>
        <w:ind w:firstLine="420" w:firstLineChars="0"/>
        <w:rPr>
          <w:rFonts w:hint="default" w:ascii="Arial" w:hAnsi="Arial" w:cs="Arial" w:eastAsiaTheme="minorEastAsia"/>
          <w:sz w:val="20"/>
          <w:szCs w:val="20"/>
          <w:highlight w:val="none"/>
          <w:lang w:val="fr-CA" w:eastAsia="zh-CN"/>
        </w:rPr>
      </w:pPr>
      <w:r>
        <w:rPr>
          <w:rFonts w:hint="default" w:ascii="Arial" w:hAnsi="Arial" w:cs="Arial"/>
          <w:sz w:val="20"/>
          <w:szCs w:val="20"/>
          <w:highlight w:val="none"/>
        </w:rPr>
        <w:t>Pour mesurer la performance, on utilise le FPS. On mesure le moyen de FPS pour 100 cycle de calcul (qui commence dès qu’on presse sur ‘P’).</w:t>
      </w:r>
      <w:r>
        <w:rPr>
          <w:rFonts w:hint="default" w:ascii="Arial" w:hAnsi="Arial" w:cs="Arial"/>
          <w:sz w:val="20"/>
          <w:szCs w:val="20"/>
          <w:highlight w:val="none"/>
        </w:rPr>
        <w:br w:type="textWrapping"/>
      </w:r>
      <w:r>
        <w:rPr>
          <w:rFonts w:hint="default" w:ascii="Arial" w:hAnsi="Arial" w:cs="Arial"/>
          <w:sz w:val="20"/>
          <w:szCs w:val="20"/>
          <w:highlight w:val="none"/>
          <w:lang w:val="fr-CA"/>
        </w:rPr>
        <w:tab/>
      </w:r>
      <w:r>
        <w:rPr>
          <w:rFonts w:hint="default" w:ascii="Arial" w:hAnsi="Arial" w:cs="Arial"/>
          <w:sz w:val="20"/>
          <w:szCs w:val="20"/>
          <w:highlight w:val="none"/>
        </w:rPr>
        <w:t xml:space="preserve">En faisant variant la valeur de OMP_NUM_THREADS de 1 à </w:t>
      </w:r>
      <w:r>
        <w:rPr>
          <w:rFonts w:hint="default" w:ascii="Arial" w:hAnsi="Arial" w:cs="Arial"/>
          <w:sz w:val="20"/>
          <w:szCs w:val="20"/>
          <w:highlight w:val="none"/>
          <w:lang w:val="fr-CA"/>
        </w:rPr>
        <w:t>4</w:t>
      </w:r>
      <w:r>
        <w:rPr>
          <w:rFonts w:hint="default" w:ascii="Arial" w:hAnsi="Arial" w:cs="Arial"/>
          <w:sz w:val="20"/>
          <w:szCs w:val="20"/>
          <w:highlight w:val="none"/>
        </w:rPr>
        <w:t xml:space="preserve">, on observe </w:t>
      </w:r>
      <w:r>
        <w:rPr>
          <w:rFonts w:hint="default" w:ascii="Arial" w:hAnsi="Arial" w:cs="Arial"/>
          <w:sz w:val="20"/>
          <w:szCs w:val="20"/>
          <w:highlight w:val="none"/>
          <w:lang w:val="fr-CA"/>
        </w:rPr>
        <w:t xml:space="preserve">les </w:t>
      </w:r>
      <w:r>
        <w:rPr>
          <w:rFonts w:hint="default" w:ascii="Arial" w:hAnsi="Arial" w:cs="Arial"/>
          <w:sz w:val="20"/>
          <w:szCs w:val="20"/>
          <w:highlight w:val="none"/>
          <w:lang w:val="fr-CA" w:eastAsia="zh-CN"/>
        </w:rPr>
        <w:t>résultats suivants:</w:t>
      </w:r>
    </w:p>
    <w:tbl>
      <w:tblPr>
        <w:tblStyle w:val="6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74"/>
        <w:gridCol w:w="1007"/>
        <w:gridCol w:w="963"/>
        <w:gridCol w:w="963"/>
        <w:gridCol w:w="963"/>
        <w:gridCol w:w="9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jc w:val="center"/>
        </w:trPr>
        <w:tc>
          <w:tcPr>
            <w:tcW w:w="0" w:type="auto"/>
            <w:tcBorders>
              <w:right w:val="single" w:color="DCDCDC" w:sz="4" w:space="0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sz w:val="20"/>
                <w:szCs w:val="20"/>
                <w:highlight w:val="none"/>
              </w:rPr>
            </w:pPr>
            <w:r>
              <w:rPr>
                <w:rFonts w:hint="default" w:ascii="Arial" w:hAnsi="Arial" w:cs="Arial"/>
                <w:sz w:val="20"/>
                <w:szCs w:val="20"/>
                <w:highlight w:val="none"/>
                <w:lang w:val="en-US" w:eastAsia="zh-CN"/>
              </w:rPr>
              <w:t>n\fps</w:t>
            </w:r>
          </w:p>
        </w:tc>
        <w:tc>
          <w:tcPr>
            <w:tcW w:w="0" w:type="auto"/>
            <w:tcBorders>
              <w:right w:val="single" w:color="DCDCDC" w:sz="4" w:space="0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sz w:val="20"/>
                <w:szCs w:val="20"/>
                <w:highlight w:val="none"/>
              </w:rPr>
            </w:pPr>
            <w:r>
              <w:rPr>
                <w:rFonts w:hint="default" w:ascii="Arial" w:hAnsi="Arial" w:cs="Arial"/>
                <w:sz w:val="20"/>
                <w:szCs w:val="20"/>
                <w:highlight w:val="none"/>
                <w:lang w:val="en-US" w:eastAsia="zh-CN"/>
              </w:rPr>
              <w:t>simSimu</w:t>
            </w:r>
          </w:p>
        </w:tc>
        <w:tc>
          <w:tcPr>
            <w:tcW w:w="0" w:type="auto"/>
            <w:tcBorders>
              <w:right w:val="single" w:color="DCDCDC" w:sz="4" w:space="0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sz w:val="20"/>
                <w:szCs w:val="20"/>
                <w:highlight w:val="none"/>
              </w:rPr>
            </w:pPr>
            <w:r>
              <w:rPr>
                <w:rFonts w:hint="default" w:ascii="Arial" w:hAnsi="Arial" w:cs="Arial"/>
                <w:sz w:val="20"/>
                <w:szCs w:val="20"/>
                <w:highlight w:val="none"/>
                <w:lang w:val="en-US" w:eastAsia="zh-CN"/>
              </w:rPr>
              <w:t>tripV</w:t>
            </w:r>
          </w:p>
        </w:tc>
        <w:tc>
          <w:tcPr>
            <w:tcW w:w="0" w:type="auto"/>
            <w:tcBorders>
              <w:right w:val="single" w:color="DCDCDC" w:sz="4" w:space="0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sz w:val="20"/>
                <w:szCs w:val="20"/>
                <w:highlight w:val="none"/>
              </w:rPr>
            </w:pPr>
            <w:r>
              <w:rPr>
                <w:rFonts w:hint="default" w:ascii="Arial" w:hAnsi="Arial" w:cs="Arial"/>
                <w:sz w:val="20"/>
                <w:szCs w:val="20"/>
                <w:highlight w:val="none"/>
                <w:lang w:val="en-US" w:eastAsia="zh-CN"/>
              </w:rPr>
              <w:t>manyV</w:t>
            </w:r>
          </w:p>
        </w:tc>
        <w:tc>
          <w:tcPr>
            <w:tcW w:w="0" w:type="auto"/>
            <w:tcBorders>
              <w:right w:val="single" w:color="DCDCDC" w:sz="4" w:space="0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sz w:val="20"/>
                <w:szCs w:val="20"/>
                <w:highlight w:val="none"/>
              </w:rPr>
            </w:pPr>
            <w:r>
              <w:rPr>
                <w:rFonts w:hint="default" w:ascii="Arial" w:hAnsi="Arial" w:cs="Arial"/>
                <w:sz w:val="20"/>
                <w:szCs w:val="20"/>
                <w:highlight w:val="none"/>
                <w:lang w:val="en-US" w:eastAsia="zh-CN"/>
              </w:rPr>
              <w:t>Corn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sz w:val="20"/>
                <w:szCs w:val="20"/>
                <w:highlight w:val="none"/>
              </w:rPr>
            </w:pPr>
            <w:r>
              <w:rPr>
                <w:rFonts w:hint="default" w:ascii="Arial" w:hAnsi="Arial" w:cs="Arial"/>
                <w:sz w:val="20"/>
                <w:szCs w:val="20"/>
                <w:highlight w:val="none"/>
                <w:lang w:val="en-US" w:eastAsia="zh-CN"/>
              </w:rPr>
              <w:t>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CDCDC" w:sz="4" w:space="0"/>
              <w:right w:val="single" w:color="DCDCDC" w:sz="4" w:space="0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sz w:val="20"/>
                <w:szCs w:val="20"/>
                <w:highlight w:val="none"/>
              </w:rPr>
            </w:pPr>
            <w:r>
              <w:rPr>
                <w:rFonts w:hint="default" w:ascii="Arial" w:hAnsi="Arial" w:cs="Arial"/>
                <w:sz w:val="20"/>
                <w:szCs w:val="20"/>
                <w:highlight w:val="none"/>
                <w:lang w:val="en-US" w:eastAsia="zh-CN"/>
              </w:rPr>
              <w:t>ref</w:t>
            </w:r>
          </w:p>
        </w:tc>
        <w:tc>
          <w:tcPr>
            <w:tcW w:w="0" w:type="auto"/>
            <w:tcBorders>
              <w:top w:val="single" w:color="DCDCDC" w:sz="4" w:space="0"/>
              <w:right w:val="single" w:color="DCDCDC" w:sz="4" w:space="0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sz w:val="20"/>
                <w:szCs w:val="20"/>
                <w:highlight w:val="none"/>
              </w:rPr>
            </w:pPr>
            <w:r>
              <w:rPr>
                <w:rFonts w:hint="default" w:ascii="Arial" w:hAnsi="Arial" w:cs="Arial"/>
                <w:sz w:val="20"/>
                <w:szCs w:val="20"/>
                <w:highlight w:val="none"/>
                <w:lang w:val="en-US" w:eastAsia="zh-CN"/>
              </w:rPr>
              <w:t>9.68303</w:t>
            </w:r>
          </w:p>
        </w:tc>
        <w:tc>
          <w:tcPr>
            <w:tcW w:w="0" w:type="auto"/>
            <w:tcBorders>
              <w:top w:val="single" w:color="DCDCDC" w:sz="4" w:space="0"/>
              <w:right w:val="single" w:color="DCDCDC" w:sz="4" w:space="0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sz w:val="20"/>
                <w:szCs w:val="20"/>
                <w:highlight w:val="none"/>
              </w:rPr>
            </w:pPr>
            <w:r>
              <w:rPr>
                <w:rFonts w:hint="default" w:ascii="Arial" w:hAnsi="Arial" w:cs="Arial"/>
                <w:sz w:val="20"/>
                <w:szCs w:val="20"/>
                <w:highlight w:val="none"/>
                <w:lang w:val="en-US" w:eastAsia="zh-CN"/>
              </w:rPr>
              <w:t>9.09388</w:t>
            </w:r>
          </w:p>
        </w:tc>
        <w:tc>
          <w:tcPr>
            <w:tcW w:w="0" w:type="auto"/>
            <w:tcBorders>
              <w:top w:val="single" w:color="DCDCDC" w:sz="4" w:space="0"/>
              <w:right w:val="single" w:color="DCDCDC" w:sz="4" w:space="0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sz w:val="20"/>
                <w:szCs w:val="20"/>
                <w:highlight w:val="none"/>
              </w:rPr>
            </w:pPr>
            <w:r>
              <w:rPr>
                <w:rFonts w:hint="default" w:ascii="Arial" w:hAnsi="Arial" w:cs="Arial"/>
                <w:sz w:val="20"/>
                <w:szCs w:val="20"/>
                <w:highlight w:val="none"/>
                <w:lang w:val="en-US" w:eastAsia="zh-CN"/>
              </w:rPr>
              <w:t>6.98237</w:t>
            </w:r>
          </w:p>
        </w:tc>
        <w:tc>
          <w:tcPr>
            <w:tcW w:w="0" w:type="auto"/>
            <w:tcBorders>
              <w:top w:val="single" w:color="DCDCDC" w:sz="4" w:space="0"/>
              <w:right w:val="single" w:color="DCDCDC" w:sz="4" w:space="0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sz w:val="20"/>
                <w:szCs w:val="20"/>
                <w:highlight w:val="none"/>
              </w:rPr>
            </w:pPr>
            <w:r>
              <w:rPr>
                <w:rFonts w:hint="default" w:ascii="Arial" w:hAnsi="Arial" w:cs="Arial"/>
                <w:sz w:val="20"/>
                <w:szCs w:val="20"/>
                <w:highlight w:val="none"/>
                <w:lang w:val="en-US" w:eastAsia="zh-CN"/>
              </w:rPr>
              <w:t>23.0205</w:t>
            </w:r>
          </w:p>
        </w:tc>
        <w:tc>
          <w:tcPr>
            <w:tcW w:w="0" w:type="auto"/>
            <w:tcBorders>
              <w:top w:val="single" w:color="DCDCDC" w:sz="4" w:space="0"/>
              <w:right w:val="nil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sz w:val="20"/>
                <w:szCs w:val="20"/>
                <w:highlight w:val="none"/>
              </w:rPr>
            </w:pPr>
            <w:r>
              <w:rPr>
                <w:rFonts w:hint="default" w:ascii="Arial" w:hAnsi="Arial" w:cs="Arial"/>
                <w:sz w:val="20"/>
                <w:szCs w:val="20"/>
                <w:highlight w:val="none"/>
                <w:lang w:val="en-US" w:eastAsia="zh-CN"/>
              </w:rPr>
              <w:t>4.70848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CDCDC" w:sz="4" w:space="0"/>
              <w:right w:val="single" w:color="DCDCDC" w:sz="4" w:space="0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sz w:val="20"/>
                <w:szCs w:val="20"/>
                <w:highlight w:val="none"/>
              </w:rPr>
            </w:pPr>
            <w:r>
              <w:rPr>
                <w:rFonts w:hint="default" w:ascii="Arial" w:hAnsi="Arial" w:cs="Arial"/>
                <w:sz w:val="20"/>
                <w:szCs w:val="20"/>
                <w:highlight w:val="none"/>
                <w:lang w:val="en-US" w:eastAsia="zh-CN"/>
              </w:rPr>
              <w:t>1</w:t>
            </w:r>
          </w:p>
        </w:tc>
        <w:tc>
          <w:tcPr>
            <w:tcW w:w="0" w:type="auto"/>
            <w:tcBorders>
              <w:top w:val="single" w:color="DCDCDC" w:sz="4" w:space="0"/>
              <w:right w:val="single" w:color="DCDCDC" w:sz="4" w:space="0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sz w:val="20"/>
                <w:szCs w:val="20"/>
                <w:highlight w:val="none"/>
              </w:rPr>
            </w:pPr>
            <w:r>
              <w:rPr>
                <w:rFonts w:hint="default" w:ascii="Arial" w:hAnsi="Arial" w:cs="Arial"/>
                <w:sz w:val="20"/>
                <w:szCs w:val="20"/>
                <w:highlight w:val="none"/>
                <w:lang w:val="en-US" w:eastAsia="zh-CN"/>
              </w:rPr>
              <w:t>10.0992</w:t>
            </w:r>
          </w:p>
        </w:tc>
        <w:tc>
          <w:tcPr>
            <w:tcW w:w="0" w:type="auto"/>
            <w:tcBorders>
              <w:top w:val="single" w:color="DCDCDC" w:sz="4" w:space="0"/>
              <w:right w:val="single" w:color="DCDCDC" w:sz="4" w:space="0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sz w:val="20"/>
                <w:szCs w:val="20"/>
                <w:highlight w:val="none"/>
              </w:rPr>
            </w:pPr>
            <w:r>
              <w:rPr>
                <w:rFonts w:hint="default" w:ascii="Arial" w:hAnsi="Arial" w:cs="Arial"/>
                <w:sz w:val="20"/>
                <w:szCs w:val="20"/>
                <w:highlight w:val="none"/>
                <w:lang w:val="en-US" w:eastAsia="zh-CN"/>
              </w:rPr>
              <w:t>10.5248</w:t>
            </w:r>
          </w:p>
        </w:tc>
        <w:tc>
          <w:tcPr>
            <w:tcW w:w="0" w:type="auto"/>
            <w:tcBorders>
              <w:top w:val="single" w:color="DCDCDC" w:sz="4" w:space="0"/>
              <w:right w:val="single" w:color="DCDCDC" w:sz="4" w:space="0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sz w:val="20"/>
                <w:szCs w:val="20"/>
                <w:highlight w:val="none"/>
              </w:rPr>
            </w:pPr>
            <w:r>
              <w:rPr>
                <w:rFonts w:hint="default" w:ascii="Arial" w:hAnsi="Arial" w:cs="Arial"/>
                <w:sz w:val="20"/>
                <w:szCs w:val="20"/>
                <w:highlight w:val="none"/>
                <w:lang w:val="en-US" w:eastAsia="zh-CN"/>
              </w:rPr>
              <w:t>6.60373</w:t>
            </w:r>
          </w:p>
        </w:tc>
        <w:tc>
          <w:tcPr>
            <w:tcW w:w="0" w:type="auto"/>
            <w:tcBorders>
              <w:top w:val="single" w:color="DCDCDC" w:sz="4" w:space="0"/>
              <w:right w:val="single" w:color="DCDCDC" w:sz="4" w:space="0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sz w:val="20"/>
                <w:szCs w:val="20"/>
                <w:highlight w:val="none"/>
              </w:rPr>
            </w:pPr>
            <w:r>
              <w:rPr>
                <w:rFonts w:hint="default" w:ascii="Arial" w:hAnsi="Arial" w:cs="Arial"/>
                <w:sz w:val="20"/>
                <w:szCs w:val="20"/>
                <w:highlight w:val="none"/>
                <w:lang w:val="en-US" w:eastAsia="zh-CN"/>
              </w:rPr>
              <w:t>21.7617</w:t>
            </w:r>
          </w:p>
        </w:tc>
        <w:tc>
          <w:tcPr>
            <w:tcW w:w="0" w:type="auto"/>
            <w:tcBorders>
              <w:top w:val="single" w:color="DCDCDC" w:sz="4" w:space="0"/>
              <w:right w:val="nil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sz w:val="20"/>
                <w:szCs w:val="20"/>
                <w:highlight w:val="none"/>
              </w:rPr>
            </w:pPr>
            <w:r>
              <w:rPr>
                <w:rFonts w:hint="default" w:ascii="Arial" w:hAnsi="Arial" w:cs="Arial"/>
                <w:sz w:val="20"/>
                <w:szCs w:val="20"/>
                <w:highlight w:val="none"/>
                <w:lang w:val="en-US" w:eastAsia="zh-CN"/>
              </w:rPr>
              <w:t>5.08283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CDCDC" w:sz="4" w:space="0"/>
              <w:right w:val="single" w:color="DCDCDC" w:sz="4" w:space="0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sz w:val="20"/>
                <w:szCs w:val="20"/>
                <w:highlight w:val="none"/>
              </w:rPr>
            </w:pPr>
            <w:r>
              <w:rPr>
                <w:rFonts w:hint="default" w:ascii="Arial" w:hAnsi="Arial" w:cs="Arial"/>
                <w:sz w:val="20"/>
                <w:szCs w:val="20"/>
                <w:highlight w:val="none"/>
                <w:lang w:val="en-US" w:eastAsia="zh-CN"/>
              </w:rPr>
              <w:t>2</w:t>
            </w:r>
          </w:p>
        </w:tc>
        <w:tc>
          <w:tcPr>
            <w:tcW w:w="0" w:type="auto"/>
            <w:tcBorders>
              <w:top w:val="single" w:color="DCDCDC" w:sz="4" w:space="0"/>
              <w:right w:val="single" w:color="DCDCDC" w:sz="4" w:space="0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sz w:val="20"/>
                <w:szCs w:val="20"/>
                <w:highlight w:val="none"/>
              </w:rPr>
            </w:pPr>
            <w:r>
              <w:rPr>
                <w:rFonts w:hint="default" w:ascii="Arial" w:hAnsi="Arial" w:cs="Arial"/>
                <w:sz w:val="20"/>
                <w:szCs w:val="20"/>
                <w:highlight w:val="none"/>
                <w:lang w:val="en-US" w:eastAsia="zh-CN"/>
              </w:rPr>
              <w:t>12.1348</w:t>
            </w:r>
          </w:p>
        </w:tc>
        <w:tc>
          <w:tcPr>
            <w:tcW w:w="0" w:type="auto"/>
            <w:tcBorders>
              <w:top w:val="single" w:color="DCDCDC" w:sz="4" w:space="0"/>
              <w:right w:val="single" w:color="DCDCDC" w:sz="4" w:space="0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sz w:val="20"/>
                <w:szCs w:val="20"/>
                <w:highlight w:val="none"/>
              </w:rPr>
            </w:pPr>
            <w:r>
              <w:rPr>
                <w:rFonts w:hint="default" w:ascii="Arial" w:hAnsi="Arial" w:cs="Arial"/>
                <w:sz w:val="20"/>
                <w:szCs w:val="20"/>
                <w:highlight w:val="none"/>
                <w:lang w:val="en-US" w:eastAsia="zh-CN"/>
              </w:rPr>
              <w:t>10.0432</w:t>
            </w:r>
          </w:p>
        </w:tc>
        <w:tc>
          <w:tcPr>
            <w:tcW w:w="0" w:type="auto"/>
            <w:tcBorders>
              <w:top w:val="single" w:color="DCDCDC" w:sz="4" w:space="0"/>
              <w:right w:val="single" w:color="DCDCDC" w:sz="4" w:space="0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sz w:val="20"/>
                <w:szCs w:val="20"/>
                <w:highlight w:val="none"/>
              </w:rPr>
            </w:pPr>
            <w:r>
              <w:rPr>
                <w:rFonts w:hint="default" w:ascii="Arial" w:hAnsi="Arial" w:cs="Arial"/>
                <w:sz w:val="20"/>
                <w:szCs w:val="20"/>
                <w:highlight w:val="none"/>
                <w:lang w:val="en-US" w:eastAsia="zh-CN"/>
              </w:rPr>
              <w:t>7.52642</w:t>
            </w:r>
          </w:p>
        </w:tc>
        <w:tc>
          <w:tcPr>
            <w:tcW w:w="0" w:type="auto"/>
            <w:tcBorders>
              <w:top w:val="single" w:color="DCDCDC" w:sz="4" w:space="0"/>
              <w:right w:val="single" w:color="DCDCDC" w:sz="4" w:space="0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sz w:val="20"/>
                <w:szCs w:val="20"/>
                <w:highlight w:val="none"/>
              </w:rPr>
            </w:pPr>
            <w:r>
              <w:rPr>
                <w:rFonts w:hint="default" w:ascii="Arial" w:hAnsi="Arial" w:cs="Arial"/>
                <w:sz w:val="20"/>
                <w:szCs w:val="20"/>
                <w:highlight w:val="none"/>
                <w:lang w:val="en-US" w:eastAsia="zh-CN"/>
              </w:rPr>
              <w:t>17.3694</w:t>
            </w:r>
          </w:p>
        </w:tc>
        <w:tc>
          <w:tcPr>
            <w:tcW w:w="0" w:type="auto"/>
            <w:tcBorders>
              <w:top w:val="single" w:color="DCDCDC" w:sz="4" w:space="0"/>
              <w:right w:val="nil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sz w:val="20"/>
                <w:szCs w:val="20"/>
                <w:highlight w:val="none"/>
              </w:rPr>
            </w:pPr>
            <w:r>
              <w:rPr>
                <w:rFonts w:hint="default" w:ascii="Arial" w:hAnsi="Arial" w:cs="Arial"/>
                <w:sz w:val="20"/>
                <w:szCs w:val="20"/>
                <w:highlight w:val="none"/>
                <w:lang w:val="en-US" w:eastAsia="zh-CN"/>
              </w:rPr>
              <w:t>5.54322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CDCDC" w:sz="4" w:space="0"/>
              <w:right w:val="single" w:color="DCDCDC" w:sz="4" w:space="0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sz w:val="20"/>
                <w:szCs w:val="20"/>
                <w:highlight w:val="none"/>
              </w:rPr>
            </w:pPr>
            <w:r>
              <w:rPr>
                <w:rFonts w:hint="default" w:ascii="Arial" w:hAnsi="Arial" w:cs="Arial"/>
                <w:sz w:val="20"/>
                <w:szCs w:val="20"/>
                <w:highlight w:val="none"/>
                <w:lang w:val="en-US" w:eastAsia="zh-CN"/>
              </w:rPr>
              <w:t>3</w:t>
            </w:r>
          </w:p>
        </w:tc>
        <w:tc>
          <w:tcPr>
            <w:tcW w:w="0" w:type="auto"/>
            <w:tcBorders>
              <w:top w:val="single" w:color="DCDCDC" w:sz="4" w:space="0"/>
              <w:right w:val="single" w:color="DCDCDC" w:sz="4" w:space="0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sz w:val="20"/>
                <w:szCs w:val="20"/>
                <w:highlight w:val="none"/>
              </w:rPr>
            </w:pPr>
            <w:r>
              <w:rPr>
                <w:rFonts w:hint="default" w:ascii="Arial" w:hAnsi="Arial" w:cs="Arial"/>
                <w:sz w:val="20"/>
                <w:szCs w:val="20"/>
                <w:highlight w:val="none"/>
                <w:lang w:val="en-US" w:eastAsia="zh-CN"/>
              </w:rPr>
              <w:t>12.7627</w:t>
            </w:r>
          </w:p>
        </w:tc>
        <w:tc>
          <w:tcPr>
            <w:tcW w:w="0" w:type="auto"/>
            <w:tcBorders>
              <w:top w:val="single" w:color="DCDCDC" w:sz="4" w:space="0"/>
              <w:right w:val="single" w:color="DCDCDC" w:sz="4" w:space="0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sz w:val="20"/>
                <w:szCs w:val="20"/>
                <w:highlight w:val="none"/>
              </w:rPr>
            </w:pPr>
            <w:r>
              <w:rPr>
                <w:rFonts w:hint="default" w:ascii="Arial" w:hAnsi="Arial" w:cs="Arial"/>
                <w:sz w:val="20"/>
                <w:szCs w:val="20"/>
                <w:highlight w:val="none"/>
                <w:lang w:val="en-US" w:eastAsia="zh-CN"/>
              </w:rPr>
              <w:t>12.1247</w:t>
            </w:r>
          </w:p>
        </w:tc>
        <w:tc>
          <w:tcPr>
            <w:tcW w:w="0" w:type="auto"/>
            <w:tcBorders>
              <w:top w:val="single" w:color="DCDCDC" w:sz="4" w:space="0"/>
              <w:right w:val="single" w:color="DCDCDC" w:sz="4" w:space="0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sz w:val="20"/>
                <w:szCs w:val="20"/>
                <w:highlight w:val="none"/>
              </w:rPr>
            </w:pPr>
            <w:r>
              <w:rPr>
                <w:rFonts w:hint="default" w:ascii="Arial" w:hAnsi="Arial" w:cs="Arial"/>
                <w:sz w:val="20"/>
                <w:szCs w:val="20"/>
                <w:highlight w:val="none"/>
                <w:lang w:val="en-US" w:eastAsia="zh-CN"/>
              </w:rPr>
              <w:t>8.07613</w:t>
            </w:r>
          </w:p>
        </w:tc>
        <w:tc>
          <w:tcPr>
            <w:tcW w:w="0" w:type="auto"/>
            <w:tcBorders>
              <w:top w:val="single" w:color="DCDCDC" w:sz="4" w:space="0"/>
              <w:right w:val="single" w:color="DCDCDC" w:sz="4" w:space="0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sz w:val="20"/>
                <w:szCs w:val="20"/>
                <w:highlight w:val="none"/>
              </w:rPr>
            </w:pPr>
            <w:r>
              <w:rPr>
                <w:rFonts w:hint="default" w:ascii="Arial" w:hAnsi="Arial" w:cs="Arial"/>
                <w:sz w:val="20"/>
                <w:szCs w:val="20"/>
                <w:highlight w:val="none"/>
                <w:lang w:val="en-US" w:eastAsia="zh-CN"/>
              </w:rPr>
              <w:t>20.592</w:t>
            </w:r>
          </w:p>
        </w:tc>
        <w:tc>
          <w:tcPr>
            <w:tcW w:w="0" w:type="auto"/>
            <w:tcBorders>
              <w:top w:val="single" w:color="DCDCDC" w:sz="4" w:space="0"/>
              <w:right w:val="nil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sz w:val="20"/>
                <w:szCs w:val="20"/>
                <w:highlight w:val="none"/>
              </w:rPr>
            </w:pPr>
            <w:r>
              <w:rPr>
                <w:rFonts w:hint="default" w:ascii="Arial" w:hAnsi="Arial" w:cs="Arial"/>
                <w:sz w:val="20"/>
                <w:szCs w:val="20"/>
                <w:highlight w:val="none"/>
                <w:lang w:val="en-US" w:eastAsia="zh-CN"/>
              </w:rPr>
              <w:t>5.76173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CDCDC" w:sz="4" w:space="0"/>
              <w:right w:val="single" w:color="DCDCDC" w:sz="4" w:space="0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sz w:val="20"/>
                <w:szCs w:val="20"/>
                <w:highlight w:val="none"/>
              </w:rPr>
            </w:pPr>
            <w:r>
              <w:rPr>
                <w:rFonts w:hint="default" w:ascii="Arial" w:hAnsi="Arial" w:cs="Arial"/>
                <w:sz w:val="20"/>
                <w:szCs w:val="20"/>
                <w:highlight w:val="none"/>
                <w:lang w:val="en-US" w:eastAsia="zh-CN"/>
              </w:rPr>
              <w:t>4</w:t>
            </w:r>
          </w:p>
        </w:tc>
        <w:tc>
          <w:tcPr>
            <w:tcW w:w="0" w:type="auto"/>
            <w:tcBorders>
              <w:top w:val="single" w:color="DCDCDC" w:sz="4" w:space="0"/>
              <w:right w:val="single" w:color="DCDCDC" w:sz="4" w:space="0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sz w:val="20"/>
                <w:szCs w:val="20"/>
                <w:highlight w:val="none"/>
              </w:rPr>
            </w:pPr>
            <w:r>
              <w:rPr>
                <w:rFonts w:hint="default" w:ascii="Arial" w:hAnsi="Arial" w:cs="Arial"/>
                <w:sz w:val="20"/>
                <w:szCs w:val="20"/>
                <w:highlight w:val="none"/>
                <w:lang w:val="en-US" w:eastAsia="zh-CN"/>
              </w:rPr>
              <w:t>11.3234</w:t>
            </w:r>
          </w:p>
        </w:tc>
        <w:tc>
          <w:tcPr>
            <w:tcW w:w="0" w:type="auto"/>
            <w:tcBorders>
              <w:top w:val="single" w:color="DCDCDC" w:sz="4" w:space="0"/>
              <w:right w:val="single" w:color="DCDCDC" w:sz="4" w:space="0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sz w:val="20"/>
                <w:szCs w:val="20"/>
                <w:highlight w:val="none"/>
              </w:rPr>
            </w:pPr>
            <w:r>
              <w:rPr>
                <w:rFonts w:hint="default" w:ascii="Arial" w:hAnsi="Arial" w:cs="Arial"/>
                <w:sz w:val="20"/>
                <w:szCs w:val="20"/>
                <w:highlight w:val="none"/>
                <w:lang w:val="en-US" w:eastAsia="zh-CN"/>
              </w:rPr>
              <w:t>11.5826</w:t>
            </w:r>
          </w:p>
        </w:tc>
        <w:tc>
          <w:tcPr>
            <w:tcW w:w="0" w:type="auto"/>
            <w:tcBorders>
              <w:top w:val="single" w:color="DCDCDC" w:sz="4" w:space="0"/>
              <w:right w:val="single" w:color="DCDCDC" w:sz="4" w:space="0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sz w:val="20"/>
                <w:szCs w:val="20"/>
                <w:highlight w:val="none"/>
              </w:rPr>
            </w:pPr>
            <w:r>
              <w:rPr>
                <w:rFonts w:hint="default" w:ascii="Arial" w:hAnsi="Arial" w:cs="Arial"/>
                <w:sz w:val="20"/>
                <w:szCs w:val="20"/>
                <w:highlight w:val="none"/>
                <w:lang w:val="en-US" w:eastAsia="zh-CN"/>
              </w:rPr>
              <w:t>8.1218</w:t>
            </w:r>
          </w:p>
        </w:tc>
        <w:tc>
          <w:tcPr>
            <w:tcW w:w="0" w:type="auto"/>
            <w:tcBorders>
              <w:top w:val="single" w:color="DCDCDC" w:sz="4" w:space="0"/>
              <w:right w:val="single" w:color="DCDCDC" w:sz="4" w:space="0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sz w:val="20"/>
                <w:szCs w:val="20"/>
                <w:highlight w:val="none"/>
              </w:rPr>
            </w:pPr>
            <w:r>
              <w:rPr>
                <w:rFonts w:hint="default" w:ascii="Arial" w:hAnsi="Arial" w:cs="Arial"/>
                <w:sz w:val="20"/>
                <w:szCs w:val="20"/>
                <w:highlight w:val="none"/>
                <w:lang w:val="en-US" w:eastAsia="zh-CN"/>
              </w:rPr>
              <w:t>23.1587</w:t>
            </w:r>
          </w:p>
        </w:tc>
        <w:tc>
          <w:tcPr>
            <w:tcW w:w="0" w:type="auto"/>
            <w:tcBorders>
              <w:top w:val="single" w:color="DCDCDC" w:sz="4" w:space="0"/>
              <w:right w:val="nil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sz w:val="20"/>
                <w:szCs w:val="20"/>
                <w:highlight w:val="none"/>
              </w:rPr>
            </w:pPr>
            <w:r>
              <w:rPr>
                <w:rFonts w:hint="default" w:ascii="Arial" w:hAnsi="Arial" w:cs="Arial"/>
                <w:sz w:val="20"/>
                <w:szCs w:val="20"/>
                <w:highlight w:val="none"/>
                <w:lang w:val="en-US" w:eastAsia="zh-CN"/>
              </w:rPr>
              <w:t>6.1377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default" w:ascii="Arial" w:hAnsi="Arial" w:cs="Arial"/>
          <w:sz w:val="20"/>
          <w:szCs w:val="20"/>
          <w:highlight w:val="none"/>
          <w:lang w:val="fr-CA"/>
        </w:rPr>
      </w:pPr>
      <w:r>
        <w:rPr>
          <w:rFonts w:hint="default" w:ascii="Arial" w:hAnsi="Arial" w:cs="Arial"/>
          <w:sz w:val="20"/>
          <w:szCs w:val="20"/>
          <w:highlight w:val="none"/>
          <w:lang w:val="fr-CA"/>
        </w:rPr>
        <w:t>On trouve qu’avec openmp, il y a une amélioration.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sz w:val="18"/>
          <w:szCs w:val="18"/>
          <w:highlight w:val="none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cs="Arial"/>
          <w:b/>
          <w:bCs/>
          <w:highlight w:val="none"/>
        </w:rPr>
      </w:pPr>
      <w:r>
        <w:rPr>
          <w:rFonts w:hint="default" w:ascii="Arial" w:hAnsi="Arial" w:cs="Arial"/>
          <w:b/>
          <w:bCs/>
          <w:highlight w:val="none"/>
        </w:rPr>
        <w:t>Parallélisation en mémoire distribuée et partagée les calculs</w:t>
      </w:r>
    </w:p>
    <w:p>
      <w:pPr>
        <w:ind w:left="199" w:leftChars="95" w:firstLine="300" w:firstLineChars="150"/>
        <w:jc w:val="left"/>
        <w:rPr>
          <w:rFonts w:hint="default" w:ascii="Arial" w:hAnsi="Arial" w:cs="Arial"/>
          <w:sz w:val="20"/>
          <w:szCs w:val="20"/>
          <w:highlight w:val="lightGray"/>
        </w:rPr>
      </w:pPr>
      <w:r>
        <w:rPr>
          <w:rFonts w:hint="default" w:ascii="Arial" w:hAnsi="Arial" w:cs="Arial"/>
          <w:sz w:val="20"/>
          <w:szCs w:val="20"/>
          <w:highlight w:val="none"/>
        </w:rPr>
        <w:t>Pour pouvoir paralléliser, on construit une nouvelle</w:t>
      </w:r>
      <w:r>
        <w:rPr>
          <w:rFonts w:hint="default" w:ascii="Arial" w:hAnsi="Arial" w:cs="Arial"/>
          <w:sz w:val="20"/>
          <w:szCs w:val="20"/>
          <w:highlight w:val="none"/>
          <w:lang w:val="fr-CA"/>
        </w:rPr>
        <w:t xml:space="preserve"> </w:t>
      </w:r>
      <w:r>
        <w:rPr>
          <w:rFonts w:hint="default" w:ascii="Arial" w:hAnsi="Arial" w:cs="Arial"/>
          <w:sz w:val="20"/>
          <w:szCs w:val="20"/>
          <w:highlight w:val="none"/>
        </w:rPr>
        <w:t>fonction </w:t>
      </w:r>
      <w:r>
        <w:rPr>
          <w:rFonts w:hint="default" w:ascii="Arial" w:hAnsi="Arial" w:cs="Arial"/>
          <w:sz w:val="20"/>
          <w:szCs w:val="20"/>
          <w:highlight w:val="lightGray"/>
        </w:rPr>
        <w:t>sub_solve_RK4_vortices_</w:t>
      </w:r>
    </w:p>
    <w:p>
      <w:pPr>
        <w:jc w:val="left"/>
        <w:rPr>
          <w:rFonts w:hint="default" w:ascii="Arial" w:hAnsi="Arial" w:cs="Arial"/>
          <w:sz w:val="20"/>
          <w:szCs w:val="20"/>
          <w:highlight w:val="none"/>
          <w:lang w:val="fr-CA"/>
        </w:rPr>
      </w:pPr>
      <w:r>
        <w:rPr>
          <w:rFonts w:hint="default" w:ascii="Arial" w:hAnsi="Arial" w:cs="Arial"/>
          <w:sz w:val="20"/>
          <w:szCs w:val="20"/>
          <w:highlight w:val="lightGray"/>
        </w:rPr>
        <w:t>new_cloud</w:t>
      </w:r>
      <w:r>
        <w:rPr>
          <w:rFonts w:hint="default" w:ascii="Arial" w:hAnsi="Arial" w:cs="Arial"/>
          <w:sz w:val="20"/>
          <w:szCs w:val="20"/>
          <w:highlight w:val="lightGray"/>
          <w:lang w:val="fr-CA"/>
        </w:rPr>
        <w:t>()</w:t>
      </w:r>
      <w:r>
        <w:rPr>
          <w:rFonts w:hint="default" w:ascii="Arial" w:hAnsi="Arial" w:cs="Arial"/>
          <w:sz w:val="20"/>
          <w:szCs w:val="20"/>
          <w:highlight w:val="lightGray"/>
        </w:rPr>
        <w:t> </w:t>
      </w:r>
      <w:r>
        <w:rPr>
          <w:rFonts w:hint="default" w:ascii="Arial" w:hAnsi="Arial" w:cs="Arial"/>
          <w:sz w:val="20"/>
          <w:szCs w:val="20"/>
          <w:highlight w:val="none"/>
          <w:lang w:val="fr-CA"/>
        </w:rPr>
        <w:t xml:space="preserve"> </w:t>
      </w:r>
      <w:r>
        <w:rPr>
          <w:rFonts w:hint="default" w:ascii="Arial" w:hAnsi="Arial" w:cs="Arial"/>
          <w:sz w:val="20"/>
          <w:szCs w:val="20"/>
          <w:highlight w:val="none"/>
        </w:rPr>
        <w:t>qui faire uniquement le calcul des particule. De plus, il prend en entrée son rang, le nombre de</w:t>
      </w:r>
      <w:r>
        <w:rPr>
          <w:rFonts w:hint="default" w:ascii="Arial" w:hAnsi="Arial" w:cs="Arial"/>
          <w:sz w:val="20"/>
          <w:szCs w:val="20"/>
          <w:highlight w:val="none"/>
          <w:lang w:val="fr-CA"/>
        </w:rPr>
        <w:t xml:space="preserve"> particule chez lui</w:t>
      </w:r>
      <w:r>
        <w:rPr>
          <w:rFonts w:hint="default" w:ascii="Arial" w:hAnsi="Arial" w:cs="Arial"/>
          <w:sz w:val="20"/>
          <w:szCs w:val="20"/>
          <w:highlight w:val="none"/>
        </w:rPr>
        <w:t xml:space="preserve"> et fait la partie de calcul attribué à lui. Pour le cas de vortex</w:t>
      </w:r>
      <w:r>
        <w:rPr>
          <w:rFonts w:hint="default" w:ascii="Arial" w:hAnsi="Arial" w:cs="Arial"/>
          <w:sz w:val="20"/>
          <w:szCs w:val="20"/>
          <w:highlight w:val="none"/>
          <w:lang w:val="fr-CA"/>
        </w:rPr>
        <w:t xml:space="preserve"> immobile, cette fonction suffit. Alors pour chaque processus de calcul il faut: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subCloud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sub_solve_RK4_vortices_new_cloud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cloud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rank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subnbOfPts0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recvcountsCloud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rank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fr-CA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MPI_Allgatherv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subCloud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recvcountsCloud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rank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], MPI_DOUBLE,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newCloudData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recvcountsCloud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displsCloud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 MPI_DOUBLE,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global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ind w:firstLine="420" w:firstLineChars="0"/>
        <w:jc w:val="left"/>
        <w:rPr>
          <w:rFonts w:hint="default" w:ascii="Arial" w:hAnsi="Arial" w:cs="Arial"/>
          <w:sz w:val="20"/>
          <w:szCs w:val="20"/>
          <w:highlight w:val="none"/>
          <w:lang w:val="fr-CA"/>
        </w:rPr>
      </w:pPr>
      <w:r>
        <w:rPr>
          <w:rFonts w:hint="default" w:ascii="Arial" w:hAnsi="Arial" w:cs="Arial"/>
          <w:sz w:val="20"/>
          <w:szCs w:val="20"/>
          <w:highlight w:val="none"/>
        </w:rPr>
        <w:t>On utilise Allgatherv() pour récupérer les données de cloud à chaque itération</w:t>
      </w:r>
      <w:r>
        <w:rPr>
          <w:rFonts w:hint="default" w:ascii="Arial" w:hAnsi="Arial" w:cs="Arial"/>
          <w:sz w:val="20"/>
          <w:szCs w:val="20"/>
          <w:highlight w:val="none"/>
          <w:lang w:val="fr-CA"/>
        </w:rPr>
        <w:t xml:space="preserve"> après la fin de son calcul. Après l’appel à Allgatherv(), tous les processus incluant celui d’affichage obtient les données de cloud. P[0] peut commencer son affichage.</w:t>
      </w:r>
    </w:p>
    <w:p>
      <w:pPr>
        <w:ind w:firstLine="420" w:firstLineChars="0"/>
        <w:jc w:val="left"/>
        <w:rPr>
          <w:rFonts w:hint="default" w:ascii="Arial" w:hAnsi="Arial" w:cs="Arial"/>
          <w:sz w:val="20"/>
          <w:szCs w:val="20"/>
          <w:highlight w:val="none"/>
          <w:lang w:val="fr-CA"/>
        </w:rPr>
      </w:pPr>
      <w:r>
        <w:rPr>
          <w:rFonts w:hint="default" w:ascii="Arial" w:hAnsi="Arial" w:cs="Arial"/>
          <w:sz w:val="20"/>
          <w:szCs w:val="20"/>
          <w:highlight w:val="none"/>
        </w:rPr>
        <w:t>Allgatherv() permet de prend en considération que la répartition des données entre les processus de calcul peut être in</w:t>
      </w:r>
      <w:r>
        <w:rPr>
          <w:rFonts w:hint="default" w:ascii="Arial" w:hAnsi="Arial" w:cs="Arial"/>
          <w:sz w:val="20"/>
          <w:szCs w:val="20"/>
          <w:highlight w:val="none"/>
          <w:lang w:val="fr-CA"/>
        </w:rPr>
        <w:t xml:space="preserve">équitable et que le processus d’affichage n’envoye aucune donnée. </w:t>
      </w:r>
    </w:p>
    <w:p>
      <w:pPr>
        <w:ind w:firstLine="420" w:firstLineChars="0"/>
        <w:jc w:val="left"/>
        <w:rPr>
          <w:rFonts w:hint="default" w:ascii="Arial" w:hAnsi="Arial" w:cs="Arial"/>
          <w:sz w:val="20"/>
          <w:szCs w:val="20"/>
          <w:highlight w:val="none"/>
          <w:lang w:val="fr-CA"/>
        </w:rPr>
      </w:pPr>
    </w:p>
    <w:p>
      <w:pPr>
        <w:ind w:firstLine="420" w:firstLineChars="0"/>
        <w:jc w:val="left"/>
        <w:rPr>
          <w:rFonts w:hint="default" w:ascii="Arial" w:hAnsi="Arial" w:cs="Arial"/>
          <w:sz w:val="20"/>
          <w:szCs w:val="20"/>
          <w:highlight w:val="lightGray"/>
          <w:lang w:val="fr-CA" w:eastAsia="zh-CN"/>
        </w:rPr>
      </w:pPr>
      <w:r>
        <w:rPr>
          <w:rFonts w:hint="default" w:ascii="Arial" w:hAnsi="Arial" w:cs="Arial"/>
          <w:sz w:val="20"/>
          <w:szCs w:val="20"/>
          <w:highlight w:val="none"/>
          <w:lang w:val="fr-CA"/>
        </w:rPr>
        <w:t xml:space="preserve">Pour le cas de vortex mobile, j’ai crée une autre fonction </w:t>
      </w:r>
      <w:r>
        <w:rPr>
          <w:rFonts w:hint="default" w:ascii="Arial" w:hAnsi="Arial" w:cs="Arial"/>
          <w:sz w:val="20"/>
          <w:szCs w:val="20"/>
          <w:highlight w:val="lightGray"/>
          <w:lang w:val="fr-CA" w:eastAsia="zh-CN"/>
        </w:rPr>
        <w:t>solve_RK4_movable_vortices_</w:t>
      </w:r>
    </w:p>
    <w:p>
      <w:pPr>
        <w:jc w:val="left"/>
        <w:rPr>
          <w:rFonts w:hint="default" w:ascii="Arial" w:hAnsi="Arial" w:cs="Arial"/>
          <w:sz w:val="20"/>
          <w:szCs w:val="20"/>
          <w:highlight w:val="none"/>
          <w:lang w:val="fr-CA" w:eastAsia="zh-CN"/>
        </w:rPr>
      </w:pPr>
      <w:r>
        <w:rPr>
          <w:rFonts w:hint="default" w:ascii="Arial" w:hAnsi="Arial" w:cs="Arial"/>
          <w:sz w:val="20"/>
          <w:szCs w:val="20"/>
          <w:highlight w:val="lightGray"/>
          <w:lang w:val="fr-CA" w:eastAsia="zh-CN"/>
        </w:rPr>
        <w:t>update_vortices()</w:t>
      </w:r>
      <w:r>
        <w:rPr>
          <w:rFonts w:hint="default" w:ascii="Arial" w:hAnsi="Arial" w:cs="Arial"/>
          <w:sz w:val="20"/>
          <w:szCs w:val="20"/>
          <w:highlight w:val="none"/>
          <w:lang w:val="fr-CA" w:eastAsia="zh-CN"/>
        </w:rPr>
        <w:t xml:space="preserve"> qui fait tout le reste sauf la partie de mise à jour de vitesse des particules. La mise à jour de vitesse des particule est complété en appelant directement la fonction updateVelocityField(t_vortices); Pour chaque processus il faut: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Arial" w:hAnsi="Arial" w:cs="Arial"/>
          <w:sz w:val="20"/>
          <w:szCs w:val="20"/>
          <w:highlight w:val="none"/>
          <w:lang w:val="fr-CA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subCloud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sub_solve_RK4_vortices_new_cloud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cloud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rank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subnbOfPts0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recvcountsCloud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rank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MPI_Allgatherv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subCloud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recvcountsCloud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rank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], MPI_DOUBLE,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newCloudData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recvcountsCloud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displsCloud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 MPI_DOUBLE,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global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solve_RK4_movable_vortices_update_vortices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vortices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cloud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Arial" w:hAnsi="Arial" w:cs="Arial"/>
          <w:sz w:val="20"/>
          <w:szCs w:val="20"/>
          <w:highlight w:val="none"/>
          <w:lang w:val="fr-CA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updateVelocityField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vortices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ind w:firstLine="420" w:firstLineChars="0"/>
        <w:jc w:val="left"/>
        <w:rPr>
          <w:rFonts w:hint="default" w:ascii="Arial" w:hAnsi="Arial" w:cs="Arial"/>
          <w:sz w:val="20"/>
          <w:szCs w:val="20"/>
          <w:highlight w:val="none"/>
          <w:lang w:val="fr-CA"/>
        </w:rPr>
      </w:pPr>
      <w:r>
        <w:rPr>
          <w:rFonts w:hint="default" w:ascii="Arial" w:hAnsi="Arial" w:cs="Arial"/>
          <w:sz w:val="20"/>
          <w:szCs w:val="20"/>
          <w:highlight w:val="none"/>
          <w:lang w:val="fr-CA"/>
        </w:rPr>
        <w:t xml:space="preserve">Après l’appel à Allgatherv(), tous les processus incluant celui d’affichage obtient les données de cloud. Les processus de calcul l’utilise pour des calcul de vortex et de vitesse. </w:t>
      </w:r>
      <w:r>
        <w:rPr>
          <w:rFonts w:hint="default" w:ascii="Arial" w:hAnsi="Arial" w:cs="Arial"/>
          <w:sz w:val="20"/>
          <w:szCs w:val="20"/>
          <w:highlight w:val="none"/>
          <w:lang w:val="fr-CA"/>
        </w:rPr>
        <w:tab/>
      </w:r>
      <w:r>
        <w:rPr>
          <w:rFonts w:hint="default" w:ascii="Arial" w:hAnsi="Arial" w:cs="Arial"/>
          <w:sz w:val="20"/>
          <w:szCs w:val="20"/>
          <w:highlight w:val="none"/>
          <w:lang w:val="fr-CA"/>
        </w:rPr>
        <w:t>Tous les processus de calcul le font en même temps, et après le processus de rang=1 (P[1]) se charge d’envoyer les données de vortices (vortex) et de grid (vitesse ) à P[0].</w:t>
      </w:r>
    </w:p>
    <w:p>
      <w:pPr>
        <w:ind w:firstLine="420" w:firstLineChars="0"/>
        <w:jc w:val="left"/>
        <w:rPr>
          <w:rFonts w:hint="default" w:ascii="Arial" w:hAnsi="Arial" w:cs="Arial"/>
          <w:sz w:val="20"/>
          <w:szCs w:val="20"/>
          <w:highlight w:val="none"/>
        </w:rPr>
      </w:pPr>
    </w:p>
    <w:tbl>
      <w:tblPr>
        <w:tblStyle w:val="6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74"/>
        <w:gridCol w:w="1007"/>
        <w:gridCol w:w="949"/>
        <w:gridCol w:w="963"/>
        <w:gridCol w:w="963"/>
        <w:gridCol w:w="9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Header/>
          <w:jc w:val="center"/>
        </w:trPr>
        <w:tc>
          <w:tcPr>
            <w:tcW w:w="0" w:type="auto"/>
            <w:tcBorders>
              <w:right w:val="single" w:color="DCDCDC" w:sz="4" w:space="0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sz w:val="20"/>
                <w:szCs w:val="20"/>
                <w:highlight w:val="none"/>
              </w:rPr>
            </w:pPr>
            <w:r>
              <w:rPr>
                <w:rFonts w:hint="default" w:ascii="Arial" w:hAnsi="Arial" w:cs="Arial"/>
                <w:sz w:val="20"/>
                <w:szCs w:val="20"/>
                <w:highlight w:val="none"/>
                <w:lang w:val="en-US" w:eastAsia="zh-CN"/>
              </w:rPr>
              <w:t>n\fps</w:t>
            </w:r>
          </w:p>
        </w:tc>
        <w:tc>
          <w:tcPr>
            <w:tcW w:w="0" w:type="auto"/>
            <w:tcBorders>
              <w:right w:val="single" w:color="DCDCDC" w:sz="4" w:space="0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sz w:val="20"/>
                <w:szCs w:val="20"/>
                <w:highlight w:val="none"/>
              </w:rPr>
            </w:pPr>
            <w:r>
              <w:rPr>
                <w:rFonts w:hint="default" w:ascii="Arial" w:hAnsi="Arial" w:cs="Arial"/>
                <w:sz w:val="20"/>
                <w:szCs w:val="20"/>
                <w:highlight w:val="none"/>
                <w:lang w:val="en-US" w:eastAsia="zh-CN"/>
              </w:rPr>
              <w:t>simSimu</w:t>
            </w:r>
          </w:p>
        </w:tc>
        <w:tc>
          <w:tcPr>
            <w:tcW w:w="0" w:type="auto"/>
            <w:tcBorders>
              <w:right w:val="single" w:color="DCDCDC" w:sz="4" w:space="0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sz w:val="20"/>
                <w:szCs w:val="20"/>
                <w:highlight w:val="none"/>
              </w:rPr>
            </w:pPr>
            <w:r>
              <w:rPr>
                <w:rFonts w:hint="default" w:ascii="Arial" w:hAnsi="Arial" w:cs="Arial"/>
                <w:sz w:val="20"/>
                <w:szCs w:val="20"/>
                <w:highlight w:val="none"/>
                <w:lang w:val="en-US" w:eastAsia="zh-CN"/>
              </w:rPr>
              <w:t>tripV</w:t>
            </w:r>
          </w:p>
        </w:tc>
        <w:tc>
          <w:tcPr>
            <w:tcW w:w="0" w:type="auto"/>
            <w:tcBorders>
              <w:right w:val="single" w:color="DCDCDC" w:sz="4" w:space="0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sz w:val="20"/>
                <w:szCs w:val="20"/>
                <w:highlight w:val="none"/>
              </w:rPr>
            </w:pPr>
            <w:r>
              <w:rPr>
                <w:rFonts w:hint="default" w:ascii="Arial" w:hAnsi="Arial" w:cs="Arial"/>
                <w:sz w:val="20"/>
                <w:szCs w:val="20"/>
                <w:highlight w:val="none"/>
                <w:lang w:val="en-US" w:eastAsia="zh-CN"/>
              </w:rPr>
              <w:t>manyV</w:t>
            </w:r>
          </w:p>
        </w:tc>
        <w:tc>
          <w:tcPr>
            <w:tcW w:w="0" w:type="auto"/>
            <w:tcBorders>
              <w:right w:val="single" w:color="DCDCDC" w:sz="4" w:space="0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sz w:val="20"/>
                <w:szCs w:val="20"/>
                <w:highlight w:val="none"/>
              </w:rPr>
            </w:pPr>
            <w:r>
              <w:rPr>
                <w:rFonts w:hint="default" w:ascii="Arial" w:hAnsi="Arial" w:cs="Arial"/>
                <w:sz w:val="20"/>
                <w:szCs w:val="20"/>
                <w:highlight w:val="none"/>
                <w:lang w:val="en-US" w:eastAsia="zh-CN"/>
              </w:rPr>
              <w:t>Corn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sz w:val="20"/>
                <w:szCs w:val="20"/>
                <w:highlight w:val="none"/>
              </w:rPr>
            </w:pPr>
            <w:r>
              <w:rPr>
                <w:rFonts w:hint="default" w:ascii="Arial" w:hAnsi="Arial" w:cs="Arial"/>
                <w:sz w:val="20"/>
                <w:szCs w:val="20"/>
                <w:highlight w:val="none"/>
                <w:lang w:val="en-US" w:eastAsia="zh-CN"/>
              </w:rPr>
              <w:t>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CDCDC" w:sz="4" w:space="0"/>
              <w:right w:val="single" w:color="DCDCDC" w:sz="4" w:space="0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sz w:val="20"/>
                <w:szCs w:val="20"/>
                <w:highlight w:val="none"/>
              </w:rPr>
            </w:pPr>
            <w:r>
              <w:rPr>
                <w:rFonts w:hint="default" w:ascii="Arial" w:hAnsi="Arial" w:cs="Arial"/>
                <w:sz w:val="20"/>
                <w:szCs w:val="20"/>
                <w:highlight w:val="none"/>
                <w:lang w:val="en-US" w:eastAsia="zh-CN"/>
              </w:rPr>
              <w:t>1</w:t>
            </w:r>
          </w:p>
        </w:tc>
        <w:tc>
          <w:tcPr>
            <w:tcW w:w="0" w:type="auto"/>
            <w:tcBorders>
              <w:top w:val="single" w:color="DCDCDC" w:sz="4" w:space="0"/>
              <w:right w:val="single" w:color="DCDCDC" w:sz="4" w:space="0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sz w:val="20"/>
                <w:szCs w:val="20"/>
                <w:highlight w:val="none"/>
              </w:rPr>
            </w:pPr>
            <w:r>
              <w:rPr>
                <w:rFonts w:hint="default" w:ascii="Arial" w:hAnsi="Arial" w:cs="Arial"/>
                <w:sz w:val="20"/>
                <w:szCs w:val="20"/>
                <w:highlight w:val="none"/>
              </w:rPr>
              <w:t>8.13276</w:t>
            </w:r>
          </w:p>
        </w:tc>
        <w:tc>
          <w:tcPr>
            <w:tcW w:w="0" w:type="auto"/>
            <w:tcBorders>
              <w:top w:val="single" w:color="DCDCDC" w:sz="4" w:space="0"/>
              <w:right w:val="single" w:color="DCDCDC" w:sz="4" w:space="0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sz w:val="20"/>
                <w:szCs w:val="20"/>
                <w:highlight w:val="none"/>
              </w:rPr>
            </w:pPr>
            <w:r>
              <w:rPr>
                <w:rFonts w:hint="eastAsia"/>
              </w:rPr>
              <w:t>8.27294</w:t>
            </w:r>
          </w:p>
        </w:tc>
        <w:tc>
          <w:tcPr>
            <w:tcW w:w="0" w:type="auto"/>
            <w:tcBorders>
              <w:top w:val="single" w:color="DCDCDC" w:sz="4" w:space="0"/>
              <w:right w:val="single" w:color="DCDCDC" w:sz="4" w:space="0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sz w:val="20"/>
                <w:szCs w:val="20"/>
                <w:highlight w:val="none"/>
              </w:rPr>
            </w:pPr>
            <w:r>
              <w:rPr>
                <w:rFonts w:hint="default" w:ascii="Arial" w:hAnsi="Arial" w:cs="Arial"/>
                <w:sz w:val="20"/>
                <w:szCs w:val="20"/>
                <w:highlight w:val="none"/>
              </w:rPr>
              <w:t>4.3674</w:t>
            </w:r>
          </w:p>
        </w:tc>
        <w:tc>
          <w:tcPr>
            <w:tcW w:w="0" w:type="auto"/>
            <w:tcBorders>
              <w:top w:val="single" w:color="DCDCDC" w:sz="4" w:space="0"/>
              <w:right w:val="single" w:color="DCDCDC" w:sz="4" w:space="0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sz w:val="20"/>
                <w:szCs w:val="20"/>
                <w:highlight w:val="none"/>
              </w:rPr>
            </w:pPr>
            <w:r>
              <w:rPr>
                <w:rFonts w:hint="default" w:ascii="Arial" w:hAnsi="Arial" w:cs="Arial"/>
                <w:sz w:val="20"/>
                <w:szCs w:val="20"/>
                <w:highlight w:val="none"/>
              </w:rPr>
              <w:t>18.7728</w:t>
            </w:r>
          </w:p>
        </w:tc>
        <w:tc>
          <w:tcPr>
            <w:tcW w:w="0" w:type="auto"/>
            <w:tcBorders>
              <w:top w:val="single" w:color="DCDCDC" w:sz="4" w:space="0"/>
              <w:right w:val="nil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sz w:val="20"/>
                <w:szCs w:val="20"/>
                <w:highlight w:val="none"/>
              </w:rPr>
            </w:pPr>
            <w:r>
              <w:rPr>
                <w:rFonts w:hint="default" w:ascii="Arial" w:hAnsi="Arial" w:cs="Arial"/>
                <w:sz w:val="20"/>
                <w:szCs w:val="20"/>
                <w:highlight w:val="none"/>
              </w:rPr>
              <w:t>3.71479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CDCDC" w:sz="4" w:space="0"/>
              <w:right w:val="single" w:color="DCDCDC" w:sz="4" w:space="0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sz w:val="20"/>
                <w:szCs w:val="20"/>
                <w:highlight w:val="none"/>
              </w:rPr>
            </w:pPr>
            <w:r>
              <w:rPr>
                <w:rFonts w:hint="default" w:ascii="Arial" w:hAnsi="Arial" w:cs="Arial"/>
                <w:sz w:val="20"/>
                <w:szCs w:val="20"/>
                <w:highlight w:val="none"/>
                <w:lang w:val="en-US" w:eastAsia="zh-CN"/>
              </w:rPr>
              <w:t>2</w:t>
            </w:r>
          </w:p>
        </w:tc>
        <w:tc>
          <w:tcPr>
            <w:tcW w:w="0" w:type="auto"/>
            <w:tcBorders>
              <w:top w:val="single" w:color="DCDCDC" w:sz="4" w:space="0"/>
              <w:right w:val="single" w:color="DCDCDC" w:sz="4" w:space="0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sz w:val="20"/>
                <w:szCs w:val="20"/>
                <w:highlight w:val="none"/>
              </w:rPr>
            </w:pPr>
            <w:r>
              <w:rPr>
                <w:rFonts w:hint="default" w:ascii="Arial" w:hAnsi="Arial" w:cs="Arial"/>
                <w:sz w:val="20"/>
                <w:szCs w:val="20"/>
                <w:highlight w:val="none"/>
              </w:rPr>
              <w:t>14.9498</w:t>
            </w:r>
          </w:p>
        </w:tc>
        <w:tc>
          <w:tcPr>
            <w:tcW w:w="0" w:type="auto"/>
            <w:tcBorders>
              <w:top w:val="single" w:color="DCDCDC" w:sz="4" w:space="0"/>
              <w:right w:val="single" w:color="DCDCDC" w:sz="4" w:space="0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sz w:val="20"/>
                <w:szCs w:val="20"/>
                <w:highlight w:val="lightGray"/>
              </w:rPr>
            </w:pPr>
            <w:r>
              <w:rPr>
                <w:rFonts w:hint="eastAsia"/>
              </w:rPr>
              <w:t>8.78587</w:t>
            </w:r>
          </w:p>
        </w:tc>
        <w:tc>
          <w:tcPr>
            <w:tcW w:w="0" w:type="auto"/>
            <w:tcBorders>
              <w:top w:val="single" w:color="DCDCDC" w:sz="4" w:space="0"/>
              <w:right w:val="single" w:color="DCDCDC" w:sz="4" w:space="0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sz w:val="20"/>
                <w:szCs w:val="20"/>
                <w:highlight w:val="none"/>
              </w:rPr>
            </w:pPr>
            <w:r>
              <w:rPr>
                <w:rFonts w:hint="default" w:ascii="Arial" w:hAnsi="Arial" w:cs="Arial"/>
                <w:sz w:val="20"/>
                <w:szCs w:val="20"/>
                <w:highlight w:val="none"/>
              </w:rPr>
              <w:t>7.79518</w:t>
            </w:r>
          </w:p>
        </w:tc>
        <w:tc>
          <w:tcPr>
            <w:tcW w:w="0" w:type="auto"/>
            <w:tcBorders>
              <w:top w:val="single" w:color="DCDCDC" w:sz="4" w:space="0"/>
              <w:right w:val="single" w:color="DCDCDC" w:sz="4" w:space="0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sz w:val="20"/>
                <w:szCs w:val="20"/>
                <w:highlight w:val="lightGray"/>
              </w:rPr>
            </w:pPr>
            <w:r>
              <w:rPr>
                <w:rFonts w:hint="eastAsia"/>
              </w:rPr>
              <w:t>34.0823</w:t>
            </w:r>
          </w:p>
        </w:tc>
        <w:tc>
          <w:tcPr>
            <w:tcW w:w="0" w:type="auto"/>
            <w:tcBorders>
              <w:top w:val="single" w:color="DCDCDC" w:sz="4" w:space="0"/>
              <w:right w:val="nil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sz w:val="20"/>
                <w:szCs w:val="20"/>
                <w:highlight w:val="none"/>
              </w:rPr>
            </w:pPr>
            <w:r>
              <w:rPr>
                <w:rFonts w:hint="default" w:ascii="Arial" w:hAnsi="Arial" w:cs="Arial"/>
                <w:sz w:val="20"/>
                <w:szCs w:val="20"/>
                <w:highlight w:val="none"/>
              </w:rPr>
              <w:t>3.33834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CDCDC" w:sz="4" w:space="0"/>
              <w:right w:val="single" w:color="DCDCDC" w:sz="4" w:space="0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sz w:val="20"/>
                <w:szCs w:val="20"/>
                <w:highlight w:val="none"/>
              </w:rPr>
            </w:pPr>
            <w:r>
              <w:rPr>
                <w:rFonts w:hint="default" w:ascii="Arial" w:hAnsi="Arial" w:cs="Arial"/>
                <w:sz w:val="20"/>
                <w:szCs w:val="20"/>
                <w:highlight w:val="none"/>
                <w:lang w:val="en-US" w:eastAsia="zh-CN"/>
              </w:rPr>
              <w:t>3</w:t>
            </w:r>
          </w:p>
        </w:tc>
        <w:tc>
          <w:tcPr>
            <w:tcW w:w="0" w:type="auto"/>
            <w:tcBorders>
              <w:top w:val="single" w:color="DCDCDC" w:sz="4" w:space="0"/>
              <w:right w:val="single" w:color="DCDCDC" w:sz="4" w:space="0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Arial" w:hAnsi="Arial" w:cs="Arial" w:eastAsiaTheme="minorEastAsia"/>
                <w:sz w:val="20"/>
                <w:szCs w:val="20"/>
                <w:highlight w:val="none"/>
                <w:lang w:eastAsia="zh-CN"/>
              </w:rPr>
            </w:pPr>
            <w:r>
              <w:rPr>
                <w:rFonts w:hint="eastAsia"/>
              </w:rPr>
              <w:t>16.0047</w:t>
            </w:r>
          </w:p>
        </w:tc>
        <w:tc>
          <w:tcPr>
            <w:tcW w:w="0" w:type="auto"/>
            <w:tcBorders>
              <w:top w:val="single" w:color="DCDCDC" w:sz="4" w:space="0"/>
              <w:right w:val="single" w:color="DCDCDC" w:sz="4" w:space="0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sz w:val="20"/>
                <w:szCs w:val="20"/>
                <w:highlight w:val="none"/>
              </w:rPr>
            </w:pPr>
            <w:r>
              <w:rPr>
                <w:rFonts w:hint="default" w:ascii="Arial" w:hAnsi="Arial" w:cs="Arial"/>
                <w:sz w:val="20"/>
                <w:szCs w:val="20"/>
                <w:highlight w:val="none"/>
              </w:rPr>
              <w:t>11.7766</w:t>
            </w:r>
          </w:p>
        </w:tc>
        <w:tc>
          <w:tcPr>
            <w:tcW w:w="0" w:type="auto"/>
            <w:tcBorders>
              <w:top w:val="single" w:color="DCDCDC" w:sz="4" w:space="0"/>
              <w:right w:val="single" w:color="DCDCDC" w:sz="4" w:space="0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sz w:val="20"/>
                <w:szCs w:val="20"/>
                <w:highlight w:val="none"/>
              </w:rPr>
            </w:pPr>
            <w:r>
              <w:rPr>
                <w:rFonts w:hint="default" w:ascii="Arial" w:hAnsi="Arial" w:cs="Arial"/>
                <w:sz w:val="20"/>
                <w:szCs w:val="20"/>
                <w:highlight w:val="none"/>
              </w:rPr>
              <w:t>8.56603</w:t>
            </w:r>
          </w:p>
        </w:tc>
        <w:tc>
          <w:tcPr>
            <w:tcW w:w="0" w:type="auto"/>
            <w:tcBorders>
              <w:top w:val="single" w:color="DCDCDC" w:sz="4" w:space="0"/>
              <w:right w:val="single" w:color="DCDCDC" w:sz="4" w:space="0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sz w:val="20"/>
                <w:szCs w:val="20"/>
                <w:highlight w:val="lightGray"/>
              </w:rPr>
            </w:pPr>
            <w:r>
              <w:rPr>
                <w:rFonts w:hint="eastAsia"/>
              </w:rPr>
              <w:t>50.5372</w:t>
            </w:r>
          </w:p>
        </w:tc>
        <w:tc>
          <w:tcPr>
            <w:tcW w:w="0" w:type="auto"/>
            <w:tcBorders>
              <w:top w:val="single" w:color="DCDCDC" w:sz="4" w:space="0"/>
              <w:right w:val="nil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Arial" w:hAnsi="Arial" w:cs="Arial" w:eastAsiaTheme="minorEastAsia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Fonts w:hint="default" w:ascii="Arial" w:hAnsi="Arial" w:cs="Arial"/>
                <w:sz w:val="20"/>
                <w:szCs w:val="20"/>
                <w:highlight w:val="none"/>
              </w:rPr>
              <w:t>3.0214</w:t>
            </w:r>
            <w:r>
              <w:rPr>
                <w:rFonts w:hint="eastAsia" w:ascii="Arial" w:hAnsi="Arial" w:cs="Arial"/>
                <w:sz w:val="20"/>
                <w:szCs w:val="20"/>
                <w:highlight w:val="none"/>
                <w:lang w:val="en-US" w:eastAsia="zh-CN"/>
              </w:rPr>
              <w:t>1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default" w:ascii="Arial" w:hAnsi="Arial" w:cs="Arial" w:eastAsiaTheme="minorEastAsia"/>
          <w:highlight w:val="none"/>
          <w:lang w:val="fr-CA" w:eastAsia="zh-CN"/>
        </w:rPr>
      </w:pPr>
      <w:r>
        <w:rPr>
          <w:rFonts w:hint="eastAsia" w:ascii="Arial" w:hAnsi="Arial" w:cs="Arial"/>
          <w:highlight w:val="none"/>
          <w:lang w:val="en-US" w:eastAsia="zh-CN"/>
        </w:rPr>
        <w:t>Ici, n repr</w:t>
      </w:r>
      <w:r>
        <w:rPr>
          <w:rFonts w:hint="default" w:ascii="Arial" w:hAnsi="Arial" w:cs="Arial"/>
          <w:highlight w:val="none"/>
          <w:lang w:val="fr-CA" w:eastAsia="zh-CN"/>
        </w:rPr>
        <w:t>ésente le nombre de processus de calcul, ça veut dire qu’il y a (n+1) processus ensemble.</w:t>
      </w:r>
      <w:r>
        <w:rPr>
          <w:rFonts w:hint="eastAsia" w:ascii="Arial" w:hAnsi="Arial" w:cs="Arial"/>
          <w:highlight w:val="none"/>
          <w:lang w:val="en-US" w:eastAsia="zh-CN"/>
        </w:rPr>
        <w:t xml:space="preserve"> Nous pouvons voir que dans tous les cas il y a une augmentation de FPS. Pour les probl</w:t>
      </w:r>
      <w:r>
        <w:rPr>
          <w:rFonts w:hint="default" w:ascii="Arial" w:hAnsi="Arial" w:cs="Arial"/>
          <w:highlight w:val="none"/>
          <w:lang w:val="fr-CA" w:eastAsia="zh-CN"/>
        </w:rPr>
        <w:t>èmes où il y a moins de données (cornertest, n=4000), l’augmentation de performance est plus importante. Au contraire, pour onevortexsimulation (n=40000), l’augmentation est négligeable. C’est parce que je travaille sur un seule ordinateur.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highlight w:val="none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cs="Arial"/>
          <w:b/>
          <w:bCs/>
          <w:highlight w:val="none"/>
        </w:rPr>
      </w:pPr>
      <w:r>
        <w:rPr>
          <w:rFonts w:hint="default" w:ascii="Arial" w:hAnsi="Arial" w:cs="Arial"/>
          <w:b/>
          <w:bCs/>
          <w:highlight w:val="none"/>
        </w:rPr>
        <w:t>Réflexions sur l’approche mixte Eulérienne–Lagrangienne</w:t>
      </w:r>
    </w:p>
    <w:p>
      <w:pPr>
        <w:ind w:firstLine="420" w:firstLineChars="0"/>
        <w:rPr>
          <w:rFonts w:hint="default" w:ascii="Arial" w:hAnsi="Arial" w:cs="Arial"/>
          <w:highlight w:val="none"/>
          <w:lang w:val="fr-CA" w:eastAsia="zh-CN"/>
        </w:rPr>
      </w:pPr>
      <w:r>
        <w:rPr>
          <w:rFonts w:hint="eastAsia" w:ascii="Arial" w:hAnsi="Arial" w:cs="Arial"/>
          <w:highlight w:val="none"/>
          <w:lang w:val="en-US" w:eastAsia="zh-CN"/>
        </w:rPr>
        <w:t>Pour l</w:t>
      </w:r>
      <w:r>
        <w:rPr>
          <w:rFonts w:hint="default" w:ascii="Arial" w:hAnsi="Arial" w:cs="Arial"/>
          <w:highlight w:val="none"/>
          <w:lang w:val="fr-CA" w:eastAsia="zh-CN"/>
        </w:rPr>
        <w:t>’approche eulégienne</w:t>
      </w:r>
      <w:r>
        <w:rPr>
          <w:rFonts w:hint="eastAsia" w:ascii="Arial" w:hAnsi="Arial" w:cs="Arial"/>
          <w:highlight w:val="none"/>
          <w:lang w:val="en-US" w:eastAsia="zh-CN"/>
        </w:rPr>
        <w:t xml:space="preserve"> conjointe </w:t>
      </w:r>
      <w:r>
        <w:rPr>
          <w:rFonts w:hint="default" w:ascii="Arial" w:hAnsi="Arial" w:cs="Arial"/>
          <w:highlight w:val="none"/>
          <w:lang w:val="fr-CA" w:eastAsia="zh-CN"/>
        </w:rPr>
        <w:t xml:space="preserve">à l’approche lagrangienne, la grille de calcul est divisée en plusieurs sous-domaine (eulégien). Nous pouvons maintenir dans tous les processus un tableau de </w:t>
      </w:r>
      <w:r>
        <w:rPr>
          <w:rFonts w:hint="eastAsia" w:ascii="Arial" w:hAnsi="Arial" w:cs="Arial"/>
          <w:highlight w:val="none"/>
          <w:lang w:val="en-US" w:eastAsia="zh-CN"/>
        </w:rPr>
        <w:t xml:space="preserve">status des particules qui montre </w:t>
      </w:r>
      <w:r>
        <w:rPr>
          <w:rFonts w:hint="default" w:ascii="Arial" w:hAnsi="Arial" w:cs="Arial"/>
          <w:highlight w:val="none"/>
          <w:lang w:val="fr-CA" w:eastAsia="zh-CN"/>
        </w:rPr>
        <w:t xml:space="preserve">à quelle sous-domaine appartient-ils. À chaque itération, on collecte tous les paricules qui partent dans un autre domaine, nous pouvons utiliser MPI_Bcast() pour mettre à jour la nouvelle status de ces particule dans tous les sous-domaines. </w:t>
      </w:r>
    </w:p>
    <w:p>
      <w:pPr>
        <w:ind w:firstLine="420" w:firstLineChars="0"/>
        <w:rPr>
          <w:rFonts w:hint="default" w:ascii="Arial" w:hAnsi="Arial" w:cs="Arial"/>
          <w:highlight w:val="none"/>
          <w:lang w:val="fr-CA" w:eastAsia="zh-CN"/>
        </w:rPr>
      </w:pPr>
      <w:r>
        <w:rPr>
          <w:rFonts w:hint="default" w:ascii="Arial" w:hAnsi="Arial" w:cs="Arial"/>
          <w:highlight w:val="none"/>
          <w:lang w:val="fr-CA" w:eastAsia="zh-CN"/>
        </w:rPr>
        <w:t xml:space="preserve">Or, la méthode de l’approche lagrangienne nous exige de partitionner les particules et des vortex sur des noeuds différents, selon quelle sous-domain il appartient. Donc il faut aussi une méthode de trouver à partir d’une particule donné à quel sous-domain it appartient. </w:t>
      </w:r>
    </w:p>
    <w:p>
      <w:pPr>
        <w:ind w:firstLine="420" w:firstLineChars="0"/>
        <w:rPr>
          <w:rFonts w:hint="default" w:ascii="Arial" w:hAnsi="Arial" w:cs="Arial"/>
          <w:highlight w:val="none"/>
          <w:lang w:val="fr-CA" w:eastAsia="zh-CN"/>
        </w:rPr>
      </w:pPr>
      <w:r>
        <w:rPr>
          <w:rFonts w:hint="default" w:ascii="Arial" w:hAnsi="Arial" w:cs="Arial"/>
          <w:highlight w:val="none"/>
          <w:lang w:val="fr-CA" w:eastAsia="zh-CN"/>
        </w:rPr>
        <w:t xml:space="preserve">De plus, si les particules et les vortex peuvent interagir entre eux, la partition en sous-domain peut introduire des problèmes de calcul. Cette problème peut être solvé en utilisant </w:t>
      </w:r>
    </w:p>
    <w:p>
      <w:pPr>
        <w:ind w:firstLine="420" w:firstLineChars="0"/>
        <w:rPr>
          <w:rFonts w:hint="default" w:ascii="Arial" w:hAnsi="Arial" w:cs="Arial"/>
          <w:highlight w:val="none"/>
          <w:lang w:val="fr-CA" w:eastAsia="zh-CN"/>
        </w:rPr>
      </w:pPr>
      <w:r>
        <w:rPr>
          <w:rFonts w:hint="default" w:ascii="Arial" w:hAnsi="Arial" w:cs="Arial"/>
          <w:highlight w:val="none"/>
          <w:lang w:val="fr-CA" w:eastAsia="zh-CN"/>
        </w:rPr>
        <w:t xml:space="preserve"> </w:t>
      </w:r>
    </w:p>
    <w:p>
      <w:pPr>
        <w:rPr>
          <w:rFonts w:hint="default" w:ascii="Arial" w:hAnsi="Arial" w:cs="Arial"/>
          <w:highlight w:val="none"/>
          <w:lang w:val="fr-CA" w:eastAsia="zh-CN"/>
        </w:rPr>
      </w:pPr>
    </w:p>
    <w:p>
      <w:pPr>
        <w:rPr>
          <w:rFonts w:hint="default" w:ascii="Arial" w:hAnsi="Arial" w:cs="Arial"/>
          <w:highlight w:val="none"/>
          <w:lang w:val="fr-CA" w:eastAsia="zh-CN"/>
        </w:rPr>
      </w:pPr>
      <w:r>
        <w:rPr>
          <w:rFonts w:hint="default" w:ascii="Arial" w:hAnsi="Arial" w:cs="Arial"/>
          <w:highlight w:val="none"/>
          <w:lang w:val="fr-CA" w:eastAsia="zh-CN"/>
        </w:rPr>
        <w:t>• Dans le cas d’un maillage de très grande dimension:</w:t>
      </w:r>
    </w:p>
    <w:p>
      <w:pPr>
        <w:ind w:firstLine="420" w:firstLineChars="0"/>
        <w:rPr>
          <w:rFonts w:hint="default" w:ascii="Arial" w:hAnsi="Arial" w:cs="Arial" w:eastAsiaTheme="minorEastAsia"/>
          <w:highlight w:val="none"/>
          <w:lang w:val="fr-CA" w:eastAsia="zh-CN"/>
        </w:rPr>
      </w:pPr>
      <w:r>
        <w:rPr>
          <w:rFonts w:hint="default" w:ascii="Arial" w:hAnsi="Arial" w:cs="Arial"/>
          <w:highlight w:val="none"/>
          <w:lang w:val="fr-CA" w:eastAsia="zh-CN"/>
        </w:rPr>
        <w:t>Ça deviendra plus facile de calculer en sous-domaine. Nous pouvons utiliser la méthode de eulégien.</w:t>
      </w:r>
    </w:p>
    <w:p>
      <w:pPr>
        <w:rPr>
          <w:rFonts w:hint="default" w:ascii="Arial" w:hAnsi="Arial" w:cs="Arial"/>
          <w:highlight w:val="none"/>
          <w:lang w:val="fr-CA" w:eastAsia="zh-CN"/>
        </w:rPr>
      </w:pPr>
      <w:r>
        <w:rPr>
          <w:rFonts w:hint="default" w:ascii="Arial" w:hAnsi="Arial" w:cs="Arial"/>
          <w:highlight w:val="none"/>
          <w:lang w:val="fr-CA" w:eastAsia="zh-CN"/>
        </w:rPr>
        <w:t>• Dans le cas d’un très grand nombre de particules:</w:t>
      </w:r>
    </w:p>
    <w:p>
      <w:pPr>
        <w:ind w:firstLine="420" w:firstLineChars="0"/>
        <w:rPr>
          <w:rFonts w:hint="default" w:ascii="Arial" w:hAnsi="Arial" w:cs="Arial"/>
          <w:highlight w:val="none"/>
          <w:lang w:val="fr-CA" w:eastAsia="zh-CN"/>
        </w:rPr>
      </w:pPr>
      <w:r>
        <w:rPr>
          <w:rFonts w:hint="default" w:ascii="Arial" w:hAnsi="Arial" w:cs="Arial"/>
          <w:highlight w:val="none"/>
          <w:lang w:val="fr-CA" w:eastAsia="zh-CN"/>
        </w:rPr>
        <w:t>L</w:t>
      </w:r>
      <w:r>
        <w:rPr>
          <w:rFonts w:hint="eastAsia" w:ascii="Arial" w:hAnsi="Arial" w:cs="Arial"/>
          <w:highlight w:val="none"/>
          <w:lang w:val="en-US" w:eastAsia="zh-CN"/>
        </w:rPr>
        <w:t xml:space="preserve">a mise </w:t>
      </w:r>
      <w:r>
        <w:rPr>
          <w:rFonts w:hint="default" w:ascii="Arial" w:hAnsi="Arial" w:cs="Arial"/>
          <w:highlight w:val="none"/>
          <w:lang w:val="fr-CA" w:eastAsia="zh-CN"/>
        </w:rPr>
        <w:t>à jour des status des particules sera génante. Nous pouvons utiliser la méthode purement lagrangien.</w:t>
      </w:r>
    </w:p>
    <w:p>
      <w:pPr>
        <w:rPr>
          <w:rFonts w:hint="default" w:ascii="Arial" w:hAnsi="Arial" w:cs="Arial"/>
          <w:highlight w:val="none"/>
          <w:lang w:val="fr-CA" w:eastAsia="zh-CN"/>
        </w:rPr>
      </w:pPr>
      <w:r>
        <w:rPr>
          <w:rFonts w:hint="default" w:ascii="Arial" w:hAnsi="Arial" w:cs="Arial"/>
          <w:highlight w:val="none"/>
          <w:lang w:val="fr-CA" w:eastAsia="zh-CN"/>
        </w:rPr>
        <w:t xml:space="preserve">• Et dans le cas d’un maillage de très grande taille ET un très grand nombre </w:t>
      </w:r>
    </w:p>
    <w:p>
      <w:pPr>
        <w:rPr>
          <w:rFonts w:hint="default" w:ascii="Arial" w:hAnsi="Arial" w:cs="Arial"/>
          <w:highlight w:val="none"/>
          <w:lang w:val="fr-CA" w:eastAsia="zh-CN"/>
        </w:rPr>
      </w:pPr>
      <w:r>
        <w:rPr>
          <w:rFonts w:hint="default" w:ascii="Arial" w:hAnsi="Arial" w:cs="Arial"/>
          <w:highlight w:val="none"/>
          <w:lang w:val="fr-CA" w:eastAsia="zh-CN"/>
        </w:rPr>
        <w:t xml:space="preserve">de particules ? </w:t>
      </w:r>
    </w:p>
    <w:p>
      <w:pPr>
        <w:ind w:firstLine="420" w:firstLineChars="0"/>
        <w:rPr>
          <w:rFonts w:hint="default" w:ascii="Arial" w:hAnsi="Arial" w:cs="Arial"/>
          <w:highlight w:val="none"/>
          <w:lang w:val="fr-CA" w:eastAsia="zh-CN"/>
        </w:rPr>
      </w:pPr>
      <w:r>
        <w:rPr>
          <w:rFonts w:hint="default" w:ascii="Arial" w:hAnsi="Arial" w:cs="Arial"/>
          <w:highlight w:val="none"/>
          <w:lang w:val="fr-CA" w:eastAsia="zh-CN"/>
        </w:rPr>
        <w:t>Nous pouvons conjoindre les deux.</w:t>
      </w:r>
    </w:p>
    <w:p>
      <w:pPr>
        <w:rPr>
          <w:rFonts w:hint="default" w:ascii="Arial" w:hAnsi="Arial" w:cs="Arial"/>
          <w:highlight w:val="none"/>
          <w:lang w:val="fr-CA" w:eastAsia="zh-CN"/>
        </w:rPr>
      </w:pPr>
    </w:p>
    <w:p>
      <w:pPr>
        <w:rPr>
          <w:rFonts w:hint="default" w:ascii="Arial" w:hAnsi="Arial" w:cs="Arial"/>
          <w:highlight w:val="none"/>
          <w:lang w:val="fr-CA" w:eastAsia="zh-CN"/>
        </w:rPr>
      </w:pPr>
    </w:p>
    <w:p>
      <w:pPr>
        <w:rPr>
          <w:rFonts w:hint="default" w:ascii="Arial" w:hAnsi="Arial" w:cs="Arial"/>
          <w:highlight w:val="none"/>
          <w:lang w:val="fr-CA" w:eastAsia="zh-CN"/>
        </w:rPr>
      </w:pPr>
    </w:p>
    <w:p>
      <w:pPr>
        <w:bidi w:val="0"/>
        <w:rPr>
          <w:rFonts w:hint="default"/>
          <w:lang w:val="fr-CA" w:eastAsia="zh-CN"/>
        </w:rPr>
      </w:pPr>
    </w:p>
    <w:p>
      <w:pPr>
        <w:bidi w:val="0"/>
        <w:rPr>
          <w:rFonts w:hint="default"/>
          <w:lang w:val="fr-CA" w:eastAsia="zh-CN"/>
        </w:rPr>
      </w:pPr>
    </w:p>
    <w:p>
      <w:pPr>
        <w:bidi w:val="0"/>
        <w:rPr>
          <w:rFonts w:hint="default"/>
          <w:lang w:val="fr-CA" w:eastAsia="zh-CN"/>
        </w:rPr>
      </w:pPr>
    </w:p>
    <w:p>
      <w:pPr>
        <w:tabs>
          <w:tab w:val="left" w:pos="4703"/>
        </w:tabs>
        <w:bidi w:val="0"/>
        <w:jc w:val="left"/>
        <w:rPr>
          <w:rFonts w:hint="eastAsia" w:eastAsiaTheme="minorEastAsia"/>
          <w:lang w:val="fr-CA" w:eastAsia="zh-CN"/>
        </w:rPr>
      </w:pPr>
      <w:r>
        <w:rPr>
          <w:rFonts w:hint="default"/>
          <w:lang w:val="fr-CA"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60B5F9"/>
    <w:multiLevelType w:val="singleLevel"/>
    <w:tmpl w:val="9C60B5F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">
    <w:nsid w:val="E2A2C266"/>
    <w:multiLevelType w:val="singleLevel"/>
    <w:tmpl w:val="E2A2C26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JlNTBmNjVkZmVkZGFkYWFjM2M1MDA0N2I0YzQ4NjIifQ=="/>
  </w:docVars>
  <w:rsids>
    <w:rsidRoot w:val="00000000"/>
    <w:rsid w:val="00E0665C"/>
    <w:rsid w:val="06625E2E"/>
    <w:rsid w:val="0A2862D1"/>
    <w:rsid w:val="0BC31671"/>
    <w:rsid w:val="0C1110C3"/>
    <w:rsid w:val="0C460641"/>
    <w:rsid w:val="0CC02AF4"/>
    <w:rsid w:val="0E7C0D4C"/>
    <w:rsid w:val="0EA12BEF"/>
    <w:rsid w:val="0F584558"/>
    <w:rsid w:val="17325D54"/>
    <w:rsid w:val="1ACE62BE"/>
    <w:rsid w:val="1CA53D01"/>
    <w:rsid w:val="1CA717D2"/>
    <w:rsid w:val="1CD64203"/>
    <w:rsid w:val="1DF51610"/>
    <w:rsid w:val="22087C6F"/>
    <w:rsid w:val="22F619A1"/>
    <w:rsid w:val="23A35ADA"/>
    <w:rsid w:val="23D554A8"/>
    <w:rsid w:val="24631F8A"/>
    <w:rsid w:val="24E25492"/>
    <w:rsid w:val="25485D6F"/>
    <w:rsid w:val="258B43CA"/>
    <w:rsid w:val="25F43259"/>
    <w:rsid w:val="26322643"/>
    <w:rsid w:val="2D896E1E"/>
    <w:rsid w:val="31D02F2B"/>
    <w:rsid w:val="3A545694"/>
    <w:rsid w:val="3B0113FB"/>
    <w:rsid w:val="3D3E3E8C"/>
    <w:rsid w:val="401D5B1D"/>
    <w:rsid w:val="40A43389"/>
    <w:rsid w:val="40BA0DD8"/>
    <w:rsid w:val="418B5C7F"/>
    <w:rsid w:val="4209541B"/>
    <w:rsid w:val="426C3C56"/>
    <w:rsid w:val="4518625A"/>
    <w:rsid w:val="475342CD"/>
    <w:rsid w:val="489F55D6"/>
    <w:rsid w:val="49A76EFC"/>
    <w:rsid w:val="4A192915"/>
    <w:rsid w:val="4B255A6E"/>
    <w:rsid w:val="4BD24CD2"/>
    <w:rsid w:val="4E8B5177"/>
    <w:rsid w:val="4F437A1E"/>
    <w:rsid w:val="4FA5434D"/>
    <w:rsid w:val="51A229BD"/>
    <w:rsid w:val="54350468"/>
    <w:rsid w:val="54E30C7D"/>
    <w:rsid w:val="54F2041B"/>
    <w:rsid w:val="5B116C41"/>
    <w:rsid w:val="5B9F19C4"/>
    <w:rsid w:val="5E42210E"/>
    <w:rsid w:val="5EB46A1E"/>
    <w:rsid w:val="62D77397"/>
    <w:rsid w:val="62FA3A20"/>
    <w:rsid w:val="65D43309"/>
    <w:rsid w:val="66EE0D20"/>
    <w:rsid w:val="6B7F7BA4"/>
    <w:rsid w:val="6C5B75B1"/>
    <w:rsid w:val="6FE73F05"/>
    <w:rsid w:val="70F85D07"/>
    <w:rsid w:val="78FF3467"/>
    <w:rsid w:val="79D94E18"/>
    <w:rsid w:val="7AAB6359"/>
    <w:rsid w:val="7B6F1AE6"/>
    <w:rsid w:val="7DAE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935</Words>
  <Characters>5479</Characters>
  <Lines>0</Lines>
  <Paragraphs>0</Paragraphs>
  <TotalTime>28</TotalTime>
  <ScaleCrop>false</ScaleCrop>
  <LinksUpToDate>false</LinksUpToDate>
  <CharactersWithSpaces>6328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2023-03-17T19:18:00Z</dcterms:created>
  <dc:creator>cj</dc:creator>
  <cp:lastModifiedBy>jccccc</cp:lastModifiedBy>
  <dcterms:modified xsi:type="dcterms:W3CDTF">2023-03-17T21:54:48Z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9CD8998815284C88A3793DC7919A8017</vt:lpwstr>
  </property>
</Properties>
</file>