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0B5D9E" w14:textId="5FF91DF9" w:rsidR="00F752B3" w:rsidRDefault="00F752B3" w:rsidP="00F752B3">
      <w:pPr>
        <w:rPr>
          <w:rFonts w:hint="eastAsia"/>
          <w:b/>
          <w:bCs/>
        </w:rPr>
      </w:pPr>
      <w:r w:rsidRPr="00F752B3">
        <w:rPr>
          <w:b/>
          <w:bCs/>
        </w:rPr>
        <w:t>Base Quality Score Recalibration（BQSR）</w:t>
      </w:r>
      <w:r w:rsidR="00462B69">
        <w:rPr>
          <w:rFonts w:hint="eastAsia"/>
          <w:b/>
          <w:bCs/>
        </w:rPr>
        <w:t>について</w:t>
      </w:r>
    </w:p>
    <w:p w14:paraId="7004C224" w14:textId="77777777" w:rsidR="00F752B3" w:rsidRPr="00F752B3" w:rsidRDefault="00F752B3" w:rsidP="00F752B3">
      <w:pPr>
        <w:rPr>
          <w:rFonts w:hint="eastAsia"/>
          <w:b/>
          <w:bCs/>
        </w:rPr>
      </w:pPr>
    </w:p>
    <w:p w14:paraId="341335B7" w14:textId="77777777" w:rsidR="00F752B3" w:rsidRPr="00F752B3" w:rsidRDefault="00F752B3" w:rsidP="00F752B3">
      <w:pPr>
        <w:rPr>
          <w:b/>
          <w:bCs/>
          <w:u w:val="single"/>
        </w:rPr>
      </w:pPr>
      <w:r w:rsidRPr="00F752B3">
        <w:rPr>
          <w:b/>
          <w:bCs/>
          <w:u w:val="single"/>
        </w:rPr>
        <w:t>1. 概要</w:t>
      </w:r>
    </w:p>
    <w:p w14:paraId="6000739D" w14:textId="7BCFA1AA" w:rsidR="00F752B3" w:rsidRPr="00F752B3" w:rsidRDefault="00F752B3" w:rsidP="00F752B3">
      <w:r w:rsidRPr="00F752B3">
        <w:t>Base Quality Score Recalibration（BQSR）は、シーケンサーが出力したベースクオリティ（Base Quality; Q値）の系統的な誤差を補正し、実際の誤り率に整合させることを目的とした手法である。</w:t>
      </w:r>
      <w:r w:rsidRPr="00F752B3">
        <w:br/>
        <w:t>この処理は、変異検出（Variant Calling）の前段階で行われ、リードごとの信頼度を正確に反映させることで、SNP検出の感度を向上させる役割を担う。</w:t>
      </w:r>
    </w:p>
    <w:p w14:paraId="0C60287A" w14:textId="72FFB790" w:rsidR="00F752B3" w:rsidRPr="00F752B3" w:rsidRDefault="00F752B3" w:rsidP="00F752B3"/>
    <w:p w14:paraId="5FFD8D03" w14:textId="706B63EC" w:rsidR="00F752B3" w:rsidRPr="00F752B3" w:rsidRDefault="00F752B3" w:rsidP="00F752B3">
      <w:pPr>
        <w:rPr>
          <w:rFonts w:hint="eastAsia"/>
          <w:b/>
          <w:bCs/>
          <w:u w:val="single"/>
        </w:rPr>
      </w:pPr>
      <w:r w:rsidRPr="00F752B3">
        <w:rPr>
          <w:b/>
          <w:bCs/>
          <w:u w:val="single"/>
        </w:rPr>
        <w:t>2. 背景：ベースクオリティとは</w:t>
      </w:r>
    </w:p>
    <w:p w14:paraId="788CFE26" w14:textId="65B8306F" w:rsidR="009D6DAE" w:rsidRDefault="00F752B3" w:rsidP="00F752B3">
      <w:r w:rsidRPr="00F752B3">
        <w:t>シーケンサーが出力するFASTQファイルには、各塩基に対してPhredスケール</w:t>
      </w:r>
      <w:r w:rsidR="00826103">
        <w:rPr>
          <w:rFonts w:hint="eastAsia"/>
        </w:rPr>
        <w:t>（</w:t>
      </w:r>
      <w:r w:rsidR="00826103" w:rsidRPr="00826103">
        <w:t>塩基の正しく読み取れている確率を対数スケールで表現するための指標</w:t>
      </w:r>
      <w:r w:rsidR="00826103">
        <w:rPr>
          <w:rFonts w:hint="eastAsia"/>
        </w:rPr>
        <w:t>）</w:t>
      </w:r>
      <w:r w:rsidRPr="00F752B3">
        <w:t>で表されたベースクオリティ（Q値）が付与されている。</w:t>
      </w:r>
      <w:r w:rsidR="00212A3C">
        <w:rPr>
          <w:rFonts w:hint="eastAsia"/>
        </w:rPr>
        <w:t>（</w:t>
      </w:r>
      <w:r w:rsidR="009D6DAE">
        <w:rPr>
          <w:rFonts w:hint="eastAsia"/>
        </w:rPr>
        <w:t>ゲノム多様性解析p.15,16参照</w:t>
      </w:r>
      <w:r w:rsidR="00212A3C">
        <w:rPr>
          <w:rFonts w:hint="eastAsia"/>
        </w:rPr>
        <w:t>）</w:t>
      </w:r>
    </w:p>
    <w:p w14:paraId="1D178AE0" w14:textId="51F32987" w:rsidR="00F752B3" w:rsidRDefault="00F752B3" w:rsidP="00F752B3">
      <w:r w:rsidRPr="00F752B3">
        <w:br/>
        <w:t xml:space="preserve">これは、呼び出された塩基が誤っている確率 </w:t>
      </w:r>
      <m:oMath>
        <m:sSub>
          <m:sSubPr>
            <m:ctrlPr>
              <w:rPr>
                <w:rFonts w:ascii="Cambria Math" w:hAnsi="Cambria Math"/>
              </w:rPr>
            </m:ctrlPr>
          </m:sSubPr>
          <m:e>
            <m:r>
              <w:rPr>
                <w:rFonts w:ascii="Cambria Math" w:hAnsi="Cambria Math"/>
              </w:rPr>
              <m:t>P</m:t>
            </m:r>
          </m:e>
          <m:sub>
            <m:r>
              <m:rPr>
                <m:nor/>
              </m:rPr>
              <m:t>error</m:t>
            </m:r>
          </m:sub>
        </m:sSub>
      </m:oMath>
      <w:r w:rsidRPr="00F752B3">
        <w:t>を対数変換したものであり、</w:t>
      </w:r>
    </w:p>
    <w:p w14:paraId="08E7CF01" w14:textId="77777777" w:rsidR="00462B69" w:rsidRPr="00F752B3" w:rsidRDefault="00462B69" w:rsidP="00F752B3">
      <w:pPr>
        <w:rPr>
          <w:rFonts w:hint="eastAsia"/>
        </w:rPr>
      </w:pPr>
    </w:p>
    <w:p w14:paraId="2B378499" w14:textId="07EC6A69" w:rsidR="00F752B3" w:rsidRPr="00F752B3" w:rsidRDefault="00F752B3" w:rsidP="00F752B3">
      <w:pPr>
        <w:rPr>
          <w:sz w:val="32"/>
          <w:szCs w:val="32"/>
          <w:lang w:val="es-ES"/>
        </w:rPr>
      </w:pPr>
      <m:oMathPara>
        <m:oMath>
          <m:r>
            <w:rPr>
              <w:rFonts w:ascii="Cambria Math" w:hAnsi="Cambria Math"/>
              <w:sz w:val="32"/>
              <w:szCs w:val="32"/>
            </w:rPr>
            <m:t>Q</m:t>
          </m:r>
          <m:r>
            <w:rPr>
              <w:rFonts w:ascii="Cambria Math" w:hAnsi="Cambria Math"/>
              <w:sz w:val="32"/>
              <w:szCs w:val="32"/>
              <w:lang w:val="es-ES"/>
            </w:rPr>
            <m:t>=-10×</m:t>
          </m:r>
          <m:sSub>
            <m:sSubPr>
              <m:ctrlPr>
                <w:rPr>
                  <w:rFonts w:ascii="Cambria Math" w:hAnsi="Cambria Math"/>
                  <w:sz w:val="32"/>
                  <w:szCs w:val="32"/>
                </w:rPr>
              </m:ctrlPr>
            </m:sSubPr>
            <m:e>
              <m:r>
                <m:rPr>
                  <m:sty m:val="p"/>
                </m:rPr>
                <w:rPr>
                  <w:rFonts w:ascii="Cambria Math" w:hAnsi="Cambria Math"/>
                  <w:sz w:val="32"/>
                  <w:szCs w:val="32"/>
                  <w:lang w:val="es-ES"/>
                </w:rPr>
                <m:t>log</m:t>
              </m:r>
              <m:r>
                <w:rPr>
                  <w:rFonts w:ascii="Cambria Math" w:hAnsi="Cambria Math"/>
                  <w:sz w:val="32"/>
                  <w:szCs w:val="32"/>
                  <w:lang w:val="es-ES"/>
                </w:rPr>
                <m:t>⁡</m:t>
              </m:r>
            </m:e>
            <m:sub>
              <m:r>
                <w:rPr>
                  <w:rFonts w:ascii="Cambria Math" w:hAnsi="Cambria Math"/>
                  <w:sz w:val="32"/>
                  <w:szCs w:val="32"/>
                  <w:lang w:val="es-ES"/>
                </w:rPr>
                <m:t>10</m:t>
              </m:r>
            </m:sub>
          </m:sSub>
          <m:r>
            <w:rPr>
              <w:rFonts w:ascii="Cambria Math" w:hAnsi="Cambria Math"/>
              <w:sz w:val="32"/>
              <w:szCs w:val="32"/>
              <w:lang w:val="es-ES"/>
            </w:rPr>
            <m:t>(</m:t>
          </m:r>
          <m:sSub>
            <m:sSubPr>
              <m:ctrlPr>
                <w:rPr>
                  <w:rFonts w:ascii="Cambria Math" w:hAnsi="Cambria Math"/>
                  <w:sz w:val="32"/>
                  <w:szCs w:val="32"/>
                </w:rPr>
              </m:ctrlPr>
            </m:sSubPr>
            <m:e>
              <m:r>
                <w:rPr>
                  <w:rFonts w:ascii="Cambria Math" w:hAnsi="Cambria Math"/>
                  <w:sz w:val="32"/>
                  <w:szCs w:val="32"/>
                </w:rPr>
                <m:t>P</m:t>
              </m:r>
            </m:e>
            <m:sub>
              <m:r>
                <m:rPr>
                  <m:nor/>
                </m:rPr>
                <w:rPr>
                  <w:sz w:val="32"/>
                  <w:szCs w:val="32"/>
                  <w:lang w:val="es-ES"/>
                </w:rPr>
                <m:t>error</m:t>
              </m:r>
            </m:sub>
          </m:sSub>
          <m:r>
            <w:rPr>
              <w:rFonts w:ascii="Cambria Math" w:hAnsi="Cambria Math"/>
              <w:sz w:val="32"/>
              <w:szCs w:val="32"/>
              <w:lang w:val="es-ES"/>
            </w:rPr>
            <m:t>)</m:t>
          </m:r>
        </m:oMath>
      </m:oMathPara>
    </w:p>
    <w:p w14:paraId="67530343" w14:textId="77777777" w:rsidR="00462B69" w:rsidRDefault="00462B69" w:rsidP="00F752B3"/>
    <w:p w14:paraId="01640593" w14:textId="77777777" w:rsidR="00462B69" w:rsidRDefault="00F752B3" w:rsidP="00F752B3">
      <w:r w:rsidRPr="00F752B3">
        <w:t>で定義される。</w:t>
      </w:r>
      <w:r w:rsidRPr="00F752B3">
        <w:br/>
      </w:r>
    </w:p>
    <w:p w14:paraId="0BE6B787" w14:textId="76B10D9C" w:rsidR="00F752B3" w:rsidRPr="00F752B3" w:rsidRDefault="00F752B3" w:rsidP="00F752B3">
      <w:r w:rsidRPr="00F752B3">
        <w:t>例えば、Q=20は誤り率1/100、Q=30は1/1000、Q=40は1/10000を意味する。</w:t>
      </w:r>
      <w:r w:rsidRPr="00F752B3">
        <w:br/>
        <w:t>しかし、このQ値はシーケンサー内部アルゴリズムに基づく理論値であり、実際の誤り率と完全には一致しない。</w:t>
      </w:r>
      <w:r w:rsidRPr="00F752B3">
        <w:br/>
        <w:t>装置特性、リード長、塩基種、周囲の配列コンテキスト、リード位置などに依存した系統的偏りが存在する。</w:t>
      </w:r>
    </w:p>
    <w:p w14:paraId="2D1B76A2" w14:textId="6779F84F" w:rsidR="00F752B3" w:rsidRPr="00F752B3" w:rsidRDefault="00F752B3" w:rsidP="00F752B3"/>
    <w:p w14:paraId="11A2EE5C" w14:textId="77777777" w:rsidR="00F752B3" w:rsidRPr="00F752B3" w:rsidRDefault="00F752B3" w:rsidP="00F752B3">
      <w:pPr>
        <w:rPr>
          <w:b/>
          <w:bCs/>
          <w:u w:val="single"/>
        </w:rPr>
      </w:pPr>
      <w:r w:rsidRPr="00F752B3">
        <w:rPr>
          <w:b/>
          <w:bCs/>
          <w:u w:val="single"/>
        </w:rPr>
        <w:t>3. 入力データと基本原理</w:t>
      </w:r>
    </w:p>
    <w:p w14:paraId="329EFA2B" w14:textId="77777777" w:rsidR="00F752B3" w:rsidRPr="00F752B3" w:rsidRDefault="00F752B3" w:rsidP="00F752B3">
      <w:r w:rsidRPr="00F752B3">
        <w:t>BQSRの入力には以下の3種が用いられる：</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7"/>
        <w:gridCol w:w="4441"/>
        <w:gridCol w:w="2046"/>
      </w:tblGrid>
      <w:tr w:rsidR="00F752B3" w:rsidRPr="00F752B3" w14:paraId="4A84C157" w14:textId="77777777">
        <w:trPr>
          <w:tblHeader/>
          <w:tblCellSpacing w:w="15" w:type="dxa"/>
        </w:trPr>
        <w:tc>
          <w:tcPr>
            <w:tcW w:w="0" w:type="auto"/>
            <w:vAlign w:val="center"/>
            <w:hideMark/>
          </w:tcPr>
          <w:p w14:paraId="17F006AF" w14:textId="77777777" w:rsidR="00F752B3" w:rsidRPr="00F752B3" w:rsidRDefault="00F752B3" w:rsidP="00F752B3">
            <w:pPr>
              <w:rPr>
                <w:b/>
                <w:bCs/>
              </w:rPr>
            </w:pPr>
            <w:r w:rsidRPr="00F752B3">
              <w:rPr>
                <w:b/>
                <w:bCs/>
              </w:rPr>
              <w:t>入力ファイル</w:t>
            </w:r>
          </w:p>
        </w:tc>
        <w:tc>
          <w:tcPr>
            <w:tcW w:w="0" w:type="auto"/>
            <w:vAlign w:val="center"/>
            <w:hideMark/>
          </w:tcPr>
          <w:p w14:paraId="6E3D30DA" w14:textId="77777777" w:rsidR="00F752B3" w:rsidRPr="00F752B3" w:rsidRDefault="00F752B3" w:rsidP="00F752B3">
            <w:pPr>
              <w:rPr>
                <w:b/>
                <w:bCs/>
              </w:rPr>
            </w:pPr>
            <w:r w:rsidRPr="00F752B3">
              <w:rPr>
                <w:b/>
                <w:bCs/>
              </w:rPr>
              <w:t>内容</w:t>
            </w:r>
          </w:p>
        </w:tc>
        <w:tc>
          <w:tcPr>
            <w:tcW w:w="0" w:type="auto"/>
            <w:vAlign w:val="center"/>
            <w:hideMark/>
          </w:tcPr>
          <w:p w14:paraId="3C880DC3" w14:textId="77777777" w:rsidR="00F752B3" w:rsidRPr="00F752B3" w:rsidRDefault="00F752B3" w:rsidP="00F752B3">
            <w:pPr>
              <w:rPr>
                <w:b/>
                <w:bCs/>
              </w:rPr>
            </w:pPr>
            <w:r w:rsidRPr="00F752B3">
              <w:rPr>
                <w:b/>
                <w:bCs/>
              </w:rPr>
              <w:t>役割</w:t>
            </w:r>
          </w:p>
        </w:tc>
      </w:tr>
      <w:tr w:rsidR="00F752B3" w:rsidRPr="00F752B3" w14:paraId="6EBD80D4" w14:textId="77777777">
        <w:trPr>
          <w:tblCellSpacing w:w="15" w:type="dxa"/>
        </w:trPr>
        <w:tc>
          <w:tcPr>
            <w:tcW w:w="0" w:type="auto"/>
            <w:vAlign w:val="center"/>
            <w:hideMark/>
          </w:tcPr>
          <w:p w14:paraId="61F9F5BA" w14:textId="77777777" w:rsidR="00F752B3" w:rsidRPr="00F752B3" w:rsidRDefault="00F752B3" w:rsidP="00F752B3">
            <w:r w:rsidRPr="00F752B3">
              <w:t>BAM</w:t>
            </w:r>
          </w:p>
        </w:tc>
        <w:tc>
          <w:tcPr>
            <w:tcW w:w="0" w:type="auto"/>
            <w:vAlign w:val="center"/>
            <w:hideMark/>
          </w:tcPr>
          <w:p w14:paraId="4D54D994" w14:textId="77777777" w:rsidR="00F752B3" w:rsidRPr="00F752B3" w:rsidRDefault="00F752B3" w:rsidP="00F752B3">
            <w:r w:rsidRPr="00F752B3">
              <w:t>アライン済みリード（FASTQ由来の</w:t>
            </w:r>
            <w:proofErr w:type="spellStart"/>
            <w:r w:rsidRPr="00F752B3">
              <w:t>BaseQ</w:t>
            </w:r>
            <w:proofErr w:type="spellEnd"/>
            <w:r w:rsidRPr="00F752B3">
              <w:t>を保持）</w:t>
            </w:r>
          </w:p>
        </w:tc>
        <w:tc>
          <w:tcPr>
            <w:tcW w:w="0" w:type="auto"/>
            <w:vAlign w:val="center"/>
            <w:hideMark/>
          </w:tcPr>
          <w:p w14:paraId="4B2BEA04" w14:textId="77777777" w:rsidR="00F752B3" w:rsidRPr="00F752B3" w:rsidRDefault="00F752B3" w:rsidP="00F752B3">
            <w:r w:rsidRPr="00F752B3">
              <w:t>実際の観測値</w:t>
            </w:r>
          </w:p>
        </w:tc>
      </w:tr>
      <w:tr w:rsidR="00F752B3" w:rsidRPr="00F752B3" w14:paraId="16D6ACB4" w14:textId="77777777">
        <w:trPr>
          <w:tblCellSpacing w:w="15" w:type="dxa"/>
        </w:trPr>
        <w:tc>
          <w:tcPr>
            <w:tcW w:w="0" w:type="auto"/>
            <w:vAlign w:val="center"/>
            <w:hideMark/>
          </w:tcPr>
          <w:p w14:paraId="77043C00" w14:textId="77777777" w:rsidR="00F752B3" w:rsidRPr="00F752B3" w:rsidRDefault="00F752B3" w:rsidP="00F752B3">
            <w:r w:rsidRPr="00F752B3">
              <w:t>参照ゲノム（FASTA）</w:t>
            </w:r>
          </w:p>
        </w:tc>
        <w:tc>
          <w:tcPr>
            <w:tcW w:w="0" w:type="auto"/>
            <w:vAlign w:val="center"/>
            <w:hideMark/>
          </w:tcPr>
          <w:p w14:paraId="787EB6EB" w14:textId="77777777" w:rsidR="00F752B3" w:rsidRPr="00F752B3" w:rsidRDefault="00F752B3" w:rsidP="00F752B3">
            <w:r w:rsidRPr="00F752B3">
              <w:t>正しい塩基配列の基準</w:t>
            </w:r>
          </w:p>
        </w:tc>
        <w:tc>
          <w:tcPr>
            <w:tcW w:w="0" w:type="auto"/>
            <w:vAlign w:val="center"/>
            <w:hideMark/>
          </w:tcPr>
          <w:p w14:paraId="303C5D5E" w14:textId="77777777" w:rsidR="00F752B3" w:rsidRPr="00F752B3" w:rsidRDefault="00F752B3" w:rsidP="00F752B3">
            <w:r w:rsidRPr="00F752B3">
              <w:t>誤りの判定基準</w:t>
            </w:r>
          </w:p>
        </w:tc>
      </w:tr>
      <w:tr w:rsidR="00F752B3" w:rsidRPr="00F752B3" w14:paraId="412527BC" w14:textId="77777777">
        <w:trPr>
          <w:tblCellSpacing w:w="15" w:type="dxa"/>
        </w:trPr>
        <w:tc>
          <w:tcPr>
            <w:tcW w:w="0" w:type="auto"/>
            <w:vAlign w:val="center"/>
            <w:hideMark/>
          </w:tcPr>
          <w:p w14:paraId="44AC28CB" w14:textId="77777777" w:rsidR="00F752B3" w:rsidRPr="00F752B3" w:rsidRDefault="00F752B3" w:rsidP="00F752B3">
            <w:r w:rsidRPr="00F752B3">
              <w:t>既知SNP（VCF）</w:t>
            </w:r>
          </w:p>
        </w:tc>
        <w:tc>
          <w:tcPr>
            <w:tcW w:w="0" w:type="auto"/>
            <w:vAlign w:val="center"/>
            <w:hideMark/>
          </w:tcPr>
          <w:p w14:paraId="1BA5BE74" w14:textId="77777777" w:rsidR="00F752B3" w:rsidRPr="00F752B3" w:rsidRDefault="00F752B3" w:rsidP="00F752B3">
            <w:r w:rsidRPr="00F752B3">
              <w:t>既知の多型位置情報</w:t>
            </w:r>
          </w:p>
        </w:tc>
        <w:tc>
          <w:tcPr>
            <w:tcW w:w="0" w:type="auto"/>
            <w:vAlign w:val="center"/>
            <w:hideMark/>
          </w:tcPr>
          <w:p w14:paraId="40881F4A" w14:textId="77777777" w:rsidR="00F752B3" w:rsidRPr="00F752B3" w:rsidRDefault="00F752B3" w:rsidP="00F752B3">
            <w:r w:rsidRPr="00F752B3">
              <w:t>真の変異を除外するため</w:t>
            </w:r>
          </w:p>
        </w:tc>
      </w:tr>
    </w:tbl>
    <w:p w14:paraId="49722692" w14:textId="09A00389" w:rsidR="00F752B3" w:rsidRDefault="00F752B3" w:rsidP="00F752B3">
      <w:r w:rsidRPr="00F752B3">
        <w:t>FASTQは直接使用されないが、各塩基の</w:t>
      </w:r>
      <w:proofErr w:type="spellStart"/>
      <w:r w:rsidRPr="00F752B3">
        <w:t>BaseQ</w:t>
      </w:r>
      <w:proofErr w:type="spellEnd"/>
      <w:r w:rsidRPr="00F752B3">
        <w:t>情報はBAMに保持されているため、</w:t>
      </w:r>
      <w:r w:rsidR="009E2997">
        <w:rPr>
          <w:rFonts w:hint="eastAsia"/>
        </w:rPr>
        <w:t>BAMファイルさえあれば実行</w:t>
      </w:r>
      <w:r w:rsidRPr="00F752B3">
        <w:t>可能である。</w:t>
      </w:r>
    </w:p>
    <w:p w14:paraId="22AC278A" w14:textId="77777777" w:rsidR="009F3758" w:rsidRPr="00F752B3" w:rsidRDefault="009F3758" w:rsidP="00F752B3">
      <w:pPr>
        <w:rPr>
          <w:rFonts w:hint="eastAsia"/>
        </w:rPr>
      </w:pPr>
    </w:p>
    <w:p w14:paraId="3B3E8F9F" w14:textId="7FCE84DB" w:rsidR="00F752B3" w:rsidRPr="00F752B3" w:rsidRDefault="00F752B3" w:rsidP="00F752B3">
      <w:pPr>
        <w:rPr>
          <w:rFonts w:hint="eastAsia"/>
        </w:rPr>
      </w:pPr>
      <w:r w:rsidRPr="00F752B3">
        <w:t>BQSRは、BAM中の</w:t>
      </w:r>
      <w:r w:rsidR="009B4B2E">
        <w:rPr>
          <w:rFonts w:hint="eastAsia"/>
        </w:rPr>
        <w:t>既知SNP</w:t>
      </w:r>
      <w:r w:rsidR="00656733">
        <w:rPr>
          <w:rFonts w:hint="eastAsia"/>
        </w:rPr>
        <w:t>（フィルタリング済み）</w:t>
      </w:r>
      <w:r w:rsidR="009B4B2E">
        <w:rPr>
          <w:rFonts w:hint="eastAsia"/>
        </w:rPr>
        <w:t>を除いた</w:t>
      </w:r>
      <w:r w:rsidRPr="00F752B3">
        <w:t>各塩基について</w:t>
      </w:r>
    </w:p>
    <w:p w14:paraId="6A18A5C5" w14:textId="77777777" w:rsidR="00F752B3" w:rsidRPr="00F752B3" w:rsidRDefault="00F752B3" w:rsidP="00F752B3">
      <w:pPr>
        <w:numPr>
          <w:ilvl w:val="0"/>
          <w:numId w:val="1"/>
        </w:numPr>
      </w:pPr>
      <w:r w:rsidRPr="00F752B3">
        <w:t>その理論的な誤り確率（Q値由来）と</w:t>
      </w:r>
    </w:p>
    <w:p w14:paraId="4E9C5CB1" w14:textId="77777777" w:rsidR="00F752B3" w:rsidRPr="00F752B3" w:rsidRDefault="00F752B3" w:rsidP="00F752B3">
      <w:pPr>
        <w:numPr>
          <w:ilvl w:val="0"/>
          <w:numId w:val="1"/>
        </w:numPr>
      </w:pPr>
      <w:r w:rsidRPr="00F752B3">
        <w:t>参照配列との実際の一致／不一致率</w:t>
      </w:r>
      <w:r w:rsidRPr="00F752B3">
        <w:br/>
        <w:t>を比較する。</w:t>
      </w:r>
    </w:p>
    <w:p w14:paraId="20A04C9A" w14:textId="7754B887" w:rsidR="00F752B3" w:rsidRPr="00F752B3" w:rsidRDefault="00F752B3" w:rsidP="00F752B3"/>
    <w:p w14:paraId="40A76EE3" w14:textId="77777777" w:rsidR="00F752B3" w:rsidRPr="00F752B3" w:rsidRDefault="00F752B3" w:rsidP="00F752B3">
      <w:pPr>
        <w:rPr>
          <w:b/>
          <w:bCs/>
          <w:u w:val="single"/>
        </w:rPr>
      </w:pPr>
      <w:r w:rsidRPr="00F752B3">
        <w:rPr>
          <w:b/>
          <w:bCs/>
          <w:u w:val="single"/>
        </w:rPr>
        <w:t>4. 統計的補正の仕組み</w:t>
      </w:r>
    </w:p>
    <w:p w14:paraId="7255C41E" w14:textId="37ACB5E9" w:rsidR="00F752B3" w:rsidRPr="00F752B3" w:rsidRDefault="00F752B3" w:rsidP="00F752B3">
      <w:r w:rsidRPr="00F752B3">
        <w:t>各塩基は、以下のような共変量（covariates）に基づいて分類される：</w:t>
      </w:r>
    </w:p>
    <w:p w14:paraId="5F51A1F1" w14:textId="77777777" w:rsidR="00F752B3" w:rsidRPr="00F752B3" w:rsidRDefault="00F752B3" w:rsidP="00F752B3">
      <w:pPr>
        <w:numPr>
          <w:ilvl w:val="0"/>
          <w:numId w:val="2"/>
        </w:numPr>
      </w:pPr>
      <w:r w:rsidRPr="00F752B3">
        <w:t>元のベースクオリティ（Q）</w:t>
      </w:r>
    </w:p>
    <w:p w14:paraId="59BE7BE2" w14:textId="77777777" w:rsidR="00F752B3" w:rsidRPr="00F752B3" w:rsidRDefault="00F752B3" w:rsidP="00F752B3">
      <w:pPr>
        <w:numPr>
          <w:ilvl w:val="0"/>
          <w:numId w:val="2"/>
        </w:numPr>
      </w:pPr>
      <w:r w:rsidRPr="00F752B3">
        <w:t>ベース種（A/T/G/C）</w:t>
      </w:r>
    </w:p>
    <w:p w14:paraId="7BA36510" w14:textId="77777777" w:rsidR="00F752B3" w:rsidRPr="00F752B3" w:rsidRDefault="00F752B3" w:rsidP="00F752B3">
      <w:pPr>
        <w:numPr>
          <w:ilvl w:val="0"/>
          <w:numId w:val="2"/>
        </w:numPr>
      </w:pPr>
      <w:r w:rsidRPr="00F752B3">
        <w:t>リード内位置（cycle）</w:t>
      </w:r>
    </w:p>
    <w:p w14:paraId="46692075" w14:textId="77777777" w:rsidR="00F752B3" w:rsidRPr="00F752B3" w:rsidRDefault="00F752B3" w:rsidP="00F752B3">
      <w:pPr>
        <w:numPr>
          <w:ilvl w:val="0"/>
          <w:numId w:val="2"/>
        </w:numPr>
      </w:pPr>
      <w:r w:rsidRPr="00F752B3">
        <w:t>周囲配列コンテキスト（例：前後1塩基）</w:t>
      </w:r>
    </w:p>
    <w:p w14:paraId="4A0EF5E8" w14:textId="77777777" w:rsidR="00F752B3" w:rsidRPr="00F752B3" w:rsidRDefault="00F752B3" w:rsidP="00F752B3">
      <w:pPr>
        <w:numPr>
          <w:ilvl w:val="0"/>
          <w:numId w:val="2"/>
        </w:numPr>
      </w:pPr>
      <w:r w:rsidRPr="00F752B3">
        <w:t>マッピング位置の特性</w:t>
      </w:r>
    </w:p>
    <w:p w14:paraId="3AFC911C" w14:textId="77777777" w:rsidR="00F752B3" w:rsidRPr="00F752B3" w:rsidRDefault="00F752B3" w:rsidP="00F752B3">
      <w:r w:rsidRPr="00F752B3">
        <w:t>これらの条件ごとに、</w:t>
      </w:r>
    </w:p>
    <w:p w14:paraId="0657B21F" w14:textId="77777777" w:rsidR="00F752B3" w:rsidRPr="00F752B3" w:rsidRDefault="00F752B3" w:rsidP="00F752B3">
      <w:pPr>
        <w:numPr>
          <w:ilvl w:val="0"/>
          <w:numId w:val="3"/>
        </w:numPr>
      </w:pPr>
      <w:r w:rsidRPr="00F752B3">
        <w:t>観測された総塩基数</w:t>
      </w:r>
    </w:p>
    <w:p w14:paraId="6D5905A8" w14:textId="77777777" w:rsidR="00F752B3" w:rsidRPr="00F752B3" w:rsidRDefault="00F752B3" w:rsidP="00F752B3">
      <w:pPr>
        <w:numPr>
          <w:ilvl w:val="0"/>
          <w:numId w:val="3"/>
        </w:numPr>
      </w:pPr>
      <w:r w:rsidRPr="00F752B3">
        <w:t>参照と一致しなかった塩基数</w:t>
      </w:r>
      <w:r w:rsidRPr="00F752B3">
        <w:br/>
        <w:t>を集計し、観測誤り率を算出する。</w:t>
      </w:r>
    </w:p>
    <w:p w14:paraId="0B3AF94B" w14:textId="77777777" w:rsidR="00F752B3" w:rsidRDefault="00F752B3" w:rsidP="00F752B3">
      <w:r w:rsidRPr="00F752B3">
        <w:t>たとえば、Q=30・base=C・context=GC・cycle=85 の条件下で、</w:t>
      </w:r>
      <w:r w:rsidRPr="00F752B3">
        <w:br/>
        <w:t>100,000塩基中120個が不一致なら観測誤り率は 0.0012 であり、</w:t>
      </w:r>
      <w:r w:rsidRPr="00F752B3">
        <w:br/>
        <w:t>対応する実測Phred値は</w:t>
      </w:r>
    </w:p>
    <w:p w14:paraId="1CCD5D44" w14:textId="77777777" w:rsidR="004A7D1E" w:rsidRPr="00F752B3" w:rsidRDefault="004A7D1E" w:rsidP="00F752B3">
      <w:pPr>
        <w:rPr>
          <w:rFonts w:hint="eastAsia"/>
        </w:rPr>
      </w:pPr>
    </w:p>
    <w:p w14:paraId="707A5E14" w14:textId="6AE88284" w:rsidR="00F752B3" w:rsidRPr="00F752B3" w:rsidRDefault="00F752B3" w:rsidP="00F752B3">
      <m:oMathPara>
        <m:oMath>
          <m:sSub>
            <m:sSubPr>
              <m:ctrlPr>
                <w:rPr>
                  <w:rFonts w:ascii="Cambria Math" w:hAnsi="Cambria Math"/>
                  <w:sz w:val="32"/>
                  <w:szCs w:val="32"/>
                </w:rPr>
              </m:ctrlPr>
            </m:sSubPr>
            <m:e>
              <m:r>
                <w:rPr>
                  <w:rFonts w:ascii="Cambria Math" w:hAnsi="Cambria Math"/>
                  <w:sz w:val="32"/>
                  <w:szCs w:val="32"/>
                </w:rPr>
                <m:t>Q</m:t>
              </m:r>
            </m:e>
            <m:sub>
              <m:r>
                <m:rPr>
                  <m:nor/>
                </m:rPr>
                <w:rPr>
                  <w:sz w:val="32"/>
                  <w:szCs w:val="32"/>
                </w:rPr>
                <m:t>empirical</m:t>
              </m:r>
            </m:sub>
          </m:sSub>
          <m:r>
            <w:rPr>
              <w:rFonts w:ascii="Cambria Math" w:hAnsi="Cambria Math"/>
              <w:sz w:val="32"/>
              <w:szCs w:val="32"/>
            </w:rPr>
            <m:t>=-10</m:t>
          </m:r>
          <m:sSub>
            <m:sSubPr>
              <m:ctrlPr>
                <w:rPr>
                  <w:rFonts w:ascii="Cambria Math" w:hAnsi="Cambria Math"/>
                  <w:sz w:val="32"/>
                  <w:szCs w:val="32"/>
                </w:rPr>
              </m:ctrlPr>
            </m:sSubPr>
            <m:e>
              <m:r>
                <m:rPr>
                  <m:sty m:val="p"/>
                </m:rPr>
                <w:rPr>
                  <w:rFonts w:ascii="Cambria Math" w:hAnsi="Cambria Math"/>
                  <w:sz w:val="32"/>
                  <w:szCs w:val="32"/>
                </w:rPr>
                <m:t>log</m:t>
              </m:r>
              <m:r>
                <w:rPr>
                  <w:rFonts w:ascii="Cambria Math" w:hAnsi="Cambria Math"/>
                  <w:sz w:val="32"/>
                  <w:szCs w:val="32"/>
                </w:rPr>
                <m:t>⁡</m:t>
              </m:r>
            </m:e>
            <m:sub>
              <m:r>
                <w:rPr>
                  <w:rFonts w:ascii="Cambria Math" w:hAnsi="Cambria Math"/>
                  <w:sz w:val="32"/>
                  <w:szCs w:val="32"/>
                </w:rPr>
                <m:t>10</m:t>
              </m:r>
            </m:sub>
          </m:sSub>
          <m:r>
            <w:rPr>
              <w:rFonts w:ascii="Cambria Math" w:hAnsi="Cambria Math"/>
              <w:sz w:val="32"/>
              <w:szCs w:val="32"/>
            </w:rPr>
            <m:t>(0.0012)≈29.2</m:t>
          </m:r>
          <m:r>
            <w:rPr>
              <w:i/>
            </w:rPr>
            <w:br/>
          </m:r>
        </m:oMath>
      </m:oMathPara>
    </w:p>
    <w:p w14:paraId="21780913" w14:textId="58393817" w:rsidR="00F752B3" w:rsidRPr="00F752B3" w:rsidRDefault="00F752B3" w:rsidP="00F752B3">
      <w:r w:rsidRPr="00F752B3">
        <w:t>となる。</w:t>
      </w:r>
      <w:r w:rsidRPr="00F752B3">
        <w:br/>
        <w:t>このように、観測誤り率から理論的Q値との差を推定し、</w:t>
      </w:r>
      <w:r w:rsidR="009440AF">
        <w:rPr>
          <w:rFonts w:hint="eastAsia"/>
        </w:rPr>
        <w:t>上記の共変数</w:t>
      </w:r>
      <w:r w:rsidR="00704F93">
        <w:rPr>
          <w:rFonts w:hint="eastAsia"/>
        </w:rPr>
        <w:t>などを説明変数に機械学習を行い、</w:t>
      </w:r>
      <w:r w:rsidRPr="00F752B3">
        <w:t>補正モデル（recalibration table）を作成する。</w:t>
      </w:r>
    </w:p>
    <w:p w14:paraId="1500CF48" w14:textId="77777777" w:rsidR="00F752B3" w:rsidRPr="00F752B3" w:rsidRDefault="00F752B3" w:rsidP="00F752B3">
      <w:r w:rsidRPr="00F752B3">
        <w:t xml:space="preserve">この過程で生成されるファイルが </w:t>
      </w:r>
      <w:proofErr w:type="spellStart"/>
      <w:r w:rsidRPr="00F752B3">
        <w:t>recal_data.table</w:t>
      </w:r>
      <w:proofErr w:type="spellEnd"/>
      <w:r w:rsidRPr="00F752B3">
        <w:t xml:space="preserve"> であり、</w:t>
      </w:r>
      <w:r w:rsidRPr="00F752B3">
        <w:br/>
        <w:t xml:space="preserve">その後 </w:t>
      </w:r>
      <w:proofErr w:type="spellStart"/>
      <w:r w:rsidRPr="00F752B3">
        <w:t>ApplyBQSR</w:t>
      </w:r>
      <w:proofErr w:type="spellEnd"/>
      <w:r w:rsidRPr="00F752B3">
        <w:t xml:space="preserve"> によりBAM内の各</w:t>
      </w:r>
      <w:proofErr w:type="spellStart"/>
      <w:r w:rsidRPr="00F752B3">
        <w:t>BaseQ</w:t>
      </w:r>
      <w:proofErr w:type="spellEnd"/>
      <w:r w:rsidRPr="00F752B3">
        <w:t>が再計算・置換される。</w:t>
      </w:r>
    </w:p>
    <w:p w14:paraId="5B1CCB88" w14:textId="22AE5212" w:rsidR="00F752B3" w:rsidRPr="00F752B3" w:rsidRDefault="00F752B3" w:rsidP="00F752B3"/>
    <w:p w14:paraId="7AB8FA18" w14:textId="77777777" w:rsidR="00F752B3" w:rsidRPr="00F752B3" w:rsidRDefault="00F752B3" w:rsidP="00F752B3">
      <w:pPr>
        <w:rPr>
          <w:b/>
          <w:bCs/>
          <w:u w:val="single"/>
        </w:rPr>
      </w:pPr>
      <w:r w:rsidRPr="00F752B3">
        <w:rPr>
          <w:b/>
          <w:bCs/>
          <w:u w:val="single"/>
        </w:rPr>
        <w:t>5. Variant Callingにおける意義</w:t>
      </w:r>
    </w:p>
    <w:p w14:paraId="4FAA6629" w14:textId="20E279C7" w:rsidR="000922C0" w:rsidRDefault="00D74841" w:rsidP="000922C0">
      <w:r w:rsidRPr="00D74841">
        <w:t xml:space="preserve">Variant Caller（例：GATK </w:t>
      </w:r>
      <w:proofErr w:type="spellStart"/>
      <w:r w:rsidRPr="00D74841">
        <w:t>HaplotypeCaller</w:t>
      </w:r>
      <w:proofErr w:type="spellEnd"/>
      <w:r w:rsidRPr="00D74841">
        <w:t>）は、各リード上の塩基に付与されたベースクオリティ（</w:t>
      </w:r>
      <w:proofErr w:type="spellStart"/>
      <w:r w:rsidRPr="00D74841">
        <w:t>BaseQ</w:t>
      </w:r>
      <w:proofErr w:type="spellEnd"/>
      <w:r w:rsidRPr="00D74841">
        <w:t xml:space="preserve">）を誤り確率 </w:t>
      </w:r>
      <m:oMath>
        <m:r>
          <w:rPr>
            <w:rFonts w:ascii="Cambria Math" w:hAnsi="Cambria Math"/>
          </w:rPr>
          <m:t>ε</m:t>
        </m:r>
      </m:oMath>
      <w:r w:rsidRPr="00D74841">
        <w:t>に変換し、それを尤度モデルに組み込んで「真の塩基」を推定する。</w:t>
      </w:r>
      <w:r w:rsidRPr="00D74841">
        <w:br/>
        <w:t>A・C・G・T のいずれかが真の塩基であると仮定し、それぞれの仮説のもとで観測された塩基が得られる確率を以下のように表す：</w:t>
      </w:r>
      <w:r w:rsidRPr="00D74841">
        <w:t xml:space="preserve"> </w:t>
      </w:r>
      <w:r w:rsidRPr="00D74841">
        <w:br/>
      </w:r>
      <m:oMathPara>
        <m:oMath>
          <m:r>
            <w:rPr>
              <w:rFonts w:ascii="Cambria Math" w:hAnsi="Cambria Math"/>
              <w:sz w:val="32"/>
              <w:szCs w:val="32"/>
            </w:rPr>
            <m:t>P(</m:t>
          </m:r>
          <m:r>
            <m:rPr>
              <m:nor/>
            </m:rPr>
            <w:rPr>
              <w:sz w:val="32"/>
              <w:szCs w:val="32"/>
            </w:rPr>
            <m:t>read base</m:t>
          </m:r>
          <m:r>
            <m:rPr>
              <m:sty m:val="p"/>
            </m:rPr>
            <w:rPr>
              <w:rFonts w:ascii="Cambria Math" w:hAnsi="Cambria Math"/>
              <w:sz w:val="32"/>
              <w:szCs w:val="32"/>
            </w:rPr>
            <m:t>∣</m:t>
          </m:r>
          <m:r>
            <m:rPr>
              <m:nor/>
            </m:rPr>
            <w:rPr>
              <w:sz w:val="32"/>
              <w:szCs w:val="32"/>
            </w:rPr>
            <m:t>true base</m:t>
          </m:r>
          <m:r>
            <w:rPr>
              <w:rFonts w:ascii="Cambria Math" w:hAnsi="Cambria Math"/>
              <w:sz w:val="32"/>
              <w:szCs w:val="32"/>
            </w:rPr>
            <m:t>)={</m:t>
          </m:r>
          <m:m>
            <m:mPr>
              <m:plcHide m:val="1"/>
              <m:mcs>
                <m:mc>
                  <m:mcPr>
                    <m:count m:val="2"/>
                    <m:mcJc m:val="center"/>
                  </m:mcPr>
                </m:mc>
              </m:mcs>
              <m:ctrlPr>
                <w:rPr>
                  <w:rFonts w:ascii="Cambria Math" w:hAnsi="Cambria Math"/>
                  <w:sz w:val="32"/>
                  <w:szCs w:val="32"/>
                </w:rPr>
              </m:ctrlPr>
            </m:mPr>
            <m:mr>
              <m:e>
                <m:r>
                  <w:rPr>
                    <w:rFonts w:ascii="Cambria Math" w:hAnsi="Cambria Math"/>
                    <w:sz w:val="32"/>
                    <w:szCs w:val="32"/>
                  </w:rPr>
                  <m:t>1-ε</m:t>
                </m:r>
              </m:e>
              <m:e>
                <m:r>
                  <m:rPr>
                    <m:nor/>
                  </m:rPr>
                  <w:rPr>
                    <w:sz w:val="32"/>
                    <w:szCs w:val="32"/>
                  </w:rPr>
                  <m:t>(一致していれば)</m:t>
                </m:r>
              </m:e>
            </m:mr>
            <m:mr>
              <m:e>
                <m:r>
                  <w:rPr>
                    <w:rFonts w:ascii="Cambria Math" w:hAnsi="Cambria Math"/>
                    <w:sz w:val="32"/>
                    <w:szCs w:val="32"/>
                  </w:rPr>
                  <m:t>ε</m:t>
                </m:r>
                <m:r>
                  <m:rPr>
                    <m:sty m:val="p"/>
                  </m:rPr>
                  <w:rPr>
                    <w:rFonts w:ascii="Cambria Math" w:hAnsi="Cambria Math"/>
                    <w:sz w:val="32"/>
                    <w:szCs w:val="32"/>
                  </w:rPr>
                  <m:t>/</m:t>
                </m:r>
                <m:r>
                  <w:rPr>
                    <w:rFonts w:ascii="Cambria Math" w:hAnsi="Cambria Math"/>
                    <w:sz w:val="32"/>
                    <w:szCs w:val="32"/>
                  </w:rPr>
                  <m:t>3</m:t>
                </m:r>
              </m:e>
              <m:e>
                <m:r>
                  <m:rPr>
                    <m:nor/>
                  </m:rPr>
                  <w:rPr>
                    <w:sz w:val="32"/>
                    <w:szCs w:val="32"/>
                  </w:rPr>
                  <m:t>(不一致なら)</m:t>
                </m:r>
              </m:e>
            </m:mr>
          </m:m>
          <m:r>
            <w:rPr>
              <w:sz w:val="32"/>
              <w:szCs w:val="32"/>
            </w:rPr>
            <w:br/>
          </m:r>
        </m:oMath>
      </m:oMathPara>
    </w:p>
    <w:p w14:paraId="4E1BC630" w14:textId="00797C83" w:rsidR="000922C0" w:rsidRDefault="000922C0" w:rsidP="000922C0">
      <w:pPr>
        <w:rPr>
          <w:sz w:val="32"/>
          <w:szCs w:val="32"/>
        </w:rPr>
      </w:pPr>
      <w:r w:rsidRPr="000922C0">
        <w:t>ここで</w:t>
      </w:r>
      <w:r w:rsidRPr="000922C0">
        <w:rPr>
          <w:sz w:val="32"/>
          <w:szCs w:val="32"/>
        </w:rPr>
        <w:t xml:space="preserve"> </w:t>
      </w:r>
    </w:p>
    <w:p w14:paraId="09CA7C2F" w14:textId="77777777" w:rsidR="000922C0" w:rsidRDefault="000922C0" w:rsidP="000922C0">
      <w:pPr>
        <w:ind w:firstLine="840"/>
      </w:pPr>
      <m:oMathPara>
        <m:oMath>
          <m:r>
            <w:rPr>
              <w:rFonts w:ascii="Cambria Math" w:hAnsi="Cambria Math"/>
              <w:sz w:val="32"/>
              <w:szCs w:val="32"/>
            </w:rPr>
            <m:t>ε=</m:t>
          </m:r>
          <m:sSup>
            <m:sSupPr>
              <m:ctrlPr>
                <w:rPr>
                  <w:rFonts w:ascii="Cambria Math" w:hAnsi="Cambria Math"/>
                  <w:sz w:val="32"/>
                  <w:szCs w:val="32"/>
                </w:rPr>
              </m:ctrlPr>
            </m:sSupPr>
            <m:e>
              <m:r>
                <w:rPr>
                  <w:rFonts w:ascii="Cambria Math" w:hAnsi="Cambria Math"/>
                  <w:sz w:val="32"/>
                  <w:szCs w:val="32"/>
                </w:rPr>
                <m:t>10</m:t>
              </m:r>
            </m:e>
            <m:sup>
              <m:r>
                <w:rPr>
                  <w:rFonts w:ascii="Cambria Math" w:hAnsi="Cambria Math"/>
                  <w:sz w:val="32"/>
                  <w:szCs w:val="32"/>
                </w:rPr>
                <m:t>-Q</m:t>
              </m:r>
              <m:r>
                <m:rPr>
                  <m:sty m:val="p"/>
                </m:rPr>
                <w:rPr>
                  <w:rFonts w:ascii="Cambria Math" w:hAnsi="Cambria Math"/>
                  <w:sz w:val="32"/>
                  <w:szCs w:val="32"/>
                </w:rPr>
                <m:t>/</m:t>
              </m:r>
              <m:r>
                <w:rPr>
                  <w:rFonts w:ascii="Cambria Math" w:hAnsi="Cambria Math"/>
                  <w:sz w:val="32"/>
                  <w:szCs w:val="32"/>
                </w:rPr>
                <m:t>10</m:t>
              </m:r>
            </m:sup>
          </m:sSup>
        </m:oMath>
      </m:oMathPara>
    </w:p>
    <w:p w14:paraId="12AFE1E3" w14:textId="77777777" w:rsidR="000922C0" w:rsidRDefault="000922C0" w:rsidP="000922C0"/>
    <w:p w14:paraId="0FD66D66" w14:textId="77777777" w:rsidR="002649F1" w:rsidRDefault="002649F1" w:rsidP="000922C0">
      <w:r>
        <w:rPr>
          <w:rFonts w:hint="eastAsia"/>
        </w:rPr>
        <w:t>εは</w:t>
      </w:r>
      <w:r w:rsidR="000922C0" w:rsidRPr="000922C0">
        <w:t>ベースクオリティ Q から求められる誤り確率である。</w:t>
      </w:r>
    </w:p>
    <w:p w14:paraId="7C3F0920" w14:textId="735E9DBE" w:rsidR="000922C0" w:rsidRPr="000922C0" w:rsidRDefault="000922C0" w:rsidP="000922C0">
      <w:pPr>
        <w:rPr>
          <w:sz w:val="32"/>
          <w:szCs w:val="32"/>
        </w:rPr>
      </w:pPr>
      <w:r w:rsidRPr="000922C0">
        <w:br/>
      </w:r>
      <w:proofErr w:type="spellStart"/>
      <w:r w:rsidRPr="000922C0">
        <w:t>BaseQ</w:t>
      </w:r>
      <w:proofErr w:type="spellEnd"/>
      <w:r w:rsidRPr="000922C0">
        <w:t xml:space="preserve"> が高いほど誤読の確率が小さく、観測された塩基の信頼性が高いことを意味する。</w:t>
      </w:r>
    </w:p>
    <w:p w14:paraId="150842A7" w14:textId="5E44559B" w:rsidR="002649F1" w:rsidRDefault="000922C0" w:rsidP="000922C0">
      <w:r w:rsidRPr="000922C0">
        <w:t>この尤度は各リード</w:t>
      </w:r>
      <w:r w:rsidR="002649F1">
        <w:rPr>
          <w:rFonts w:hint="eastAsia"/>
        </w:rPr>
        <w:t>で</w:t>
      </w:r>
      <w:r w:rsidRPr="000922C0">
        <w:t>計算され、すべてのリードの情報を統合して、各塩基（あるいは遺伝型）仮説の尤度が評価される。</w:t>
      </w:r>
      <w:r w:rsidR="002649F1">
        <w:rPr>
          <w:rFonts w:hint="eastAsia"/>
        </w:rPr>
        <w:t>（どの塩基が</w:t>
      </w:r>
      <w:r w:rsidR="005F5892">
        <w:rPr>
          <w:rFonts w:hint="eastAsia"/>
        </w:rPr>
        <w:t>その座位において尤もらしいか</w:t>
      </w:r>
      <w:r w:rsidR="002649F1">
        <w:rPr>
          <w:rFonts w:hint="eastAsia"/>
        </w:rPr>
        <w:t>）</w:t>
      </w:r>
    </w:p>
    <w:p w14:paraId="6E7DE344" w14:textId="31874DC7" w:rsidR="00C01155" w:rsidRDefault="000922C0" w:rsidP="006D5FE8">
      <w:pPr>
        <w:rPr>
          <w:rFonts w:hint="eastAsia"/>
        </w:rPr>
      </w:pPr>
      <w:r w:rsidRPr="000922C0">
        <w:br/>
        <w:t>Variant Caller はこれらの尤度を比較し、参照配列と異なる塩基を仮定したモデルの方が統計的に有意に支持される場合に、その位置を「変異（SNP）」として呼び出す</w:t>
      </w:r>
      <w:r w:rsidR="0028682A">
        <w:rPr>
          <w:rFonts w:hint="eastAsia"/>
        </w:rPr>
        <w:t>というような流れ</w:t>
      </w:r>
      <w:r w:rsidR="00F3477E">
        <w:rPr>
          <w:rFonts w:hint="eastAsia"/>
        </w:rPr>
        <w:t>を採用している</w:t>
      </w:r>
      <w:r w:rsidRPr="000922C0">
        <w:t>。</w:t>
      </w:r>
    </w:p>
    <w:p w14:paraId="78487E6D" w14:textId="77777777" w:rsidR="00C01155" w:rsidRDefault="00C01155" w:rsidP="000922C0"/>
    <w:p w14:paraId="20E3DC0E" w14:textId="69BA76EF" w:rsidR="00642FD7" w:rsidRPr="00642FD7" w:rsidRDefault="00642FD7" w:rsidP="00642FD7">
      <w:r w:rsidRPr="00642FD7">
        <w:t>Base Quality（</w:t>
      </w:r>
      <w:proofErr w:type="spellStart"/>
      <w:r w:rsidRPr="00642FD7">
        <w:t>BaseQ</w:t>
      </w:r>
      <w:proofErr w:type="spellEnd"/>
      <w:r w:rsidRPr="00642FD7">
        <w:t>）は、各塩基が誤って読み取られる確率（誤り確率 ε = 10</w:t>
      </w:r>
      <w:r w:rsidRPr="00642FD7">
        <w:rPr>
          <w:rFonts w:ascii="Cambria Math" w:hAnsi="Cambria Math" w:cs="Cambria Math"/>
        </w:rPr>
        <w:t>⁻</w:t>
      </w:r>
      <w:r w:rsidRPr="00642FD7">
        <w:t>^(Q/10)）として尤度モデルに直接組み込まれるため、その値の正確さは変異検出の信頼性に直結する。</w:t>
      </w:r>
      <w:r w:rsidRPr="00642FD7">
        <w:br/>
      </w:r>
      <w:proofErr w:type="spellStart"/>
      <w:r w:rsidRPr="00642FD7">
        <w:t>BaseQ</w:t>
      </w:r>
      <w:proofErr w:type="spellEnd"/>
      <w:r w:rsidRPr="00642FD7">
        <w:t xml:space="preserve"> が実際のエラー率と乖離している場合、以下のような影響を及ぼす。</w:t>
      </w:r>
    </w:p>
    <w:p w14:paraId="607DB749" w14:textId="5823DCD7" w:rsidR="00642FD7" w:rsidRPr="00642FD7" w:rsidRDefault="00642FD7" w:rsidP="00642FD7">
      <w:pPr>
        <w:numPr>
          <w:ilvl w:val="0"/>
          <w:numId w:val="4"/>
        </w:numPr>
      </w:pPr>
      <w:r w:rsidRPr="00642FD7">
        <w:rPr>
          <w:b/>
          <w:bCs/>
        </w:rPr>
        <w:t>過小評価されている場合（実際よりも低いQ値が与えられている）</w:t>
      </w:r>
      <w:r w:rsidRPr="00642FD7">
        <w:br/>
      </w:r>
      <w:r w:rsidR="00B808F6">
        <w:rPr>
          <w:rFonts w:hint="eastAsia"/>
        </w:rPr>
        <w:t>誤り確率 ε が実際よりも大きく見積もられ、真の塩基であっても「誤読か</w:t>
      </w:r>
      <w:r w:rsidRPr="00642FD7">
        <w:t>もしれない」として尤度が過小評価される。</w:t>
      </w:r>
      <w:r w:rsidRPr="00642FD7">
        <w:br/>
        <w:t>その結果、参照配列と異なる塩基を支持する証拠の重みが弱まり、真のSNPであっても検出されにくくなる（偽陰性 false negative の増加）。</w:t>
      </w:r>
    </w:p>
    <w:p w14:paraId="51ED602F" w14:textId="77E3F08D" w:rsidR="00642FD7" w:rsidRPr="00642FD7" w:rsidRDefault="00642FD7" w:rsidP="00642FD7">
      <w:pPr>
        <w:numPr>
          <w:ilvl w:val="0"/>
          <w:numId w:val="4"/>
        </w:numPr>
      </w:pPr>
      <w:r w:rsidRPr="00642FD7">
        <w:rPr>
          <w:b/>
          <w:bCs/>
        </w:rPr>
        <w:t>過大評価されている場合（実際よりも高いQ値が与えられている）</w:t>
      </w:r>
      <w:r w:rsidRPr="00642FD7">
        <w:br/>
        <w:t>誤り確率 ε が過小に見積もられ、観測された不一致が「誤読ではあり得ないと過剰に信頼される。</w:t>
      </w:r>
      <w:r w:rsidRPr="00642FD7">
        <w:br/>
        <w:t>その結果、実際にはランダムエラーによる不一致であっても、モデルが変異仮説を強く支持してしまい、誤ってSNPとして検出される（偽陽性 false positive の増加）。</w:t>
      </w:r>
    </w:p>
    <w:p w14:paraId="1C70837A" w14:textId="65D61B8C" w:rsidR="00F752B3" w:rsidRDefault="00B808F6" w:rsidP="00F752B3">
      <w:r>
        <w:rPr>
          <w:rFonts w:hint="eastAsia"/>
        </w:rPr>
        <w:t>→つまり、</w:t>
      </w:r>
      <w:proofErr w:type="spellStart"/>
      <w:r>
        <w:rPr>
          <w:rFonts w:hint="eastAsia"/>
        </w:rPr>
        <w:t>BaseQ</w:t>
      </w:r>
      <w:proofErr w:type="spellEnd"/>
      <w:r>
        <w:rPr>
          <w:rFonts w:hint="eastAsia"/>
        </w:rPr>
        <w:t>を正しい値に校正しておくBQSRのプロセスは偽陽性や偽陰性を防ぐための重要な</w:t>
      </w:r>
      <w:r w:rsidR="00926185">
        <w:rPr>
          <w:rFonts w:hint="eastAsia"/>
        </w:rPr>
        <w:t>工程である。</w:t>
      </w:r>
    </w:p>
    <w:p w14:paraId="29584BAA" w14:textId="77777777" w:rsidR="00926185" w:rsidRPr="00F752B3" w:rsidRDefault="00926185" w:rsidP="00F752B3">
      <w:pPr>
        <w:rPr>
          <w:rFonts w:hint="eastAsia"/>
        </w:rPr>
      </w:pPr>
    </w:p>
    <w:p w14:paraId="2370B232" w14:textId="47671415" w:rsidR="00F752B3" w:rsidRPr="00F752B3" w:rsidRDefault="00B86E6F" w:rsidP="00F752B3">
      <w:pPr>
        <w:rPr>
          <w:b/>
          <w:bCs/>
          <w:u w:val="single"/>
        </w:rPr>
      </w:pPr>
      <w:r w:rsidRPr="00B86E6F">
        <w:rPr>
          <w:rFonts w:hint="eastAsia"/>
          <w:b/>
          <w:bCs/>
          <w:u w:val="single"/>
        </w:rPr>
        <w:t>6</w:t>
      </w:r>
      <w:r w:rsidR="00F752B3" w:rsidRPr="00F752B3">
        <w:rPr>
          <w:b/>
          <w:bCs/>
          <w:u w:val="single"/>
        </w:rPr>
        <w:t>. まとめ</w:t>
      </w:r>
    </w:p>
    <w:p w14:paraId="3570EE99" w14:textId="7238FCE4" w:rsidR="00F752B3" w:rsidRPr="00F752B3" w:rsidRDefault="00F752B3" w:rsidP="00F752B3">
      <w:r w:rsidRPr="00F752B3">
        <w:t>Base Quality Score Recalibration（BQSR）は、シーケンサーが出力するベースクオリティスコアを実測誤り率に基づいて再キャリブレーションする処理。</w:t>
      </w:r>
      <w:r w:rsidRPr="00F752B3">
        <w:br/>
        <w:t>BAM内の各塩基について、既知SNPを除いた参照との一致・不一致を統計的に評価し、</w:t>
      </w:r>
      <w:r w:rsidRPr="00F752B3">
        <w:br/>
        <w:t>ベース種・リード位置・配列コンテキストごとの誤差傾向を学習することで、Q値をより現実的な信頼度へと補正する。</w:t>
      </w:r>
    </w:p>
    <w:p w14:paraId="6FBCD402" w14:textId="36C4F00B" w:rsidR="0068359F" w:rsidRPr="00F752B3" w:rsidRDefault="00F752B3">
      <w:pPr>
        <w:rPr>
          <w:rFonts w:hint="eastAsia"/>
        </w:rPr>
      </w:pPr>
      <w:r w:rsidRPr="00F752B3">
        <w:t>この補正により、Variant Callerの確率モデルが実際のデータ特性に一致し、結果としてSNP検出の精度（感度・特異度）がともに向上する。</w:t>
      </w:r>
    </w:p>
    <w:sectPr w:rsidR="0068359F" w:rsidRPr="00F752B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6E38B1"/>
    <w:multiLevelType w:val="multilevel"/>
    <w:tmpl w:val="53E61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027553"/>
    <w:multiLevelType w:val="multilevel"/>
    <w:tmpl w:val="A7560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FE7D4B"/>
    <w:multiLevelType w:val="multilevel"/>
    <w:tmpl w:val="DC08A0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5F1091"/>
    <w:multiLevelType w:val="multilevel"/>
    <w:tmpl w:val="56BE4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5482894">
    <w:abstractNumId w:val="0"/>
  </w:num>
  <w:num w:numId="2" w16cid:durableId="97874439">
    <w:abstractNumId w:val="1"/>
  </w:num>
  <w:num w:numId="3" w16cid:durableId="1899972559">
    <w:abstractNumId w:val="3"/>
  </w:num>
  <w:num w:numId="4" w16cid:durableId="20390370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02B"/>
    <w:rsid w:val="0000314C"/>
    <w:rsid w:val="00076751"/>
    <w:rsid w:val="000922C0"/>
    <w:rsid w:val="000A702B"/>
    <w:rsid w:val="00212A3C"/>
    <w:rsid w:val="00243BBF"/>
    <w:rsid w:val="002649F1"/>
    <w:rsid w:val="00280710"/>
    <w:rsid w:val="0028682A"/>
    <w:rsid w:val="002B0A4A"/>
    <w:rsid w:val="002E7013"/>
    <w:rsid w:val="00322E98"/>
    <w:rsid w:val="00372E3E"/>
    <w:rsid w:val="00390C2D"/>
    <w:rsid w:val="003D7C3E"/>
    <w:rsid w:val="003E5340"/>
    <w:rsid w:val="004027E1"/>
    <w:rsid w:val="00462B69"/>
    <w:rsid w:val="00484A7D"/>
    <w:rsid w:val="00491E20"/>
    <w:rsid w:val="004A2D58"/>
    <w:rsid w:val="004A7D1E"/>
    <w:rsid w:val="004B64E5"/>
    <w:rsid w:val="00525660"/>
    <w:rsid w:val="005436F1"/>
    <w:rsid w:val="005F5892"/>
    <w:rsid w:val="00642FD7"/>
    <w:rsid w:val="006558A8"/>
    <w:rsid w:val="00656733"/>
    <w:rsid w:val="0068359F"/>
    <w:rsid w:val="006D5FE8"/>
    <w:rsid w:val="006E7821"/>
    <w:rsid w:val="00704F93"/>
    <w:rsid w:val="007304D2"/>
    <w:rsid w:val="007438ED"/>
    <w:rsid w:val="00770A74"/>
    <w:rsid w:val="007D5B7E"/>
    <w:rsid w:val="0080529F"/>
    <w:rsid w:val="00826103"/>
    <w:rsid w:val="00857159"/>
    <w:rsid w:val="008A3298"/>
    <w:rsid w:val="008F2C0C"/>
    <w:rsid w:val="008F6F18"/>
    <w:rsid w:val="00926185"/>
    <w:rsid w:val="009440AF"/>
    <w:rsid w:val="009B4B2E"/>
    <w:rsid w:val="009C63A2"/>
    <w:rsid w:val="009D6DAE"/>
    <w:rsid w:val="009E2997"/>
    <w:rsid w:val="009F3758"/>
    <w:rsid w:val="00AB3BD7"/>
    <w:rsid w:val="00AD61CB"/>
    <w:rsid w:val="00B32CFB"/>
    <w:rsid w:val="00B808F6"/>
    <w:rsid w:val="00B86E6F"/>
    <w:rsid w:val="00BA22E8"/>
    <w:rsid w:val="00BA57F5"/>
    <w:rsid w:val="00BF1E62"/>
    <w:rsid w:val="00C01155"/>
    <w:rsid w:val="00C46469"/>
    <w:rsid w:val="00C96D92"/>
    <w:rsid w:val="00D42D9C"/>
    <w:rsid w:val="00D44E45"/>
    <w:rsid w:val="00D5246F"/>
    <w:rsid w:val="00D74841"/>
    <w:rsid w:val="00DF4914"/>
    <w:rsid w:val="00EB22FD"/>
    <w:rsid w:val="00F31E77"/>
    <w:rsid w:val="00F3477E"/>
    <w:rsid w:val="00F752B3"/>
    <w:rsid w:val="00FD22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A595DE7"/>
  <w15:chartTrackingRefBased/>
  <w15:docId w15:val="{3CD6F7F5-C71F-4AAB-B527-4255F9F97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A702B"/>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0A702B"/>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0A702B"/>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0A702B"/>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0A702B"/>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0A702B"/>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0A702B"/>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0A702B"/>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0A702B"/>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0A702B"/>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0A702B"/>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0A702B"/>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0A702B"/>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0A702B"/>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0A702B"/>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0A702B"/>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0A702B"/>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0A702B"/>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0A702B"/>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0A702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A702B"/>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0A702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A702B"/>
    <w:pPr>
      <w:spacing w:before="160" w:after="160"/>
      <w:jc w:val="center"/>
    </w:pPr>
    <w:rPr>
      <w:i/>
      <w:iCs/>
      <w:color w:val="404040" w:themeColor="text1" w:themeTint="BF"/>
    </w:rPr>
  </w:style>
  <w:style w:type="character" w:customStyle="1" w:styleId="a8">
    <w:name w:val="引用文 (文字)"/>
    <w:basedOn w:val="a0"/>
    <w:link w:val="a7"/>
    <w:uiPriority w:val="29"/>
    <w:rsid w:val="000A702B"/>
    <w:rPr>
      <w:i/>
      <w:iCs/>
      <w:color w:val="404040" w:themeColor="text1" w:themeTint="BF"/>
    </w:rPr>
  </w:style>
  <w:style w:type="paragraph" w:styleId="a9">
    <w:name w:val="List Paragraph"/>
    <w:basedOn w:val="a"/>
    <w:uiPriority w:val="34"/>
    <w:qFormat/>
    <w:rsid w:val="000A702B"/>
    <w:pPr>
      <w:ind w:left="720"/>
      <w:contextualSpacing/>
    </w:pPr>
  </w:style>
  <w:style w:type="character" w:styleId="21">
    <w:name w:val="Intense Emphasis"/>
    <w:basedOn w:val="a0"/>
    <w:uiPriority w:val="21"/>
    <w:qFormat/>
    <w:rsid w:val="000A702B"/>
    <w:rPr>
      <w:i/>
      <w:iCs/>
      <w:color w:val="0F4761" w:themeColor="accent1" w:themeShade="BF"/>
    </w:rPr>
  </w:style>
  <w:style w:type="paragraph" w:styleId="22">
    <w:name w:val="Intense Quote"/>
    <w:basedOn w:val="a"/>
    <w:next w:val="a"/>
    <w:link w:val="23"/>
    <w:uiPriority w:val="30"/>
    <w:qFormat/>
    <w:rsid w:val="000A70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0A702B"/>
    <w:rPr>
      <w:i/>
      <w:iCs/>
      <w:color w:val="0F4761" w:themeColor="accent1" w:themeShade="BF"/>
    </w:rPr>
  </w:style>
  <w:style w:type="character" w:styleId="24">
    <w:name w:val="Intense Reference"/>
    <w:basedOn w:val="a0"/>
    <w:uiPriority w:val="32"/>
    <w:qFormat/>
    <w:rsid w:val="000A702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4</Pages>
  <Words>1142</Words>
  <Characters>1578</Characters>
  <Application>Microsoft Office Word</Application>
  <DocSecurity>0</DocSecurity>
  <Lines>35</Lines>
  <Paragraphs>7</Paragraphs>
  <ScaleCrop>false</ScaleCrop>
  <Company/>
  <LinksUpToDate>false</LinksUpToDate>
  <CharactersWithSpaces>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直哉 上廣</dc:creator>
  <cp:keywords/>
  <dc:description/>
  <cp:lastModifiedBy>直哉 上廣</cp:lastModifiedBy>
  <cp:revision>69</cp:revision>
  <dcterms:created xsi:type="dcterms:W3CDTF">2025-10-08T04:17:00Z</dcterms:created>
  <dcterms:modified xsi:type="dcterms:W3CDTF">2025-10-08T06:27:00Z</dcterms:modified>
</cp:coreProperties>
</file>