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Visualization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rynkuns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X995066a8f9b8b5e66a9587d261be7dac58c1b2b"/>
      <w:r>
        <w:t xml:space="preserve">Conveying the right message through visualisation</w:t>
      </w:r>
      <w:bookmarkEnd w:id="20"/>
    </w:p>
    <w:p>
      <w:pPr>
        <w:pStyle w:val="Heading4"/>
      </w:pPr>
      <w:bookmarkStart w:id="21" w:name="code-and-data-ex.1"/>
      <w:r>
        <w:t xml:space="preserve">Code and data (Ex.1)</w:t>
      </w:r>
      <w:bookmarkEnd w:id="21"/>
    </w:p>
    <w:p>
      <w:pPr>
        <w:pStyle w:val="FirstParagraph"/>
      </w:pPr>
      <w:r>
        <w:t xml:space="preserve">The code for further visualizations is located in better_viz.R script.</w:t>
      </w:r>
    </w:p>
    <w:p>
      <w:pPr>
        <w:pStyle w:val="Heading2"/>
      </w:pPr>
      <w:bookmarkStart w:id="22" w:name="the-original-figure"/>
      <w:r>
        <w:t xml:space="preserve">The original figure</w:t>
      </w:r>
      <w:bookmarkEnd w:id="22"/>
    </w:p>
    <w:p>
      <w:pPr>
        <w:pStyle w:val="FirstParagraph"/>
      </w:pPr>
      <w:r>
        <w:t xml:space="preserve">Here is the original visualization:</w:t>
      </w:r>
      <w:r>
        <w:t xml:space="preserve"> </w:t>
      </w:r>
      <w:r>
        <w:drawing>
          <wp:inline>
            <wp:extent cx="5334000" cy="3041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masks-v-nomas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misleading aspect of it are surely two different scales for Y axis. The difference in scales is hard to spot and since Y axis presents only one type of data (number of cases), average person probably wouldn’t even look for them, since it is not expected.</w:t>
      </w:r>
    </w:p>
    <w:p>
      <w:pPr>
        <w:pStyle w:val="BodyText"/>
      </w:pPr>
      <w:r>
        <w:t xml:space="preserve">This decision was most likely done, to underline the diminishing number of cases in</w:t>
      </w:r>
      <w:r>
        <w:t xml:space="preserve"> </w:t>
      </w:r>
      <w:r>
        <w:t xml:space="preserve">“</w:t>
      </w:r>
      <w:r>
        <w:t xml:space="preserve">masked</w:t>
      </w:r>
      <w:r>
        <w:t xml:space="preserve">”</w:t>
      </w:r>
      <w:r>
        <w:t xml:space="preserve"> </w:t>
      </w:r>
      <w:r>
        <w:t xml:space="preserve">counties in contrast to</w:t>
      </w:r>
      <w:r>
        <w:t xml:space="preserve"> </w:t>
      </w:r>
      <w:r>
        <w:t xml:space="preserve">“</w:t>
      </w:r>
      <w:r>
        <w:t xml:space="preserve">unmasked</w:t>
      </w:r>
      <w:r>
        <w:t xml:space="preserve">”</w:t>
      </w:r>
      <w:r>
        <w:t xml:space="preserve"> </w:t>
      </w:r>
      <w:r>
        <w:t xml:space="preserve">and not waste viewers attention on comparing total number of cases between them. The intensions may be honorable, but this is not, how data should be presented.</w:t>
      </w:r>
    </w:p>
    <w:p>
      <w:pPr>
        <w:pStyle w:val="Heading3"/>
      </w:pPr>
      <w:bookmarkStart w:id="24" w:name="new-plot-ex.2"/>
      <w:r>
        <w:t xml:space="preserve">New plot (Ex.2)</w:t>
      </w:r>
      <w:bookmarkEnd w:id="24"/>
    </w:p>
    <w:p>
      <w:pPr>
        <w:pStyle w:val="FirstParagraph"/>
      </w:pPr>
      <w:r>
        <w:t xml:space="preserve">The plot below fixes this issue, using one scale for both groups of counties.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ter_viz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new-message-ex.3"/>
      <w:r>
        <w:t xml:space="preserve">New message? (Ex.3)</w:t>
      </w:r>
      <w:bookmarkEnd w:id="26"/>
    </w:p>
    <w:p>
      <w:pPr>
        <w:pStyle w:val="FirstParagraph"/>
      </w:pPr>
      <w:r>
        <w:t xml:space="preserve">In here we can see, that mask counties have actually higher average number of cases than counties without mandatory mask wearing.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Visualization Task</dc:title>
  <dc:creator>rynkuns team</dc:creator>
  <cp:keywords/>
  <dcterms:created xsi:type="dcterms:W3CDTF">2021-02-08T23:19:25Z</dcterms:created>
  <dcterms:modified xsi:type="dcterms:W3CDTF">2021-02-08T23:19:25Z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7 02 2021</vt:lpwstr>
  </property>
  <property fmtid="{D5CDD505-2E9C-101B-9397-08002B2CF9AE}" pid="3" name="output">
    <vt:lpwstr>word_document</vt:lpwstr>
  </property>
</Properties>
</file>