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Consolidated Findings Register — Datasec Product Portfolio</w:t>
      </w:r>
    </w:p>
    <w:p>
      <w:pPr>
        <w:pStyle w:val="Author"/>
      </w:pPr>
      <w:r>
        <w:t xml:space="preserve">Datasec Solutions Pty Ltd — Independent Security Assessment</w:t>
      </w:r>
    </w:p>
    <w:p>
      <w:pPr>
        <w:pStyle w:val="Date"/>
      </w:pPr>
      <w:r>
        <w:t xml:space="preserve">2026-09-09</w:t>
      </w:r>
    </w:p>
    <w:p>
      <w:pPr>
        <w:pStyle w:val="FirstParagraph"/>
      </w:pPr>
      <w:r>
        <w:rPr>
          <w:b/>
          <w:bCs/>
        </w:rPr>
        <w:t xml:space="preserve">Independent Security Assessment of the Datasec Product Portfolio</w:t>
      </w:r>
      <w:r>
        <w:t xml:space="preserve"> </w:t>
      </w:r>
      <w:r>
        <w:t xml:space="preserve">Prepared by Datasec Solutions Pty Ltd on behalf of Datasec</w:t>
      </w:r>
      <w:r>
        <w:t xml:space="preserve"> </w:t>
      </w:r>
      <w:r>
        <w:t xml:space="preserve">Version 3.1 · Release date 9 September 2026 ·</w:t>
      </w:r>
      <w:r>
        <w:t xml:space="preserve"> </w:t>
      </w:r>
      <w:r>
        <w:rPr>
          <w:b/>
          <w:bCs/>
        </w:rPr>
        <w:t xml:space="preserve">Client Confidential</w:t>
      </w:r>
    </w:p>
    <w:tbl>
      <w:tblPr>
        <w:tblStyle w:val="Table"/>
        <w:tblW w:type="dxa" w:w="9412"/>
        <w:tblLayout w:type="fixed"/>
        <w:tblLook w:firstRow="1" w:lastRow="0" w:firstColumn="0" w:lastColumn="0" w:noHBand="0" w:noVBand="0" w:val="0020"/>
      </w:tblPr>
      <w:tblGrid>
        <w:gridCol w:w="3000"/>
        <w:gridCol w:w="6412"/>
      </w:tblGrid>
      <w:tr>
        <w:trPr>
          <w:tblHeader w:val="on"/>
        </w:trPr>
        <w:tc>
          <w:tcPr>
            <w:tcW w:type="dxa" w:w="3000"/>
          </w:tcPr>
          <w:p>
            <w:pPr>
              <w:pStyle w:val="Compact"/>
            </w:pPr>
            <w:r>
              <w:rPr>
                <w:b/>
                <w:bCs/>
              </w:rPr>
              <w:t xml:space="preserve">Document control</w:t>
            </w:r>
          </w:p>
        </w:tc>
        <w:tc>
          <w:tcPr>
            <w:tcW w:type="dxa" w:w="6412"/>
          </w:tcPr>
          <w:p>
            <w:pPr>
              <w:pStyle w:val="Compact"/>
            </w:pPr>
            <w:r>
              <w:rPr>
                <w:b/>
                <w:bCs/>
              </w:rPr>
              <w:t xml:space="preserve"/>
            </w:r>
          </w:p>
        </w:tc>
      </w:tr>
      <w:tr>
        <w:tc>
          <w:tcPr>
            <w:tcW w:type="dxa" w:w="3000"/>
          </w:tcPr>
          <w:p>
            <w:pPr>
              <w:pStyle w:val="Compact"/>
            </w:pPr>
            <w:r>
              <w:t xml:space="preserve">Created</w:t>
            </w:r>
          </w:p>
        </w:tc>
        <w:tc>
          <w:tcPr>
            <w:tcW w:type="dxa" w:w="6412"/>
          </w:tcPr>
          <w:p>
            <w:pPr>
              <w:pStyle w:val="Compact"/>
            </w:pPr>
            <w:r>
              <w:t xml:space="preserve">07/09/2026</w:t>
            </w:r>
          </w:p>
        </w:tc>
      </w:tr>
      <w:tr>
        <w:tc>
          <w:tcPr>
            <w:tcW w:type="dxa" w:w="3000"/>
          </w:tcPr>
          <w:p>
            <w:pPr>
              <w:pStyle w:val="Compact"/>
            </w:pPr>
            <w:r>
              <w:t xml:space="preserve">Effective date (current version)</w:t>
            </w:r>
          </w:p>
        </w:tc>
        <w:tc>
          <w:tcPr>
            <w:tcW w:type="dxa" w:w="6412"/>
          </w:tcPr>
          <w:p>
            <w:pPr>
              <w:pStyle w:val="Compact"/>
            </w:pPr>
            <w:r>
              <w:t xml:space="preserve">09/09/2026</w:t>
            </w:r>
          </w:p>
        </w:tc>
      </w:tr>
      <w:tr>
        <w:tc>
          <w:tcPr>
            <w:tcW w:type="dxa" w:w="3000"/>
          </w:tcPr>
          <w:p>
            <w:pPr>
              <w:pStyle w:val="Compact"/>
            </w:pPr>
            <w:r>
              <w:t xml:space="preserve">Next review date</w:t>
            </w:r>
          </w:p>
        </w:tc>
        <w:tc>
          <w:tcPr>
            <w:tcW w:type="dxa" w:w="6412"/>
          </w:tcPr>
          <w:p>
            <w:pPr>
              <w:pStyle w:val="Compact"/>
            </w:pPr>
            <w:r>
              <w:t xml:space="preserve">March 2027, or on completion of the deferred live-configuration pass</w:t>
            </w:r>
          </w:p>
        </w:tc>
      </w:tr>
    </w:tbl>
    <w:p>
      <w:pPr>
        <w:pStyle w:val="BodyText"/>
      </w:pPr>
      <w:r>
        <w:rPr>
          <w:b/>
          <w:bCs/>
        </w:rPr>
        <w:t xml:space="preserve">Revision history.</w:t>
      </w:r>
      <w:r>
        <w:t xml:space="preserve"> This document is version-controlled. All changes are recorded below.</w:t>
      </w:r>
    </w:p>
    <w:tbl>
      <w:tblPr>
        <w:tblStyle w:val="Table"/>
        <w:tblW w:type="dxa" w:w="9412"/>
        <w:tblLayout w:type="fixed"/>
        <w:tblLook w:firstRow="1" w:lastRow="0" w:firstColumn="0" w:lastColumn="0" w:noHBand="0" w:noVBand="0" w:val="0020"/>
      </w:tblPr>
      <w:tblGrid>
        <w:gridCol w:w="820"/>
        <w:gridCol w:w="1180"/>
        <w:gridCol w:w="2100"/>
        <w:gridCol w:w="5312"/>
      </w:tblGrid>
      <w:tr>
        <w:trPr>
          <w:tblHeader w:val="on"/>
        </w:trPr>
        <w:tc>
          <w:tcPr>
            <w:tcW w:type="dxa" w:w="820"/>
          </w:tcPr>
          <w:p>
            <w:pPr>
              <w:pStyle w:val="Compact"/>
            </w:pPr>
            <w:r>
              <w:rPr>
                <w:b/>
                <w:bCs/>
              </w:rPr>
              <w:t xml:space="preserve">Version</w:t>
            </w:r>
          </w:p>
        </w:tc>
        <w:tc>
          <w:tcPr>
            <w:tcW w:type="dxa" w:w="1180"/>
          </w:tcPr>
          <w:p>
            <w:pPr>
              <w:pStyle w:val="Compact"/>
            </w:pPr>
            <w:r>
              <w:rPr>
                <w:b/>
                <w:bCs/>
              </w:rPr>
              <w:t xml:space="preserve">Edit date</w:t>
            </w:r>
          </w:p>
        </w:tc>
        <w:tc>
          <w:tcPr>
            <w:tcW w:type="dxa" w:w="2100"/>
          </w:tcPr>
          <w:p>
            <w:pPr>
              <w:pStyle w:val="Compact"/>
            </w:pPr>
            <w:r>
              <w:rPr>
                <w:b/>
                <w:bCs/>
              </w:rPr>
              <w:t xml:space="preserve">Author</w:t>
            </w:r>
          </w:p>
        </w:tc>
        <w:tc>
          <w:tcPr>
            <w:tcW w:type="dxa" w:w="5312"/>
          </w:tcPr>
          <w:p>
            <w:pPr>
              <w:pStyle w:val="Compact"/>
            </w:pPr>
            <w:r>
              <w:rPr>
                <w:b/>
                <w:bCs/>
              </w:rPr>
              <w:t xml:space="preserve">Summary of amendments</w:t>
            </w:r>
          </w:p>
        </w:tc>
      </w:tr>
      <w:tr>
        <w:tc>
          <w:tcPr>
            <w:tcW w:type="dxa" w:w="820"/>
          </w:tcPr>
          <w:p>
            <w:pPr>
              <w:pStyle w:val="Compact"/>
            </w:pPr>
            <w:r>
              <w:t xml:space="preserve">2.0</w:t>
            </w:r>
          </w:p>
        </w:tc>
        <w:tc>
          <w:tcPr>
            <w:tcW w:type="dxa" w:w="1180"/>
          </w:tcPr>
          <w:p>
            <w:pPr>
              <w:pStyle w:val="Compact"/>
            </w:pPr>
            <w:r>
              <w:t xml:space="preserve">07/09/2026</w:t>
            </w:r>
          </w:p>
        </w:tc>
        <w:tc>
          <w:tcPr>
            <w:tcW w:type="dxa" w:w="2100"/>
          </w:tcPr>
          <w:p>
            <w:pPr>
              <w:pStyle w:val="Compact"/>
            </w:pPr>
            <w:r>
              <w:t xml:space="preserve">Independent Security Review</w:t>
            </w:r>
          </w:p>
        </w:tc>
        <w:tc>
          <w:tcPr>
            <w:tcW w:type="dxa" w:w="5312"/>
          </w:tcPr>
          <w:p>
            <w:pPr>
              <w:pStyle w:val="Compact"/>
            </w:pPr>
            <w:r>
              <w:t xml:space="preserve">First review of the Datasec product portfolio, as part of the 2026-09 re-run.</w:t>
            </w:r>
          </w:p>
        </w:tc>
      </w:tr>
      <w:tr>
        <w:tc>
          <w:tcPr>
            <w:tcW w:type="dxa" w:w="820"/>
          </w:tcPr>
          <w:p>
            <w:pPr>
              <w:pStyle w:val="Compact"/>
            </w:pPr>
            <w:r>
              <w:t xml:space="preserve">2.1</w:t>
            </w:r>
          </w:p>
        </w:tc>
        <w:tc>
          <w:tcPr>
            <w:tcW w:type="dxa" w:w="1180"/>
          </w:tcPr>
          <w:p>
            <w:pPr>
              <w:pStyle w:val="Compact"/>
            </w:pPr>
            <w:r>
              <w:t xml:space="preserve">08/09/2026</w:t>
            </w:r>
          </w:p>
        </w:tc>
        <w:tc>
          <w:tcPr>
            <w:tcW w:type="dxa" w:w="2100"/>
          </w:tcPr>
          <w:p>
            <w:pPr>
              <w:pStyle w:val="Compact"/>
            </w:pPr>
            <w:r>
              <w:t xml:space="preserve">Independent Security Review</w:t>
            </w:r>
          </w:p>
        </w:tc>
        <w:tc>
          <w:tcPr>
            <w:tcW w:type="dxa" w:w="5312"/>
          </w:tcPr>
          <w:p>
            <w:pPr>
              <w:pStyle w:val="Compact"/>
            </w:pPr>
            <w:r>
              <w:t xml:space="preserve">Independent verification pass, one verifier per component. Coverage-gap review adds one finding.</w:t>
            </w:r>
          </w:p>
        </w:tc>
      </w:tr>
      <w:tr>
        <w:tc>
          <w:tcPr>
            <w:tcW w:type="dxa" w:w="820"/>
          </w:tcPr>
          <w:p>
            <w:pPr>
              <w:pStyle w:val="Compact"/>
            </w:pPr>
            <w:r>
              <w:t xml:space="preserve">2.2</w:t>
            </w:r>
          </w:p>
        </w:tc>
        <w:tc>
          <w:tcPr>
            <w:tcW w:type="dxa" w:w="1180"/>
          </w:tcPr>
          <w:p>
            <w:pPr>
              <w:pStyle w:val="Compact"/>
            </w:pPr>
            <w:r>
              <w:t xml:space="preserve">09/09/2026</w:t>
            </w:r>
          </w:p>
        </w:tc>
        <w:tc>
          <w:tcPr>
            <w:tcW w:type="dxa" w:w="2100"/>
          </w:tcPr>
          <w:p>
            <w:pPr>
              <w:pStyle w:val="Compact"/>
            </w:pPr>
            <w:r>
              <w:t xml:space="preserve">Independent Security Review</w:t>
            </w:r>
          </w:p>
        </w:tc>
        <w:tc>
          <w:tcPr>
            <w:tcW w:type="dxa" w:w="5312"/>
          </w:tcPr>
          <w:p>
            <w:pPr>
              <w:pStyle w:val="Compact"/>
            </w:pPr>
            <w:r>
              <w:t xml:space="preserve">Round-2 consolidation. Every band and score re-derived at source.</w:t>
            </w:r>
          </w:p>
        </w:tc>
      </w:tr>
      <w:tr>
        <w:tc>
          <w:tcPr>
            <w:tcW w:type="dxa" w:w="820"/>
          </w:tcPr>
          <w:p>
            <w:pPr>
              <w:pStyle w:val="Compact"/>
            </w:pPr>
            <w:r>
              <w:t xml:space="preserve">3.0</w:t>
            </w:r>
          </w:p>
        </w:tc>
        <w:tc>
          <w:tcPr>
            <w:tcW w:type="dxa" w:w="1180"/>
          </w:tcPr>
          <w:p>
            <w:pPr>
              <w:pStyle w:val="Compact"/>
            </w:pPr>
            <w:r>
              <w:t xml:space="preserve">09/09/2026</w:t>
            </w:r>
          </w:p>
        </w:tc>
        <w:tc>
          <w:tcPr>
            <w:tcW w:type="dxa" w:w="2100"/>
          </w:tcPr>
          <w:p>
            <w:pPr>
              <w:pStyle w:val="Compact"/>
            </w:pPr>
            <w:r>
              <w:t xml:space="preserve">Independent Security Review</w:t>
            </w:r>
          </w:p>
        </w:tc>
        <w:tc>
          <w:tcPr>
            <w:tcW w:type="dxa" w:w="5312"/>
          </w:tcPr>
          <w:p>
            <w:pPr>
              <w:pStyle w:val="Compact"/>
            </w:pPr>
            <w:r>
              <w:t xml:space="preserve">Reissued as two registers on the client’s instruction. Presentation only.</w:t>
            </w:r>
          </w:p>
        </w:tc>
      </w:tr>
      <w:tr>
        <w:tc>
          <w:tcPr>
            <w:tcW w:type="dxa" w:w="820"/>
          </w:tcPr>
          <w:p>
            <w:pPr>
              <w:pStyle w:val="Compact"/>
            </w:pPr>
            <w:r>
              <w:t xml:space="preserve">3.1</w:t>
            </w:r>
          </w:p>
        </w:tc>
        <w:tc>
          <w:tcPr>
            <w:tcW w:type="dxa" w:w="1180"/>
          </w:tcPr>
          <w:p>
            <w:pPr>
              <w:pStyle w:val="Compact"/>
            </w:pPr>
            <w:r>
              <w:t xml:space="preserve">09/09/2026</w:t>
            </w:r>
          </w:p>
        </w:tc>
        <w:tc>
          <w:tcPr>
            <w:tcW w:type="dxa" w:w="2100"/>
          </w:tcPr>
          <w:p>
            <w:pPr>
              <w:pStyle w:val="Compact"/>
            </w:pPr>
            <w:r>
              <w:t xml:space="preserve">Independent Security Review</w:t>
            </w:r>
          </w:p>
        </w:tc>
        <w:tc>
          <w:tcPr>
            <w:tcW w:type="dxa" w:w="5312"/>
          </w:tcPr>
          <w:p>
            <w:pPr>
              <w:pStyle w:val="Compact"/>
            </w:pPr>
            <w:r>
              <w:t xml:space="preserve">Title page, clickable contents, section page breaks, body aligned to the reference report, every finding restructured on BLUF. No finding, severity, score, vector or count changed.</w:t>
            </w:r>
          </w:p>
        </w:tc>
      </w:tr>
    </w:tbl>
    <w:p>
      <w:r>
        <w:br w:type="page"/>
      </w:r>
    </w:p>
    <w:p>
      <w:pPr>
        <w:pStyle w:val="TOCHeading"/>
      </w:pPr>
      <w:r>
        <w:t xml:space="preserve">Contents</w:t>
      </w:r>
    </w:p>
    <w:p>
      <w:pPr>
        <w:pStyle w:val="Compact"/>
      </w:pPr>
      <w:r>
        <w:rPr>
          <w:i/>
          <w:color w:val="595959"/>
        </w:rPr>
        <w:t xml:space="preserve">Every entry below is a link: click it to jump to that section. In Microsoft Word the list can also be refreshed to add page numbers (right-click &gt; Update Field).</w:t>
      </w:r>
    </w:p>
    <w:p>
      <w:r>
        <w:fldChar w:fldCharType="begin" w:dirty="true"/>
      </w:r>
      <w:r>
        <w:instrText xml:space="preserve"> TOC \o "1-3" \h \z \u </w:instrText>
      </w:r>
      <w:r>
        <w:fldChar w:fldCharType="separate"/>
      </w:r>
    </w:p>
    <w:p>
      <w:pPr>
        <w:pStyle w:val="TOC1"/>
        <w:ind w:left="0"/>
        <w:spacing w:after="0"/>
      </w:pPr>
      <w:hyperlink w:anchor="X102b2e9de4183984340b81b0bb402a984d3925a">
        <w:r>
          <w:rPr>
            <w:rStyle w:val="Hyperlink"/>
          </w:rPr>
          <w:t xml:space="preserve">1. Executive Summary</w:t>
        </w:r>
      </w:hyperlink>
    </w:p>
    <w:p>
      <w:pPr>
        <w:pStyle w:val="TOC2"/>
        <w:ind w:left="360"/>
        <w:spacing w:after="0"/>
      </w:pPr>
      <w:hyperlink w:anchor="Xf2db702bc4c22493d3a3d33224f1ec0cdbd88df">
        <w:r>
          <w:rPr>
            <w:rStyle w:val="Hyperlink"/>
          </w:rPr>
          <w:t xml:space="preserve">1.1 Overall risk ratings, by Target of Evaluation</w:t>
        </w:r>
      </w:hyperlink>
    </w:p>
    <w:p>
      <w:pPr>
        <w:pStyle w:val="TOC2"/>
        <w:ind w:left="360"/>
        <w:spacing w:after="0"/>
      </w:pPr>
      <w:hyperlink w:anchor="Xd1091ba33066216bc8daf9ad8825507de3a6f2c">
        <w:r>
          <w:rPr>
            <w:rStyle w:val="Hyperlink"/>
          </w:rPr>
          <w:t xml:space="preserve">1.2 Severity distribution</w:t>
        </w:r>
      </w:hyperlink>
    </w:p>
    <w:p>
      <w:pPr>
        <w:pStyle w:val="TOC2"/>
        <w:ind w:left="360"/>
        <w:spacing w:after="0"/>
      </w:pPr>
      <w:hyperlink w:anchor="Xb0f17a21387f6f4865dbb511a68af1aaccd4f9f">
        <w:r>
          <w:rPr>
            <w:rStyle w:val="Hyperlink"/>
          </w:rPr>
          <w:t xml:space="preserve">1.3 Key findings</w:t>
        </w:r>
      </w:hyperlink>
    </w:p>
    <w:p>
      <w:pPr>
        <w:pStyle w:val="TOC2"/>
        <w:ind w:left="360"/>
        <w:spacing w:after="0"/>
      </w:pPr>
      <w:hyperlink w:anchor="X220e8142f6cd4a8d04f6b8e2b499874ddf0dfeb">
        <w:r>
          <w:rPr>
            <w:rStyle w:val="Hyperlink"/>
          </w:rPr>
          <w:t xml:space="preserve">1.4 How the counts are constructed</w:t>
        </w:r>
      </w:hyperlink>
    </w:p>
    <w:p>
      <w:pPr>
        <w:pStyle w:val="TOC2"/>
        <w:ind w:left="360"/>
        <w:spacing w:after="0"/>
      </w:pPr>
      <w:hyperlink w:anchor="Xed47a6b243077f0d4d82f02daaee15fbf71e127">
        <w:r>
          <w:rPr>
            <w:rStyle w:val="Hyperlink"/>
          </w:rPr>
          <w:t xml:space="preserve">1.5 Important caveats</w:t>
        </w:r>
      </w:hyperlink>
    </w:p>
    <w:p>
      <w:pPr>
        <w:pStyle w:val="TOC1"/>
        <w:ind w:left="0"/>
        <w:spacing w:after="0"/>
      </w:pPr>
      <w:hyperlink w:anchor="X13de200ec4d4b2cca4efbd9a1c62b80357d14fc">
        <w:r>
          <w:rPr>
            <w:rStyle w:val="Hyperlink"/>
          </w:rPr>
          <w:t xml:space="preserve">2. Overview</w:t>
        </w:r>
      </w:hyperlink>
    </w:p>
    <w:p>
      <w:pPr>
        <w:pStyle w:val="TOC2"/>
        <w:ind w:left="360"/>
        <w:spacing w:after="0"/>
      </w:pPr>
      <w:hyperlink w:anchor="X9500629ddf87d50187daf9dff98960a47019c77">
        <w:r>
          <w:rPr>
            <w:rStyle w:val="Hyperlink"/>
          </w:rPr>
          <w:t xml:space="preserve">2.1 Background</w:t>
        </w:r>
      </w:hyperlink>
    </w:p>
    <w:p>
      <w:pPr>
        <w:pStyle w:val="TOC2"/>
        <w:ind w:left="360"/>
        <w:spacing w:after="0"/>
      </w:pPr>
      <w:hyperlink w:anchor="X2712333080a128c5a6540c042ee4bccda9623a0">
        <w:r>
          <w:rPr>
            <w:rStyle w:val="Hyperlink"/>
          </w:rPr>
          <w:t xml:space="preserve">2.2 Register of findings</w:t>
        </w:r>
      </w:hyperlink>
    </w:p>
    <w:p>
      <w:pPr>
        <w:pStyle w:val="TOC2"/>
        <w:ind w:left="360"/>
        <w:spacing w:after="0"/>
      </w:pPr>
      <w:hyperlink w:anchor="Xaad23dfb4afcbd924258802b07bdbd09116c867">
        <w:r>
          <w:rPr>
            <w:rStyle w:val="Hyperlink"/>
          </w:rPr>
          <w:t xml:space="preserve">2.3 In scope</w:t>
        </w:r>
      </w:hyperlink>
    </w:p>
    <w:p>
      <w:pPr>
        <w:pStyle w:val="TOC2"/>
        <w:ind w:left="360"/>
        <w:spacing w:after="0"/>
      </w:pPr>
      <w:hyperlink w:anchor="Xf1d43a16ed8bc2972ab6b93af48a5a6a96fbbb9">
        <w:r>
          <w:rPr>
            <w:rStyle w:val="Hyperlink"/>
          </w:rPr>
          <w:t xml:space="preserve">2.4 Testing methodology</w:t>
        </w:r>
      </w:hyperlink>
    </w:p>
    <w:p>
      <w:pPr>
        <w:pStyle w:val="TOC2"/>
        <w:ind w:left="360"/>
        <w:spacing w:after="0"/>
      </w:pPr>
      <w:hyperlink w:anchor="X07df659572f9a3811d1ed70ba5db054b062c00c">
        <w:r>
          <w:rPr>
            <w:rStyle w:val="Hyperlink"/>
          </w:rPr>
          <w:t xml:space="preserve">2.5 Out of scope</w:t>
        </w:r>
      </w:hyperlink>
    </w:p>
    <w:p>
      <w:pPr>
        <w:pStyle w:val="TOC2"/>
        <w:ind w:left="360"/>
        <w:spacing w:after="0"/>
      </w:pPr>
      <w:hyperlink w:anchor="X5440bc35d0f986108c41009ebb902d6fca34470">
        <w:r>
          <w:rPr>
            <w:rStyle w:val="Hyperlink"/>
          </w:rPr>
          <w:t xml:space="preserve">2.6 Report considerations</w:t>
        </w:r>
      </w:hyperlink>
    </w:p>
    <w:p>
      <w:pPr>
        <w:pStyle w:val="TOC2"/>
        <w:ind w:left="360"/>
        <w:spacing w:after="0"/>
      </w:pPr>
      <w:hyperlink w:anchor="X35d4ad8d4024f5cf4e7d8e0f026178dae256ffe">
        <w:r>
          <w:rPr>
            <w:rStyle w:val="Hyperlink"/>
          </w:rPr>
          <w:t xml:space="preserve">2.7 Relationship to the companion register</w:t>
        </w:r>
      </w:hyperlink>
    </w:p>
    <w:p>
      <w:pPr>
        <w:pStyle w:val="TOC1"/>
        <w:ind w:left="0"/>
        <w:spacing w:after="0"/>
      </w:pPr>
      <w:hyperlink w:anchor="X053813bfc1f649a11b9cb58a651dc83468ea4d1">
        <w:r>
          <w:rPr>
            <w:rStyle w:val="Hyperlink"/>
          </w:rPr>
          <w:t xml:space="preserve">3. Detailed Findings</w:t>
        </w:r>
      </w:hyperlink>
    </w:p>
    <w:p>
      <w:pPr>
        <w:pStyle w:val="TOC2"/>
        <w:ind w:left="360"/>
        <w:spacing w:after="0"/>
      </w:pPr>
      <w:hyperlink w:anchor="Xc51c55a5c4acdb57feb5199f7f98dfd0c81a9ed">
        <w:r>
          <w:rPr>
            <w:rStyle w:val="Hyperlink"/>
          </w:rPr>
          <w:t xml:space="preserve">3.1 How to read a finding</w:t>
        </w:r>
      </w:hyperlink>
    </w:p>
    <w:p>
      <w:pPr>
        <w:pStyle w:val="TOC2"/>
        <w:ind w:left="360"/>
        <w:spacing w:after="0"/>
      </w:pPr>
      <w:hyperlink w:anchor="X7b5156d3b36deff07c08cc29371560866ef0238">
        <w:r>
          <w:rPr>
            <w:rStyle w:val="Hyperlink"/>
          </w:rPr>
          <w:t xml:space="preserve">3.2 Critical findings</w:t>
        </w:r>
      </w:hyperlink>
    </w:p>
    <w:p>
      <w:pPr>
        <w:pStyle w:val="TOC2"/>
        <w:ind w:left="360"/>
        <w:spacing w:after="0"/>
      </w:pPr>
      <w:hyperlink w:anchor="X72a3d8518ccf5b26a9587b26cf70bd56743d35d">
        <w:r>
          <w:rPr>
            <w:rStyle w:val="Hyperlink"/>
          </w:rPr>
          <w:t xml:space="preserve">3.3 Per-component tally</w:t>
        </w:r>
      </w:hyperlink>
    </w:p>
    <w:p>
      <w:pPr>
        <w:pStyle w:val="TOC2"/>
        <w:ind w:left="360"/>
        <w:spacing w:after="0"/>
      </w:pPr>
      <w:hyperlink w:anchor="Xdf72931f799d1d558b88245d1d12904795d2b28">
        <w:r>
          <w:rPr>
            <w:rStyle w:val="Hyperlink"/>
          </w:rPr>
          <w:t xml:space="preserve">3.4 Delta review, Task-Dispatcher</w:t>
        </w:r>
      </w:hyperlink>
    </w:p>
    <w:p>
      <w:pPr>
        <w:pStyle w:val="TOC2"/>
        <w:ind w:left="360"/>
        <w:spacing w:after="0"/>
      </w:pPr>
      <w:hyperlink w:anchor="X048d4cdd70da904dfa8889ecf5a26b119144101">
        <w:r>
          <w:rPr>
            <w:rStyle w:val="Hyperlink"/>
          </w:rPr>
          <w:t xml:space="preserve">3.5 Coverage-gap review</w:t>
        </w:r>
      </w:hyperlink>
    </w:p>
    <w:p>
      <w:pPr>
        <w:pStyle w:val="TOC2"/>
        <w:ind w:left="360"/>
        <w:spacing w:after="0"/>
      </w:pPr>
      <w:hyperlink w:anchor="Xa3592aeceda358a082ae7e405c983d473198da0">
        <w:r>
          <w:rPr>
            <w:rStyle w:val="Hyperlink"/>
          </w:rPr>
          <w:t xml:space="preserve">3.6 Commercial and product-claim observations</w:t>
        </w:r>
      </w:hyperlink>
    </w:p>
    <w:p>
      <w:pPr>
        <w:pStyle w:val="TOC1"/>
        <w:ind w:left="0"/>
        <w:spacing w:after="0"/>
      </w:pPr>
      <w:hyperlink w:anchor="X2565cdd1c70bc07e88c127ab4409e38943f9818">
        <w:r>
          <w:rPr>
            <w:rStyle w:val="Hyperlink"/>
          </w:rPr>
          <w:t xml:space="preserve">4. Verification Status and Open Items</w:t>
        </w:r>
      </w:hyperlink>
    </w:p>
    <w:p>
      <w:pPr>
        <w:pStyle w:val="TOC2"/>
        <w:ind w:left="360"/>
        <w:spacing w:after="0"/>
      </w:pPr>
      <w:hyperlink w:anchor="X5e5e672c1c4f5ece2fb69b3d233d0dbcd4b5b1d">
        <w:r>
          <w:rPr>
            <w:rStyle w:val="Hyperlink"/>
          </w:rPr>
          <w:t xml:space="preserve">4.1 The per-component verification pass</w:t>
        </w:r>
      </w:hyperlink>
    </w:p>
    <w:p>
      <w:pPr>
        <w:pStyle w:val="TOC2"/>
        <w:ind w:left="360"/>
        <w:spacing w:after="0"/>
      </w:pPr>
      <w:hyperlink w:anchor="Xe9d78b9ad6668693c03372e27deef5e50306d5d">
        <w:r>
          <w:rPr>
            <w:rStyle w:val="Hyperlink"/>
          </w:rPr>
          <w:t xml:space="preserve">4.2 Open items</w:t>
        </w:r>
      </w:hyperlink>
    </w:p>
    <w:p>
      <w:pPr>
        <w:pStyle w:val="TOC2"/>
        <w:ind w:left="360"/>
        <w:spacing w:after="0"/>
      </w:pPr>
      <w:hyperlink w:anchor="X7806e35dab77ce238c6ce2bf8632cb2236f25e3">
        <w:r>
          <w:rPr>
            <w:rStyle w:val="Hyperlink"/>
          </w:rPr>
          <w:t xml:space="preserve">4.3 What is not done</w:t>
        </w:r>
      </w:hyperlink>
    </w:p>
    <w:p>
      <w:pPr>
        <w:pStyle w:val="TOC2"/>
        <w:ind w:left="360"/>
        <w:spacing w:after="0"/>
      </w:pPr>
      <w:hyperlink w:anchor="X111a18b47734bed804c3f2a639488d646f744eb">
        <w:r>
          <w:rPr>
            <w:rStyle w:val="Hyperlink"/>
          </w:rPr>
          <w:t xml:space="preserve">4.4 What was verified personally at source</w:t>
        </w:r>
      </w:hyperlink>
    </w:p>
    <w:p>
      <w:pPr>
        <w:pStyle w:val="TOC1"/>
        <w:ind w:left="0"/>
        <w:spacing w:after="0"/>
      </w:pPr>
      <w:hyperlink w:anchor="X7721be68407a11a24c4285b331d248da842f2ad">
        <w:r>
          <w:rPr>
            <w:rStyle w:val="Hyperlink"/>
          </w:rPr>
          <w:t xml:space="preserve">5. Assurance Observations</w:t>
        </w:r>
      </w:hyperlink>
    </w:p>
    <w:p>
      <w:pPr>
        <w:pStyle w:val="TOC1"/>
        <w:ind w:left="0"/>
        <w:spacing w:after="0"/>
      </w:pPr>
      <w:hyperlink w:anchor="Xa9b740c802b7ff6dfa59e51b77ebebeb07c4e40">
        <w:r>
          <w:rPr>
            <w:rStyle w:val="Hyperlink"/>
          </w:rPr>
          <w:t xml:space="preserve">6. Keycloak Position</w:t>
        </w:r>
      </w:hyperlink>
    </w:p>
    <w:p>
      <w:pPr>
        <w:pStyle w:val="TOC1"/>
        <w:ind w:left="0"/>
        <w:spacing w:after="0"/>
      </w:pPr>
      <w:hyperlink w:anchor="X8cf020d2cfbf480e417545296e44ec21fed2773">
        <w:r>
          <w:rPr>
            <w:rStyle w:val="Hyperlink"/>
          </w:rPr>
          <w:t xml:space="preserve">7. Appendices</w:t>
        </w:r>
      </w:hyperlink>
    </w:p>
    <w:p>
      <w:pPr>
        <w:pStyle w:val="TOC2"/>
        <w:ind w:left="360"/>
        <w:spacing w:after="0"/>
      </w:pPr>
      <w:hyperlink w:anchor="appendix-a--testing-methodology">
        <w:r>
          <w:rPr>
            <w:rStyle w:val="Hyperlink"/>
          </w:rPr>
          <w:t xml:space="preserve">Appendix A — Testing methodology</w:t>
        </w:r>
      </w:hyperlink>
    </w:p>
    <w:p>
      <w:pPr>
        <w:pStyle w:val="TOC2"/>
        <w:ind w:left="360"/>
        <w:spacing w:after="0"/>
      </w:pPr>
      <w:hyperlink w:anchor="appendix-b--vulnerability-ratings">
        <w:r>
          <w:rPr>
            <w:rStyle w:val="Hyperlink"/>
          </w:rPr>
          <w:t xml:space="preserve">Appendix B — Vulnerability ratings</w:t>
        </w:r>
      </w:hyperlink>
    </w:p>
    <w:p>
      <w:pPr>
        <w:pStyle w:val="TOC2"/>
        <w:ind w:left="360"/>
        <w:spacing w:after="0"/>
      </w:pPr>
      <w:hyperlink w:anchor="X4cae5ef2c0beee2d92dae3146981fbdbcced036">
        <w:r>
          <w:rPr>
            <w:rStyle w:val="Hyperlink"/>
          </w:rPr>
          <w:t xml:space="preserve">Appendix C — Reconciliation of the estate total</w:t>
        </w:r>
      </w:hyperlink>
    </w:p>
    <w:p>
      <w:r>
        <w:fldChar w:fldCharType="end"/>
      </w:r>
    </w:p>
    <w:p>
      <w:r>
        <w:br w:type="page"/>
      </w:r>
    </w:p>
    <w:bookmarkStart w:id="24" w:name="X102b2e9de4183984340b81b0bb402a984d3925a"/>
    <w:p>
      <w:pPr>
        <w:pStyle w:val="Heading2"/>
      </w:pPr>
      <w:r>
        <w:t xml:space="preserve">1. Executive Summary</w:t>
      </w:r>
    </w:p>
    <w:p>
      <w:pPr>
        <w:pStyle w:val="FirstParagraph"/>
      </w:pPr>
      <w:r>
        <w:t xml:space="preserve">Datasec commissioned an independent security review of its own product portfolio alongside the HP</w:t>
      </w:r>
      <w:r>
        <w:t xml:space="preserve"> </w:t>
      </w:r>
      <w:r>
        <w:t xml:space="preserve">Authentication Suite engagement. This register covers</w:t>
      </w:r>
      <w:r>
        <w:t xml:space="preserve"> </w:t>
      </w:r>
      <w:r>
        <w:rPr>
          <w:b/>
          <w:bCs/>
        </w:rPr>
        <w:t xml:space="preserve">nine Datasec-owned products</w:t>
      </w:r>
      <w:r>
        <w:t xml:space="preserve">: the CypherKey</w:t>
      </w:r>
      <w:r>
        <w:t xml:space="preserve"> </w:t>
      </w:r>
      <w:r>
        <w:t xml:space="preserve">passwordless identity provider, myPKI, SecurePDF, the Cryptix secure document-exchange portal, the</w:t>
      </w:r>
      <w:r>
        <w:t xml:space="preserve"> </w:t>
      </w:r>
      <w:r>
        <w:t xml:space="preserve">NexusAI reporting dashboard, the Task-Dispatcher internal automation tool, the HPSM repository</w:t>
      </w:r>
      <w:r>
        <w:t xml:space="preserve"> </w:t>
      </w:r>
      <w:r>
        <w:t xml:space="preserve">scaffold, and the two parked commercial tools, Vision Sales Portal and QuickQuote. Eight of the nine</w:t>
      </w:r>
      <w:r>
        <w:t xml:space="preserve"> </w:t>
      </w:r>
      <w:r>
        <w:t xml:space="preserve">had</w:t>
      </w:r>
      <w:r>
        <w:t xml:space="preserve"> </w:t>
      </w:r>
      <w:r>
        <w:rPr>
          <w:b/>
          <w:bCs/>
        </w:rPr>
        <w:t xml:space="preserve">never previously been assessed</w:t>
      </w:r>
      <w:r>
        <w:t xml:space="preserve">; they were ruled into scope by the client on 7 September 2026.</w:t>
      </w:r>
    </w:p>
    <w:p>
      <w:pPr>
        <w:pStyle w:val="BodyText"/>
      </w:pPr>
      <w:r>
        <w:t xml:space="preserve">The review was conducted as a</w:t>
      </w:r>
      <w:r>
        <w:t xml:space="preserve"> </w:t>
      </w:r>
      <w:r>
        <w:rPr>
          <w:b/>
          <w:bCs/>
        </w:rPr>
        <w:t xml:space="preserve">static, read-only source-code and configuration assessment</w:t>
      </w:r>
      <w:r>
        <w:t xml:space="preserve"> </w:t>
      </w:r>
      <w:r>
        <w:t xml:space="preserve">against</w:t>
      </w:r>
      <w:r>
        <w:t xml:space="preserve"> </w:t>
      </w:r>
      <w:r>
        <w:t xml:space="preserve">industry frameworks — OWASP ASVS, the API Security Top 10, MASVS and the Mobile Top 10, NIST CSF 2.0</w:t>
      </w:r>
      <w:r>
        <w:t xml:space="preserve"> </w:t>
      </w:r>
      <w:r>
        <w:t xml:space="preserve">and SP 800-53/63, ISO 27001:2022, and GDPR and the Australian Privacy Principles — with each finding</w:t>
      </w:r>
      <w:r>
        <w:t xml:space="preserve"> </w:t>
      </w:r>
      <w:r>
        <w:t xml:space="preserve">scored under CVSS 3.1. No live, dynamic or penetration testing was performed, and no production or</w:t>
      </w:r>
      <w:r>
        <w:t xml:space="preserve"> </w:t>
      </w:r>
      <w:r>
        <w:t xml:space="preserve">customer system was contacted. This matters particularly for Vision Sales Portal, which has a live</w:t>
      </w:r>
      <w:r>
        <w:t xml:space="preserve"> </w:t>
      </w:r>
      <w:r>
        <w:t xml:space="preserve">production instance: it was</w:t>
      </w:r>
      <w:r>
        <w:t xml:space="preserve"> </w:t>
      </w:r>
      <w:r>
        <w:rPr>
          <w:b/>
          <w:bCs/>
        </w:rPr>
        <w:t xml:space="preserve">not</w:t>
      </w:r>
      <w:r>
        <w:t xml:space="preserve"> </w:t>
      </w:r>
      <w:r>
        <w:t xml:space="preserve">touched, and every conclusion about it is drawn from source</w:t>
      </w:r>
      <w:r>
        <w:t xml:space="preserve"> </w:t>
      </w:r>
      <w:r>
        <w:t xml:space="preserve">alone. Every finding is cited to source as</w:t>
      </w:r>
      <w:r>
        <w:t xml:space="preserve"> </w:t>
      </w:r>
      <w:r>
        <w:rPr>
          <w:rStyle w:val="VerbatimChar"/>
        </w:rPr>
        <w:t xml:space="preserve">file:line</w:t>
      </w:r>
      <w:r>
        <w:t xml:space="preserve">, and where code and documentation disagreed,</w:t>
      </w:r>
      <w:r>
        <w:t xml:space="preserve"> </w:t>
      </w:r>
      <w:r>
        <w:t xml:space="preserve">the code was treated as authoritative.</w:t>
      </w:r>
    </w:p>
    <w:p>
      <w:pPr>
        <w:pStyle w:val="BodyText"/>
      </w:pPr>
      <w:r>
        <w:rPr>
          <w:b/>
          <w:bCs/>
        </w:rPr>
        <w:t xml:space="preserve">This register records 132 findings across the Datasec product portfolio: 10 Critical, 27 High, 46</w:t>
      </w:r>
      <w:r>
        <w:rPr>
          <w:b/>
          <w:bCs/>
        </w:rPr>
        <w:t xml:space="preserve"> </w:t>
      </w:r>
      <w:r>
        <w:rPr>
          <w:b/>
          <w:bCs/>
        </w:rPr>
        <w:t xml:space="preserve">Medium, 33 Low and 16 Informational.</w:t>
      </w:r>
      <w:r>
        <w:t xml:space="preserve"> </w:t>
      </w:r>
      <w:r>
        <w:t xml:space="preserve">The dominant themes are unauthenticated administrative and</w:t>
      </w:r>
      <w:r>
        <w:t xml:space="preserve"> </w:t>
      </w:r>
      <w:r>
        <w:t xml:space="preserve">data-access surfaces, committed secret material, authentication subjects taken from client-controlled</w:t>
      </w:r>
      <w:r>
        <w:t xml:space="preserve"> </w:t>
      </w:r>
      <w:r>
        <w:t xml:space="preserve">input, and authentication that fails open. Two products carry defects at the centre of their own</w:t>
      </w:r>
      <w:r>
        <w:t xml:space="preserve"> </w:t>
      </w:r>
      <w:r>
        <w:t xml:space="preserve">stated purpose: an identity provider that accepts a caller-supplied subject on one of its three</w:t>
      </w:r>
      <w:r>
        <w:t xml:space="preserve"> </w:t>
      </w:r>
      <w:r>
        <w:t xml:space="preserve">federation surfaces, and a secure document-exchange portal whose entire action API is</w:t>
      </w:r>
      <w:r>
        <w:t xml:space="preserve"> </w:t>
      </w:r>
      <w:r>
        <w:t xml:space="preserve">unauthenticated.</w:t>
      </w:r>
    </w:p>
    <w:p>
      <w:pPr>
        <w:pStyle w:val="BodyText"/>
      </w:pPr>
      <w:r>
        <w:rPr>
          <w:b/>
          <w:bCs/>
        </w:rPr>
        <w:t xml:space="preserve">These are first-time findings.</w:t>
      </w:r>
      <w:r>
        <w:t xml:space="preserve"> </w:t>
      </w:r>
      <w:r>
        <w:t xml:space="preserve">Nothing in this register has had a remediation cycle, and none of</w:t>
      </w:r>
      <w:r>
        <w:t xml:space="preserve"> </w:t>
      </w:r>
      <w:r>
        <w:t xml:space="preserve">it should be read as a regression.</w:t>
      </w:r>
    </w:p>
    <w:p/>
    <w:p/>
    <w:p/>
    <w:bookmarkStart w:id="19" w:name="Xf2db702bc4c22493d3a3d33224f1ec0cdbd88df"/>
    <w:p>
      <w:pPr>
        <w:pStyle w:val="Heading3"/>
      </w:pPr>
      <w:r>
        <w:t xml:space="preserve">1.1 Overall risk ratings, by Target of Evaluation</w:t>
      </w:r>
    </w:p>
    <w:p>
      <w:pPr>
        <w:pStyle w:val="FirstParagraph"/>
      </w:pPr>
      <w:r>
        <w:t xml:space="preserve">Based on the discovered vulnerabilities, the following risk ratings are allocated to each product.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Target of Evaluation</w:t>
            </w:r>
          </w:p>
        </w:tc>
        <w:tc>
          <w:tcPr/>
          <w:p>
            <w:pPr>
              <w:pStyle w:val="Compact"/>
            </w:pPr>
            <w:r>
              <w:t xml:space="preserve">Risk rating</w:t>
            </w:r>
          </w:p>
        </w:tc>
        <w:tc>
          <w:tcPr/>
          <w:p>
            <w:pPr>
              <w:pStyle w:val="Compact"/>
            </w:pPr>
            <w:r>
              <w:t xml:space="preserve">Most severe findings</w:t>
            </w:r>
          </w:p>
        </w:tc>
      </w:tr>
      <w:tr>
        <w:tc>
          <w:tcPr/>
          <w:p>
            <w:pPr>
              <w:pStyle w:val="Compact"/>
            </w:pPr>
            <w:r>
              <w:t xml:space="preserve">CryptixWebPortal (secure document exchange, TokenOne)</w:t>
            </w:r>
          </w:p>
        </w:tc>
        <w:tc>
          <w:tcPr/>
          <w:p>
            <w:pPr>
              <w:pStyle w:val="Compact"/>
            </w:pPr>
            <w:r>
              <w:rPr>
                <w:b/>
                <w:bCs/>
              </w:rPr>
              <w:t xml:space="preserve">Critical</w:t>
            </w:r>
          </w:p>
        </w:tc>
        <w:tc>
          <w:tcPr/>
          <w:p>
            <w:pPr>
              <w:pStyle w:val="Compact"/>
            </w:pPr>
            <w:r>
              <w:t xml:space="preserve">CRYPTIX-01, -02, -03, -04</w:t>
            </w:r>
          </w:p>
        </w:tc>
      </w:tr>
      <w:tr>
        <w:tc>
          <w:tcPr/>
          <w:p>
            <w:pPr>
              <w:pStyle w:val="Compact"/>
            </w:pPr>
            <w:r>
              <w:t xml:space="preserve">OneTimePad, product name</w:t>
            </w:r>
            <w:r>
              <w:t xml:space="preserve"> </w:t>
            </w:r>
            <w:r>
              <w:rPr>
                <w:b/>
                <w:bCs/>
              </w:rPr>
              <w:t xml:space="preserve">CypherKey</w:t>
            </w:r>
            <w:r>
              <w:t xml:space="preserve"> </w:t>
            </w:r>
            <w:r>
              <w:t xml:space="preserve">(passwordless IdP)</w:t>
            </w:r>
          </w:p>
        </w:tc>
        <w:tc>
          <w:tcPr/>
          <w:p>
            <w:pPr>
              <w:pStyle w:val="Compact"/>
            </w:pPr>
            <w:r>
              <w:rPr>
                <w:b/>
                <w:bCs/>
              </w:rPr>
              <w:t xml:space="preserve">Critical</w:t>
            </w:r>
          </w:p>
        </w:tc>
        <w:tc>
          <w:tcPr/>
          <w:p>
            <w:pPr>
              <w:pStyle w:val="Compact"/>
            </w:pPr>
            <w:r>
              <w:t xml:space="preserve">OTP-01, OTP-27</w:t>
            </w:r>
          </w:p>
        </w:tc>
      </w:tr>
      <w:tr>
        <w:tc>
          <w:tcPr/>
          <w:p>
            <w:pPr>
              <w:pStyle w:val="Compact"/>
            </w:pPr>
            <w:r>
              <w:t xml:space="preserve">NexusAI / Reporting Dashboard AU</w:t>
            </w:r>
          </w:p>
        </w:tc>
        <w:tc>
          <w:tcPr/>
          <w:p>
            <w:pPr>
              <w:pStyle w:val="Compact"/>
            </w:pPr>
            <w:r>
              <w:rPr>
                <w:b/>
                <w:bCs/>
              </w:rPr>
              <w:t xml:space="preserve">Critical</w:t>
            </w:r>
          </w:p>
        </w:tc>
        <w:tc>
          <w:tcPr/>
          <w:p>
            <w:pPr>
              <w:pStyle w:val="Compact"/>
            </w:pPr>
            <w:r>
              <w:t xml:space="preserve">RD-01</w:t>
            </w:r>
          </w:p>
        </w:tc>
      </w:tr>
      <w:tr>
        <w:tc>
          <w:tcPr/>
          <w:p>
            <w:pPr>
              <w:pStyle w:val="Compact"/>
            </w:pPr>
            <w:r>
              <w:t xml:space="preserve">myPKI (face-biometric key generation and personal PKI)</w:t>
            </w:r>
          </w:p>
        </w:tc>
        <w:tc>
          <w:tcPr/>
          <w:p>
            <w:pPr>
              <w:pStyle w:val="Compact"/>
            </w:pPr>
            <w:r>
              <w:rPr>
                <w:b/>
                <w:bCs/>
              </w:rPr>
              <w:t xml:space="preserve">Critical</w:t>
            </w:r>
          </w:p>
        </w:tc>
        <w:tc>
          <w:tcPr/>
          <w:p>
            <w:pPr>
              <w:pStyle w:val="Compact"/>
            </w:pPr>
            <w:r>
              <w:t xml:space="preserve">MYPKI-01</w:t>
            </w:r>
          </w:p>
        </w:tc>
      </w:tr>
      <w:tr>
        <w:tc>
          <w:tcPr/>
          <w:p>
            <w:pPr>
              <w:pStyle w:val="Compact"/>
            </w:pPr>
            <w:r>
              <w:t xml:space="preserve">SecurePDF (certificate-encrypted PDF pipeline)</w:t>
            </w:r>
          </w:p>
        </w:tc>
        <w:tc>
          <w:tcPr/>
          <w:p>
            <w:pPr>
              <w:pStyle w:val="Compact"/>
            </w:pPr>
            <w:r>
              <w:rPr>
                <w:b/>
                <w:bCs/>
              </w:rPr>
              <w:t xml:space="preserve">Critical</w:t>
            </w:r>
          </w:p>
        </w:tc>
        <w:tc>
          <w:tcPr/>
          <w:p>
            <w:pPr>
              <w:pStyle w:val="Compact"/>
            </w:pPr>
            <w:r>
              <w:t xml:space="preserve">SPDF-01,</w:t>
            </w:r>
            <w:r>
              <w:t xml:space="preserve"> </w:t>
            </w:r>
            <w:r>
              <w:rPr>
                <w:rStyle w:val="VerbatimChar"/>
              </w:rPr>
              <w:t xml:space="preserve">SPDF-D1</w:t>
            </w:r>
          </w:p>
        </w:tc>
      </w:tr>
      <w:tr>
        <w:tc>
          <w:tcPr/>
          <w:p>
            <w:pPr>
              <w:pStyle w:val="Compact"/>
            </w:pPr>
            <w:r>
              <w:t xml:space="preserve">Vision Sales Portal</w:t>
            </w:r>
            <w:r>
              <w:t xml:space="preserve"> </w:t>
            </w:r>
            <w:r>
              <w:rPr>
                <w:i/>
                <w:iCs/>
              </w:rPr>
              <w:t xml:space="preserve">(parked)</w:t>
            </w:r>
          </w:p>
        </w:tc>
        <w:tc>
          <w:tcPr/>
          <w:p>
            <w:pPr>
              <w:pStyle w:val="Compact"/>
            </w:pPr>
            <w:r>
              <w:rPr>
                <w:b/>
                <w:bCs/>
              </w:rPr>
              <w:t xml:space="preserve">Critical</w:t>
            </w:r>
          </w:p>
        </w:tc>
        <w:tc>
          <w:tcPr/>
          <w:p>
            <w:pPr>
              <w:pStyle w:val="Compact"/>
            </w:pPr>
            <w:r>
              <w:t xml:space="preserve">VSP-01</w:t>
            </w:r>
          </w:p>
        </w:tc>
      </w:tr>
      <w:tr>
        <w:tc>
          <w:tcPr/>
          <w:p>
            <w:pPr>
              <w:pStyle w:val="Compact"/>
            </w:pPr>
            <w:r>
              <w:t xml:space="preserve">Task-Dispatcher (internal developer automation)</w:t>
            </w:r>
          </w:p>
        </w:tc>
        <w:tc>
          <w:tcPr/>
          <w:p>
            <w:pPr>
              <w:pStyle w:val="Compact"/>
            </w:pPr>
            <w:r>
              <w:rPr>
                <w:b/>
                <w:bCs/>
              </w:rPr>
              <w:t xml:space="preserve">Medium</w:t>
            </w:r>
          </w:p>
        </w:tc>
        <w:tc>
          <w:tcPr/>
          <w:p>
            <w:pPr>
              <w:pStyle w:val="Compact"/>
            </w:pPr>
            <w:r>
              <w:t xml:space="preserve">F-31, F-27,</w:t>
            </w:r>
            <w:r>
              <w:t xml:space="preserve"> </w:t>
            </w:r>
            <w:r>
              <w:rPr>
                <w:rStyle w:val="VerbatimChar"/>
              </w:rPr>
              <w:t xml:space="preserve">TD-D1</w:t>
            </w:r>
          </w:p>
        </w:tc>
      </w:tr>
      <w:tr>
        <w:tc>
          <w:tcPr/>
          <w:p>
            <w:pPr>
              <w:pStyle w:val="Compact"/>
            </w:pPr>
            <w:r>
              <w:t xml:space="preserve">QuickQuote</w:t>
            </w:r>
            <w:r>
              <w:t xml:space="preserve"> </w:t>
            </w:r>
            <w:r>
              <w:rPr>
                <w:i/>
                <w:iCs/>
              </w:rPr>
              <w:t xml:space="preserve">(parked)</w:t>
            </w:r>
          </w:p>
        </w:tc>
        <w:tc>
          <w:tcPr/>
          <w:p>
            <w:pPr>
              <w:pStyle w:val="Compact"/>
            </w:pPr>
            <w:r>
              <w:rPr>
                <w:b/>
                <w:bCs/>
              </w:rPr>
              <w:t xml:space="preserve">High</w:t>
            </w:r>
          </w:p>
        </w:tc>
        <w:tc>
          <w:tcPr/>
          <w:p>
            <w:pPr>
              <w:pStyle w:val="Compact"/>
            </w:pPr>
            <w:r>
              <w:t xml:space="preserve">see §3.3</w:t>
            </w:r>
          </w:p>
        </w:tc>
      </w:tr>
      <w:tr>
        <w:tc>
          <w:tcPr/>
          <w:p>
            <w:pPr>
              <w:pStyle w:val="Compact"/>
            </w:pPr>
            <w:r>
              <w:t xml:space="preserve">HPSM (HP Security Playbook web platform)</w:t>
            </w:r>
          </w:p>
        </w:tc>
        <w:tc>
          <w:tcPr/>
          <w:p>
            <w:pPr>
              <w:pStyle w:val="Compact"/>
            </w:pPr>
            <w:r>
              <w:rPr>
                <w:b/>
                <w:bCs/>
              </w:rPr>
              <w:t xml:space="preserve">Not assessable</w:t>
            </w:r>
          </w:p>
        </w:tc>
        <w:tc>
          <w:tcPr/>
          <w:p>
            <w:pPr>
              <w:pStyle w:val="Compact"/>
            </w:pPr>
            <w:r>
              <w:t xml:space="preserve">repository scaffold only; there is no code to review</w:t>
            </w:r>
          </w:p>
        </w:tc>
      </w:tr>
    </w:tbl>
    <w:p/>
    <w:p/>
    <w:p/>
    <w:bookmarkEnd w:id="19"/>
    <w:bookmarkStart w:id="20" w:name="Xd1091ba33066216bc8daf9ad8825507de3a6f2c"/>
    <w:p>
      <w:pPr>
        <w:pStyle w:val="Heading3"/>
      </w:pPr>
      <w:r>
        <w:t xml:space="preserve">1.2 Severity distribution</w:t>
      </w:r>
    </w:p>
    <w:p>
      <w:pPr>
        <w:pStyle w:val="SourceCode"/>
      </w:pPr>
      <w:r>
        <w:rPr>
          <w:rStyle w:val="VerbatimChar"/>
        </w:rPr>
        <w:t xml:space="preserve">Critical       ##########                                      10</w:t>
      </w:r>
      <w:r>
        <w:br/>
      </w:r>
      <w:r>
        <w:rPr>
          <w:rStyle w:val="VerbatimChar"/>
        </w:rPr>
        <w:t xml:space="preserve">High           ###########################                     27</w:t>
      </w:r>
      <w:r>
        <w:br/>
      </w:r>
      <w:r>
        <w:rPr>
          <w:rStyle w:val="VerbatimChar"/>
        </w:rPr>
        <w:t xml:space="preserve">Medium         ##############################################  46</w:t>
      </w:r>
      <w:r>
        <w:br/>
      </w:r>
      <w:r>
        <w:rPr>
          <w:rStyle w:val="VerbatimChar"/>
        </w:rPr>
        <w:t xml:space="preserve">Low            #################################               33</w:t>
      </w:r>
      <w:r>
        <w:br/>
      </w:r>
      <w:r>
        <w:rPr>
          <w:rStyle w:val="VerbatimChar"/>
        </w:rPr>
        <w:t xml:space="preserve">Informational  ################                                16</w:t>
      </w:r>
      <w:r>
        <w:br/>
      </w:r>
      <w:r>
        <w:rPr>
          <w:rStyle w:val="VerbatimChar"/>
        </w:rPr>
        <w:t xml:space="preserve">               ----------------------------------------------    </w:t>
      </w:r>
      <w:r>
        <w:br/>
      </w:r>
      <w:r>
        <w:rPr>
          <w:rStyle w:val="VerbatimChar"/>
        </w:rPr>
        <w:t xml:space="preserve">TOTAL                                                         132</w:t>
      </w:r>
    </w:p>
    <w:p>
      <w:pPr>
        <w:pStyle w:val="FirstParagraph"/>
      </w:pPr>
      <w:r>
        <w:t xml:space="preserve">The register is built from four distinct populations of work. They are listed separately because they</w:t>
      </w:r>
      <w:r>
        <w:t xml:space="preserve"> </w:t>
      </w:r>
      <w:r>
        <w:t xml:space="preserve">were produced by different methods and carry different levels of verification; the distinction</w:t>
      </w:r>
      <w:r>
        <w:t xml:space="preserve"> </w:t>
      </w:r>
      <w:r>
        <w:t xml:space="preserve">matters when reading any single row.</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Population</w:t>
            </w:r>
          </w:p>
        </w:tc>
        <w:tc>
          <w:tcPr/>
          <w:p>
            <w:pPr>
              <w:pStyle w:val="Compact"/>
            </w:pPr>
            <w:r>
              <w:t xml:space="preserve">Critical</w:t>
            </w:r>
          </w:p>
        </w:tc>
        <w:tc>
          <w:tcPr/>
          <w:p>
            <w:pPr>
              <w:pStyle w:val="Compact"/>
            </w:pPr>
            <w:r>
              <w:t xml:space="preserve">High</w:t>
            </w:r>
          </w:p>
        </w:tc>
        <w:tc>
          <w:tcPr/>
          <w:p>
            <w:pPr>
              <w:pStyle w:val="Compact"/>
            </w:pPr>
            <w:r>
              <w:t xml:space="preserve">Medium</w:t>
            </w:r>
          </w:p>
        </w:tc>
        <w:tc>
          <w:tcPr/>
          <w:p>
            <w:pPr>
              <w:pStyle w:val="Compact"/>
            </w:pPr>
            <w:r>
              <w:t xml:space="preserve">Low</w:t>
            </w:r>
          </w:p>
        </w:tc>
        <w:tc>
          <w:tcPr/>
          <w:p>
            <w:pPr>
              <w:pStyle w:val="Compact"/>
            </w:pPr>
            <w:r>
              <w:t xml:space="preserve">Informational</w:t>
            </w:r>
          </w:p>
        </w:tc>
        <w:tc>
          <w:tcPr/>
          <w:p>
            <w:pPr>
              <w:pStyle w:val="Compact"/>
            </w:pPr>
            <w:r>
              <w:rPr>
                <w:b/>
                <w:bCs/>
              </w:rPr>
              <w:t xml:space="preserve">Total</w:t>
            </w:r>
          </w:p>
        </w:tc>
      </w:tr>
      <w:tr>
        <w:tc>
          <w:tcPr/>
          <w:p>
            <w:pPr>
              <w:pStyle w:val="Compact"/>
            </w:pPr>
            <w:r>
              <w:t xml:space="preserve">June 2026 baseline register, re-derived at source 2026-09-09</w:t>
            </w:r>
          </w:p>
        </w:tc>
        <w:tc>
          <w:tcPr/>
          <w:p>
            <w:pPr>
              <w:pStyle w:val="Compact"/>
            </w:pPr>
            <w:r>
              <w:t xml:space="preserve">—</w:t>
            </w:r>
          </w:p>
        </w:tc>
        <w:tc>
          <w:tcPr/>
          <w:p>
            <w:pPr>
              <w:pStyle w:val="Compact"/>
            </w:pPr>
            <w:r>
              <w:t xml:space="preserve">—</w:t>
            </w:r>
          </w:p>
        </w:tc>
        <w:tc>
          <w:tcPr/>
          <w:p>
            <w:pPr>
              <w:pStyle w:val="Compact"/>
            </w:pPr>
            <w:r>
              <w:t xml:space="preserve">2</w:t>
            </w:r>
          </w:p>
        </w:tc>
        <w:tc>
          <w:tcPr/>
          <w:p>
            <w:pPr>
              <w:pStyle w:val="Compact"/>
            </w:pPr>
            <w:r>
              <w:t xml:space="preserve">—</w:t>
            </w:r>
          </w:p>
        </w:tc>
        <w:tc>
          <w:tcPr/>
          <w:p>
            <w:pPr>
              <w:pStyle w:val="Compact"/>
            </w:pPr>
            <w:r>
              <w:t xml:space="preserve">—</w:t>
            </w:r>
          </w:p>
        </w:tc>
        <w:tc>
          <w:tcPr/>
          <w:p>
            <w:pPr>
              <w:pStyle w:val="Compact"/>
            </w:pPr>
            <w:r>
              <w:rPr>
                <w:b/>
                <w:bCs/>
              </w:rPr>
              <w:t xml:space="preserve">2</w:t>
            </w:r>
          </w:p>
        </w:tc>
      </w:tr>
      <w:tr>
        <w:tc>
          <w:tcPr/>
          <w:p>
            <w:pPr>
              <w:pStyle w:val="Compact"/>
            </w:pPr>
            <w:r>
              <w:t xml:space="preserve">Components reviewed for the first time in the 2026-09 re-run</w:t>
            </w:r>
          </w:p>
        </w:tc>
        <w:tc>
          <w:tcPr/>
          <w:p>
            <w:pPr>
              <w:pStyle w:val="Compact"/>
            </w:pPr>
            <w:r>
              <w:rPr>
                <w:b/>
                <w:bCs/>
              </w:rPr>
              <w:t xml:space="preserve">10</w:t>
            </w:r>
          </w:p>
        </w:tc>
        <w:tc>
          <w:tcPr/>
          <w:p>
            <w:pPr>
              <w:pStyle w:val="Compact"/>
            </w:pPr>
            <w:r>
              <w:rPr>
                <w:b/>
                <w:bCs/>
              </w:rPr>
              <w:t xml:space="preserve">26</w:t>
            </w:r>
          </w:p>
        </w:tc>
        <w:tc>
          <w:tcPr/>
          <w:p>
            <w:pPr>
              <w:pStyle w:val="Compact"/>
            </w:pPr>
            <w:r>
              <w:t xml:space="preserve">43</w:t>
            </w:r>
          </w:p>
        </w:tc>
        <w:tc>
          <w:tcPr/>
          <w:p>
            <w:pPr>
              <w:pStyle w:val="Compact"/>
            </w:pPr>
            <w:r>
              <w:t xml:space="preserve">31</w:t>
            </w:r>
          </w:p>
        </w:tc>
        <w:tc>
          <w:tcPr/>
          <w:p>
            <w:pPr>
              <w:pStyle w:val="Compact"/>
            </w:pPr>
            <w:r>
              <w:t xml:space="preserve">13</w:t>
            </w:r>
          </w:p>
        </w:tc>
        <w:tc>
          <w:tcPr/>
          <w:p>
            <w:pPr>
              <w:pStyle w:val="Compact"/>
            </w:pPr>
            <w:r>
              <w:rPr>
                <w:b/>
                <w:bCs/>
              </w:rPr>
              <w:t xml:space="preserve">123</w:t>
            </w:r>
          </w:p>
        </w:tc>
      </w:tr>
      <w:tr>
        <w:tc>
          <w:tcPr/>
          <w:p>
            <w:pPr>
              <w:pStyle w:val="Compact"/>
            </w:pPr>
            <w:r>
              <w:t xml:space="preserve">Delta review, the components reviewed before the 2026-09-07 session limit</w:t>
            </w:r>
          </w:p>
        </w:tc>
        <w:tc>
          <w:tcPr/>
          <w:p>
            <w:pPr>
              <w:pStyle w:val="Compact"/>
            </w:pPr>
            <w:r>
              <w:t xml:space="preserve">—</w:t>
            </w:r>
          </w:p>
        </w:tc>
        <w:tc>
          <w:tcPr/>
          <w:p>
            <w:pPr>
              <w:pStyle w:val="Compact"/>
            </w:pPr>
            <w:r>
              <w:t xml:space="preserve">—</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rPr>
                <w:b/>
                <w:bCs/>
              </w:rPr>
              <w:t xml:space="preserve">6</w:t>
            </w:r>
          </w:p>
        </w:tc>
      </w:tr>
      <w:tr>
        <w:tc>
          <w:tcPr/>
          <w:p>
            <w:pPr>
              <w:pStyle w:val="Compact"/>
            </w:pPr>
            <w:r>
              <w:t xml:space="preserve">Coverage-gap review, re-derived at source 2026-09-09</w:t>
            </w:r>
          </w:p>
        </w:tc>
        <w:tc>
          <w:tcPr/>
          <w:p>
            <w:pPr>
              <w:pStyle w:val="Compact"/>
            </w:pPr>
            <w:r>
              <w:t xml:space="preserve">—</w:t>
            </w:r>
          </w:p>
        </w:tc>
        <w:tc>
          <w:tcPr/>
          <w:p>
            <w:pPr>
              <w:pStyle w:val="Compact"/>
            </w:pPr>
            <w:r>
              <w:rPr>
                <w:b/>
                <w:bCs/>
              </w:rPr>
              <w:t xml:space="preserve">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1</w:t>
            </w:r>
          </w:p>
        </w:tc>
      </w:tr>
      <w:tr>
        <w:tc>
          <w:tcPr/>
          <w:p>
            <w:pPr>
              <w:pStyle w:val="Compact"/>
            </w:pPr>
            <w:r>
              <w:rPr>
                <w:b/>
                <w:bCs/>
              </w:rPr>
              <w:t xml:space="preserve">TOTAL — this register</w:t>
            </w:r>
          </w:p>
        </w:tc>
        <w:tc>
          <w:tcPr/>
          <w:p>
            <w:pPr>
              <w:pStyle w:val="Compact"/>
            </w:pPr>
            <w:r>
              <w:rPr>
                <w:b/>
                <w:bCs/>
              </w:rPr>
              <w:t xml:space="preserve">10</w:t>
            </w:r>
          </w:p>
        </w:tc>
        <w:tc>
          <w:tcPr/>
          <w:p>
            <w:pPr>
              <w:pStyle w:val="Compact"/>
            </w:pPr>
            <w:r>
              <w:rPr>
                <w:b/>
                <w:bCs/>
              </w:rPr>
              <w:t xml:space="preserve">27</w:t>
            </w:r>
          </w:p>
        </w:tc>
        <w:tc>
          <w:tcPr/>
          <w:p>
            <w:pPr>
              <w:pStyle w:val="Compact"/>
            </w:pPr>
            <w:r>
              <w:rPr>
                <w:b/>
                <w:bCs/>
              </w:rPr>
              <w:t xml:space="preserve">46</w:t>
            </w:r>
          </w:p>
        </w:tc>
        <w:tc>
          <w:tcPr/>
          <w:p>
            <w:pPr>
              <w:pStyle w:val="Compact"/>
            </w:pPr>
            <w:r>
              <w:rPr>
                <w:b/>
                <w:bCs/>
              </w:rPr>
              <w:t xml:space="preserve">33</w:t>
            </w:r>
          </w:p>
        </w:tc>
        <w:tc>
          <w:tcPr/>
          <w:p>
            <w:pPr>
              <w:pStyle w:val="Compact"/>
            </w:pPr>
            <w:r>
              <w:rPr>
                <w:b/>
                <w:bCs/>
              </w:rPr>
              <w:t xml:space="preserve">16</w:t>
            </w:r>
          </w:p>
        </w:tc>
        <w:tc>
          <w:tcPr/>
          <w:p>
            <w:pPr>
              <w:pStyle w:val="Compact"/>
            </w:pPr>
            <w:r>
              <w:rPr>
                <w:b/>
                <w:bCs/>
              </w:rPr>
              <w:t xml:space="preserve">132</w:t>
            </w:r>
          </w:p>
        </w:tc>
      </w:tr>
    </w:tbl>
    <w:p/>
    <w:p/>
    <w:p/>
    <w:bookmarkEnd w:id="20"/>
    <w:bookmarkStart w:id="21" w:name="Xb0f17a21387f6f4865dbb511a68af1aaccd4f9f"/>
    <w:p>
      <w:pPr>
        <w:pStyle w:val="Heading3"/>
      </w:pPr>
      <w:r>
        <w:t xml:space="preserve">1.3 Key findings</w:t>
      </w:r>
    </w:p>
    <w:p>
      <w:pPr>
        <w:pStyle w:val="FirstParagraph"/>
      </w:pPr>
      <w:r>
        <w:t xml:space="preserve">The dominant themes are summarised below. Full detail, evidence and remediation for each finding</w:t>
      </w:r>
      <w:r>
        <w:t xml:space="preserve"> </w:t>
      </w:r>
      <w:r>
        <w:t xml:space="preserve">follow in §3.</w:t>
      </w:r>
    </w:p>
    <w:p>
      <w:pPr>
        <w:pStyle w:val="Compact"/>
        <w:numPr>
          <w:ilvl w:val="0"/>
          <w:numId w:val="1001"/>
        </w:numPr>
      </w:pPr>
      <w:r>
        <w:rPr>
          <w:b/>
          <w:bCs/>
        </w:rPr>
        <w:t xml:space="preserve">An identity provider takes the authenticated subject from a client-controlled form field.</w:t>
      </w:r>
      <w:r>
        <w:t xml:space="preserve"> </w:t>
      </w:r>
      <w:r>
        <w:t xml:space="preserve">The</w:t>
      </w:r>
      <w:r>
        <w:t xml:space="preserve"> </w:t>
      </w:r>
      <w:r>
        <w:t xml:space="preserve">CypherKey EAM connector issues the signed identity token using the subject supplied in the request</w:t>
      </w:r>
      <w:r>
        <w:t xml:space="preserve"> </w:t>
      </w:r>
      <w:r>
        <w:t xml:space="preserve">body, after testing only that the challenge succeeded. The other two federation surfaces in the</w:t>
      </w:r>
      <w:r>
        <w:t xml:space="preserve"> </w:t>
      </w:r>
      <w:r>
        <w:t xml:space="preserve">same product do this correctly, which is what makes it a defect rather than a design. The only</w:t>
      </w:r>
      <w:r>
        <w:t xml:space="preserve"> </w:t>
      </w:r>
      <w:r>
        <w:t xml:space="preserve">stated safeguard is a code comment. An attacker holding a victim's password — the first factor this</w:t>
      </w:r>
      <w:r>
        <w:t xml:space="preserve"> </w:t>
      </w:r>
      <w:r>
        <w:t xml:space="preserve">product exists to survive — satisfies a challenge with their own device and submits the victim's</w:t>
      </w:r>
      <w:r>
        <w:t xml:space="preserve"> </w:t>
      </w:r>
      <w:r>
        <w:t xml:space="preserve">subject (OTP-01, CVSS 9.6).</w:t>
      </w:r>
    </w:p>
    <w:p>
      <w:pPr>
        <w:pStyle w:val="Compact"/>
        <w:numPr>
          <w:ilvl w:val="0"/>
          <w:numId w:val="1001"/>
        </w:numPr>
      </w:pPr>
      <w:r>
        <w:rPr>
          <w:b/>
          <w:bCs/>
        </w:rPr>
        <w:t xml:space="preserve">A secure document-exchange portal's entire action API is unauthenticated.</w:t>
      </w:r>
      <w:r>
        <w:t xml:space="preserve"> </w:t>
      </w:r>
      <w:r>
        <w:t xml:space="preserve">All sixty-eight</w:t>
      </w:r>
      <w:r>
        <w:t xml:space="preserve"> </w:t>
      </w:r>
      <w:r>
        <w:rPr>
          <w:rStyle w:val="VerbatimChar"/>
        </w:rPr>
        <w:t xml:space="preserve">actions/</w:t>
      </w:r>
      <w:r>
        <w:t xml:space="preserve"> </w:t>
      </w:r>
      <w:r>
        <w:t xml:space="preserve">endpoints are open, including the unwrap endpoint, which takes a caller-supplied</w:t>
      </w:r>
      <w:r>
        <w:t xml:space="preserve"> </w:t>
      </w:r>
      <w:r>
        <w:t xml:space="preserve">envelope identifier, fetches that envelope's decryption password on the caller's behalf, decrypts</w:t>
      </w:r>
      <w:r>
        <w:t xml:space="preserve"> </w:t>
      </w:r>
      <w:r>
        <w:t xml:space="preserve">the wrapper and returns the files with web URLs — the exact inverse of the product's purpose.</w:t>
      </w:r>
      <w:r>
        <w:t xml:space="preserve"> </w:t>
      </w:r>
      <w:r>
        <w:t xml:space="preserve">Alongside it: twenty-three unauthenticated administrative actions including company deletion; three</w:t>
      </w:r>
      <w:r>
        <w:t xml:space="preserve"> </w:t>
      </w:r>
      <w:r>
        <w:t xml:space="preserve">unauthenticated upload paths into the web root with the filename sanitiser commented out; and a</w:t>
      </w:r>
      <w:r>
        <w:t xml:space="preserve"> </w:t>
      </w:r>
      <w:r>
        <w:t xml:space="preserve">database of per-tenant API and signing keys served from the web root (CRYPTIX-01 to -04).</w:t>
      </w:r>
    </w:p>
    <w:p>
      <w:pPr>
        <w:pStyle w:val="Compact"/>
        <w:numPr>
          <w:ilvl w:val="0"/>
          <w:numId w:val="1001"/>
        </w:numPr>
      </w:pPr>
      <w:r>
        <w:rPr>
          <w:b/>
          <w:bCs/>
        </w:rPr>
        <w:t xml:space="preserve">Authentication fails open on a marketplace product.</w:t>
      </w:r>
      <w:r>
        <w:t xml:space="preserve"> </w:t>
      </w:r>
      <w:r>
        <w:t xml:space="preserve">NexusAI's</w:t>
      </w:r>
      <w:r>
        <w:t xml:space="preserve"> </w:t>
      </w:r>
      <w:r>
        <w:rPr>
          <w:rStyle w:val="VerbatimChar"/>
        </w:rPr>
        <w:t xml:space="preserve">requireAuth</w:t>
      </w:r>
      <w:r>
        <w:t xml:space="preserve"> </w:t>
      </w:r>
      <w:r>
        <w:t xml:space="preserve">returns early when</w:t>
      </w:r>
      <w:r>
        <w:t xml:space="preserve"> </w:t>
      </w:r>
      <w:r>
        <w:t xml:space="preserve">enforcement is not yet enabled, leaving all 175 routes unauthenticated. This occurs on every fresh</w:t>
      </w:r>
      <w:r>
        <w:t xml:space="preserve"> </w:t>
      </w:r>
      <w:r>
        <w:t xml:space="preserve">deployment until setup completes</w:t>
      </w:r>
      <w:r>
        <w:t xml:space="preserve"> </w:t>
      </w:r>
      <w:r>
        <w:rPr>
          <w:b/>
          <w:bCs/>
        </w:rPr>
        <w:t xml:space="preserve">and</w:t>
      </w:r>
      <w:r>
        <w:t xml:space="preserve"> </w:t>
      </w:r>
      <w:r>
        <w:t xml:space="preserve">from the outer error handler on any storage error, so a</w:t>
      </w:r>
      <w:r>
        <w:t xml:space="preserve"> </w:t>
      </w:r>
      <w:r>
        <w:t xml:space="preserve">correctly configured instance reverts to fully open on a storage hiccup. Ingress is external</w:t>
      </w:r>
      <w:r>
        <w:t xml:space="preserve"> </w:t>
      </w:r>
      <w:r>
        <w:t xml:space="preserve">(RD-01).</w:t>
      </w:r>
    </w:p>
    <w:p>
      <w:pPr>
        <w:pStyle w:val="Compact"/>
        <w:numPr>
          <w:ilvl w:val="0"/>
          <w:numId w:val="1001"/>
        </w:numPr>
      </w:pPr>
      <w:r>
        <w:rPr>
          <w:b/>
          <w:bCs/>
        </w:rPr>
        <w:t xml:space="preserve">Committed secret and key material across the portfolio.</w:t>
      </w:r>
      <w:r>
        <w:t xml:space="preserve"> </w:t>
      </w:r>
      <w:r>
        <w:t xml:space="preserve">A Cosmos DB primary master key is</w:t>
      </w:r>
      <w:r>
        <w:t xml:space="preserve"> </w:t>
      </w:r>
      <w:r>
        <w:t xml:space="preserve">committed at HEAD inside a shipped desktop application (SPDF-01), and ten accounts' passwords are</w:t>
      </w:r>
      <w:r>
        <w:t xml:space="preserve"> </w:t>
      </w:r>
      <w:r>
        <w:t xml:space="preserve">upserted from plaintext in source on every boot of the Vision Sales Portal, with no environment</w:t>
      </w:r>
      <w:r>
        <w:t xml:space="preserve"> </w:t>
      </w:r>
      <w:r>
        <w:t xml:space="preserve">guard and no password-change mechanism anywhere in the tree (VSP-01).</w:t>
      </w:r>
    </w:p>
    <w:p>
      <w:pPr>
        <w:pStyle w:val="Compact"/>
        <w:numPr>
          <w:ilvl w:val="0"/>
          <w:numId w:val="1001"/>
        </w:numPr>
      </w:pPr>
      <w:r>
        <w:rPr>
          <w:b/>
          <w:bCs/>
        </w:rPr>
        <w:t xml:space="preserve">A PKI product's key derivation is weaker than its documentation implies, and the position is more</w:t>
      </w:r>
      <w:r>
        <w:rPr>
          <w:b/>
          <w:bCs/>
        </w:rPr>
        <w:t xml:space="preserve"> </w:t>
      </w:r>
      <w:r>
        <w:rPr>
          <w:b/>
          <w:bCs/>
        </w:rPr>
        <w:t xml:space="preserve">nuanced than first filed.</w:t>
      </w:r>
      <w:r>
        <w:t xml:space="preserve"> </w:t>
      </w:r>
      <w:r>
        <w:t xml:space="preserve">The legacy enrolment path derives keys with no work factor and is still</w:t>
      </w:r>
      <w:r>
        <w:t xml:space="preserve"> </w:t>
      </w:r>
      <w:r>
        <w:t xml:space="preserve">shipped; the current path does use a key-derivation function with independent entropy. The finding</w:t>
      </w:r>
      <w:r>
        <w:t xml:space="preserve"> </w:t>
      </w:r>
      <w:r>
        <w:t xml:space="preserve">and its correction are set out together at §3.2, and a rescore is</w:t>
      </w:r>
      <w:r>
        <w:t xml:space="preserve"> </w:t>
      </w:r>
      <w:r>
        <w:rPr>
          <w:b/>
          <w:bCs/>
        </w:rPr>
        <w:t xml:space="preserve">proposed, not applied</w:t>
      </w:r>
      <w:r>
        <w:t xml:space="preserve">, because</w:t>
      </w:r>
      <w:r>
        <w:t xml:space="preserve"> </w:t>
      </w:r>
      <w:r>
        <w:t xml:space="preserve">a single verifier should not move a published Critical downward unreviewed.</w:t>
      </w:r>
    </w:p>
    <w:p>
      <w:pPr>
        <w:pStyle w:val="Compact"/>
        <w:numPr>
          <w:ilvl w:val="0"/>
          <w:numId w:val="1001"/>
        </w:numPr>
      </w:pPr>
      <w:r>
        <w:rPr>
          <w:b/>
          <w:bCs/>
        </w:rPr>
        <w:t xml:space="preserve">SecurePDF's encryption is addressed to unvalidated recipients.</w:t>
      </w:r>
      <w:r>
        <w:t xml:space="preserve"> </w:t>
      </w:r>
      <w:r>
        <w:t xml:space="preserve">The encoder validates no</w:t>
      </w:r>
      <w:r>
        <w:t xml:space="preserve"> </w:t>
      </w:r>
      <w:r>
        <w:t xml:space="preserve">recipient certificate and reads recipient public keys straight out of the same Cosmos database</w:t>
      </w:r>
      <w:r>
        <w:t xml:space="preserve"> </w:t>
      </w:r>
      <w:r>
        <w:t xml:space="preserve">whose master key is committed. Write access to that store substitutes a recipient's certificate and</w:t>
      </w:r>
      <w:r>
        <w:t xml:space="preserve"> </w:t>
      </w:r>
      <w:r>
        <w:t xml:space="preserve">silently reads every document encrypted for them afterwards.</w:t>
      </w:r>
      <w:r>
        <w:t xml:space="preserve"> </w:t>
      </w:r>
      <w:r>
        <w:rPr>
          <w:b/>
          <w:bCs/>
        </w:rPr>
        <w:t xml:space="preserve">Rotation alone does not fix it</w:t>
      </w:r>
      <w:r>
        <w:t xml:space="preserve"> </w:t>
      </w:r>
      <w:r>
        <w:t xml:space="preserve">(</w:t>
      </w:r>
      <w:r>
        <w:rPr>
          <w:rStyle w:val="VerbatimChar"/>
        </w:rPr>
        <w:t xml:space="preserve">SPDF-D1</w:t>
      </w:r>
      <w:r>
        <w:t xml:space="preserve">, and it enlarges SPDF-01).</w:t>
      </w:r>
    </w:p>
    <w:p/>
    <w:p/>
    <w:p/>
    <w:bookmarkEnd w:id="21"/>
    <w:bookmarkStart w:id="22" w:name="X220e8142f6cd4a8d04f6b8e2b499874ddf0dfeb"/>
    <w:p>
      <w:pPr>
        <w:pStyle w:val="Heading3"/>
      </w:pPr>
      <w:r>
        <w:t xml:space="preserve">1.4 How the counts are constructed</w:t>
      </w:r>
    </w:p>
    <w:p>
      <w:pPr>
        <w:pStyle w:val="FirstParagraph"/>
      </w:pPr>
      <w:r>
        <w:rPr>
          <w:b/>
          <w:bCs/>
        </w:rPr>
        <w:t xml:space="preserve">The estate total across both registers is 28 Critical, 76 High, 126 Medium, 73 Low and 39</w:t>
      </w:r>
      <w:r>
        <w:rPr>
          <w:b/>
          <w:bCs/>
        </w:rPr>
        <w:t xml:space="preserve"> </w:t>
      </w:r>
      <w:r>
        <w:rPr>
          <w:b/>
          <w:bCs/>
        </w:rPr>
        <w:t xml:space="preserve">Informational, totalling 342.</w:t>
      </w:r>
      <w:r>
        <w:t xml:space="preserve"> </w:t>
      </w:r>
      <w:r>
        <w:t xml:space="preserve">This register holds 132 of those findings and the companion HP</w:t>
      </w:r>
      <w:r>
        <w:t xml:space="preserve"> </w:t>
      </w:r>
      <w:r>
        <w:t xml:space="preserve">Authentication Suite register holds 210.</w:t>
      </w:r>
      <w:r>
        <w:t xml:space="preserve"> </w:t>
      </w:r>
      <w:r>
        <w:rPr>
          <w:b/>
          <w:bCs/>
        </w:rPr>
        <w:t xml:space="preserve">Every finding appears in exactly one register.</w:t>
      </w:r>
    </w:p>
    <w:p>
      <w:pPr>
        <w:pStyle w:val="BodyText"/>
      </w:pPr>
      <w:r>
        <w:rPr>
          <w:b/>
          <w:bCs/>
        </w:rPr>
        <w:t xml:space="preserve">One estate finding is cross-cutting and is counted in the companion register, not here.</w:t>
      </w:r>
      <w:r>
        <w:t xml:space="preserve"> </w:t>
      </w:r>
      <w:r>
        <w:t xml:space="preserve">June</w:t>
      </w:r>
      <w:r>
        <w:t xml:space="preserve"> </w:t>
      </w:r>
      <w:r>
        <w:rPr>
          <w:rStyle w:val="VerbatimChar"/>
        </w:rPr>
        <w:t xml:space="preserve">F-21</w:t>
      </w:r>
      <w:r>
        <w:t xml:space="preserve"> </w:t>
      </w:r>
      <w:r>
        <w:t xml:space="preserve">— the absence of SDLC security gates — records its own affected component as</w:t>
      </w:r>
      <w:r>
        <w:t xml:space="preserve"> </w:t>
      </w:r>
      <w:r>
        <w:rPr>
          <w:i/>
          <w:iCs/>
        </w:rPr>
        <w:t xml:space="preserve">"All</w:t>
      </w:r>
      <w:r>
        <w:rPr>
          <w:i/>
          <w:iCs/>
        </w:rPr>
        <w:t xml:space="preserve"> </w:t>
      </w:r>
      <w:r>
        <w:rPr>
          <w:i/>
          <w:iCs/>
        </w:rPr>
        <w:t xml:space="preserve">repositories, CI/CD across the suite"</w:t>
      </w:r>
      <w:r>
        <w:t xml:space="preserve">. Its conclusions apply to the repositories in this register</w:t>
      </w:r>
      <w:r>
        <w:t xml:space="preserve"> </w:t>
      </w:r>
      <w:r>
        <w:t xml:space="preserve">too, and its consequence for this portfolio is that the committed secrets recorded above could reach</w:t>
      </w:r>
      <w:r>
        <w:t xml:space="preserve"> </w:t>
      </w:r>
      <w:r>
        <w:t xml:space="preserve">the repositories and stay there.</w:t>
      </w:r>
      <w:r>
        <w:t xml:space="preserve"> </w:t>
      </w:r>
      <w:r>
        <w:rPr>
          <w:b/>
          <w:bCs/>
        </w:rPr>
        <w:t xml:space="preserve">It is counted once, in the HP Authentication Suite register, and</w:t>
      </w:r>
      <w:r>
        <w:rPr>
          <w:b/>
          <w:bCs/>
        </w:rPr>
        <w:t xml:space="preserve"> </w:t>
      </w:r>
      <w:r>
        <w:rPr>
          <w:b/>
          <w:bCs/>
        </w:rPr>
        <w:t xml:space="preserve">is referenced here without being counted again</w:t>
      </w:r>
      <w:r>
        <w:t xml:space="preserve">, so that the two registers sum correctly.</w:t>
      </w:r>
    </w:p>
    <w:p>
      <w:pPr>
        <w:pStyle w:val="BodyText"/>
      </w:pPr>
      <w:r>
        <w:rPr>
          <w:b/>
          <w:bCs/>
        </w:rPr>
        <w:t xml:space="preserve">Provenance of the per-component figures.</w:t>
      </w:r>
      <w:r>
        <w:t xml:space="preserve"> </w:t>
      </w:r>
      <w:r>
        <w:t xml:space="preserve">They are as reported by each reviewer and then</w:t>
      </w:r>
      <w:r>
        <w:t xml:space="preserve"> </w:t>
      </w:r>
      <w:r>
        <w:t xml:space="preserve">independently re-derived per component; the verification table is at §4.1. A sample was verified</w:t>
      </w:r>
      <w:r>
        <w:t xml:space="preserve"> </w:t>
      </w:r>
      <w:r>
        <w:t xml:space="preserve">personally at source, listed in §4.4. Treat any single row as Confirmed only where its own entry says</w:t>
      </w:r>
      <w:r>
        <w:t xml:space="preserve"> </w:t>
      </w:r>
      <w:r>
        <w:t xml:space="preserve">so.</w:t>
      </w:r>
    </w:p>
    <w:p>
      <w:pPr>
        <w:pStyle w:val="BodyText"/>
      </w:pPr>
      <w:r>
        <w:rPr>
          <w:b/>
          <w:bCs/>
        </w:rPr>
        <w:t xml:space="preserve">One published figure was corrected rather than silently edited.</w:t>
      </w:r>
      <w:r>
        <w:t xml:space="preserve"> </w:t>
      </w:r>
      <w:r>
        <w:t xml:space="preserve">The NexusAI row originally read</w:t>
      </w:r>
      <w:r>
        <w:t xml:space="preserve"> </w:t>
      </w:r>
      <w:r>
        <w:t xml:space="preserve">eighteen findings with five Low; it is seventeen with four Low. A reviewer's seed file carried a</w:t>
      </w:r>
      <w:r>
        <w:t xml:space="preserve"> </w:t>
      </w:r>
      <w:r>
        <w:t xml:space="preserve">summary line that overcounted Low by one, and it was relayed without the items being counted; the</w:t>
      </w:r>
      <w:r>
        <w:t xml:space="preserve"> </w:t>
      </w:r>
      <w:r>
        <w:t xml:space="preserve">project's own agent counted them — seventeen headings, a tally summing to seventeen, with controls on</w:t>
      </w:r>
      <w:r>
        <w:t xml:space="preserve"> </w:t>
      </w:r>
      <w:r>
        <w:t xml:space="preserve">both sides — and corrected it.</w:t>
      </w:r>
      <w:r>
        <w:t xml:space="preserve"> </w:t>
      </w:r>
      <w:r>
        <w:rPr>
          <w:b/>
          <w:bCs/>
        </w:rPr>
        <w:t xml:space="preserve">Findings in that component are cited</w:t>
      </w:r>
      <w:r>
        <w:rPr>
          <w:b/>
          <w:bCs/>
        </w:rPr>
        <w:t xml:space="preserve"> </w:t>
      </w:r>
      <w:r>
        <w:rPr>
          <w:rStyle w:val="VerbatimChar"/>
          <w:b/>
          <w:bCs/>
        </w:rPr>
        <w:t xml:space="preserve">SEC-01</w:t>
      </w:r>
      <w:r>
        <w:rPr>
          <w:b/>
          <w:bCs/>
        </w:rPr>
        <w:t xml:space="preserve"> </w:t>
      </w:r>
      <w:r>
        <w:rPr>
          <w:b/>
          <w:bCs/>
        </w:rPr>
        <w:t xml:space="preserve">to</w:t>
      </w:r>
      <w:r>
        <w:rPr>
          <w:b/>
          <w:bCs/>
        </w:rPr>
        <w:t xml:space="preserve"> </w:t>
      </w:r>
      <w:r>
        <w:rPr>
          <w:rStyle w:val="VerbatimChar"/>
          <w:b/>
          <w:bCs/>
        </w:rPr>
        <w:t xml:space="preserve">SEC-17</w:t>
      </w:r>
      <w:r>
        <w:rPr>
          <w:b/>
          <w:bCs/>
        </w:rPr>
        <w:t xml:space="preserve">, never as</w:t>
      </w:r>
      <w:r>
        <w:rPr>
          <w:b/>
          <w:bCs/>
        </w:rPr>
        <w:t xml:space="preserve"> </w:t>
      </w:r>
      <w:r>
        <w:rPr>
          <w:b/>
          <w:bCs/>
        </w:rPr>
        <w:t xml:space="preserve">bare</w:t>
      </w:r>
      <w:r>
        <w:rPr>
          <w:b/>
          <w:bCs/>
        </w:rPr>
        <w:t xml:space="preserve"> </w:t>
      </w:r>
      <w:r>
        <w:rPr>
          <w:rStyle w:val="VerbatimChar"/>
          <w:b/>
          <w:bCs/>
        </w:rPr>
        <w:t xml:space="preserve">RD-nn</w:t>
      </w:r>
      <w:r>
        <w:rPr>
          <w:b/>
          <w:bCs/>
        </w:rPr>
        <w:t xml:space="preserve">, because</w:t>
      </w:r>
      <w:r>
        <w:rPr>
          <w:b/>
          <w:bCs/>
        </w:rPr>
        <w:t xml:space="preserve"> </w:t>
      </w:r>
      <w:r>
        <w:rPr>
          <w:rStyle w:val="VerbatimChar"/>
          <w:b/>
          <w:bCs/>
        </w:rPr>
        <w:t xml:space="preserve">RD</w:t>
      </w:r>
      <w:r>
        <w:rPr>
          <w:b/>
          <w:bCs/>
        </w:rPr>
        <w:t xml:space="preserve"> </w:t>
      </w:r>
      <w:r>
        <w:rPr>
          <w:b/>
          <w:bCs/>
        </w:rPr>
        <w:t xml:space="preserve">is also the Jira project key and the numbers collide.</w:t>
      </w:r>
    </w:p>
    <w:p>
      <w:pPr>
        <w:pStyle w:val="BodyText"/>
      </w:pPr>
      <w:r>
        <w:rPr>
          <w:b/>
          <w:bCs/>
        </w:rPr>
        <w:t xml:space="preserve">A second correction, also recorded rather than absorbed.</w:t>
      </w:r>
      <w:r>
        <w:t xml:space="preserve"> </w:t>
      </w:r>
      <w:r>
        <w:t xml:space="preserve">The parked-pair row of the estate summary</w:t>
      </w:r>
      <w:r>
        <w:t xml:space="preserve"> </w:t>
      </w:r>
      <w:r>
        <w:t xml:space="preserve">formerly printed five cells that summed to ten rather than to their own stated total of seventeen.</w:t>
      </w:r>
      <w:r>
        <w:t xml:space="preserve"> </w:t>
      </w:r>
      <w:r>
        <w:t xml:space="preserve">The corrected cells are Vision</w:t>
      </w:r>
      <w:r>
        <w:t xml:space="preserve"> </w:t>
      </w:r>
      <w:r>
        <w:rPr>
          <w:rStyle w:val="VerbatimChar"/>
        </w:rPr>
        <w:t xml:space="preserve">1/1/3/2/1</w:t>
      </w:r>
      <w:r>
        <w:t xml:space="preserve"> </w:t>
      </w:r>
      <w:r>
        <w:t xml:space="preserve">= 8 and QuickQuote</w:t>
      </w:r>
      <w:r>
        <w:t xml:space="preserve"> </w:t>
      </w:r>
      <w:r>
        <w:rPr>
          <w:rStyle w:val="VerbatimChar"/>
        </w:rPr>
        <w:t xml:space="preserve">0/1/3/4/1</w:t>
      </w:r>
      <w:r>
        <w:t xml:space="preserve"> </w:t>
      </w:r>
      <w:r>
        <w:t xml:space="preserve">= 9, giving</w:t>
      </w:r>
      <w:r>
        <w:t xml:space="preserve"> </w:t>
      </w:r>
      <w:r>
        <w:rPr>
          <w:rStyle w:val="VerbatimChar"/>
        </w:rPr>
        <w:t xml:space="preserve">1/2/6/6/2</w:t>
      </w:r>
      <w:r>
        <w:t xml:space="preserve"> </w:t>
      </w:r>
      <w:r>
        <w:t xml:space="preserve">= 17</w:t>
      </w:r>
      <w:r>
        <w:t xml:space="preserve"> </w:t>
      </w:r>
      <w:r>
        <w:t xml:space="preserve">for the pair. This was forced independently two ways, and</w:t>
      </w:r>
      <w:r>
        <w:t xml:space="preserve"> </w:t>
      </w:r>
      <w:r>
        <w:rPr>
          <w:b/>
          <w:bCs/>
        </w:rPr>
        <w:t xml:space="preserve">no total changed; the estate total was</w:t>
      </w:r>
      <w:r>
        <w:rPr>
          <w:b/>
          <w:bCs/>
        </w:rPr>
        <w:t xml:space="preserve"> </w:t>
      </w:r>
      <w:r>
        <w:rPr>
          <w:b/>
          <w:bCs/>
        </w:rPr>
        <w:t xml:space="preserve">never affected.</w:t>
      </w:r>
      <w:r>
        <w:t xml:space="preserve"> </w:t>
      </w:r>
      <w:r>
        <w:t xml:space="preserve">The published severity split for the parked pair had been wrong by one High, three</w:t>
      </w:r>
      <w:r>
        <w:t xml:space="preserve"> </w:t>
      </w:r>
      <w:r>
        <w:t xml:space="preserve">Medium, two Low and one Informational.</w:t>
      </w:r>
    </w:p>
    <w:p/>
    <w:p/>
    <w:p/>
    <w:bookmarkEnd w:id="22"/>
    <w:bookmarkStart w:id="23" w:name="Xed47a6b243077f0d4d82f02daaee15fbf71e127"/>
    <w:p>
      <w:pPr>
        <w:pStyle w:val="Heading3"/>
      </w:pPr>
      <w:r>
        <w:t xml:space="preserve">1.5 Important caveats</w:t>
      </w:r>
    </w:p>
    <w:p>
      <w:pPr>
        <w:pStyle w:val="Compact"/>
        <w:numPr>
          <w:ilvl w:val="0"/>
          <w:numId w:val="1002"/>
        </w:numPr>
      </w:pPr>
      <w:r>
        <w:rPr>
          <w:b/>
          <w:bCs/>
        </w:rPr>
        <w:t xml:space="preserve">This is a point-in-time assessment.</w:t>
      </w:r>
      <w:r>
        <w:t xml:space="preserve"> </w:t>
      </w:r>
      <w:r>
        <w:t xml:space="preserve">It is a static review of a provided source snapshot. Because</w:t>
      </w:r>
      <w:r>
        <w:t xml:space="preserve"> </w:t>
      </w:r>
      <w:r>
        <w:t xml:space="preserve">exploitation was reasoned rather than performed, in order to avoid any production impact, an</w:t>
      </w:r>
      <w:r>
        <w:t xml:space="preserve"> </w:t>
      </w:r>
      <w:r>
        <w:t xml:space="preserve">attacker with greater time and resources may surface issues not identified here. The snapshot may</w:t>
      </w:r>
      <w:r>
        <w:t xml:space="preserve"> </w:t>
      </w:r>
      <w:r>
        <w:t xml:space="preserve">also lag the live deployment.</w:t>
      </w:r>
    </w:p>
    <w:p>
      <w:pPr>
        <w:pStyle w:val="Compact"/>
        <w:numPr>
          <w:ilvl w:val="0"/>
          <w:numId w:val="1002"/>
        </w:numPr>
      </w:pPr>
      <w:r>
        <w:rPr>
          <w:b/>
          <w:bCs/>
        </w:rPr>
        <w:t xml:space="preserve">Two products are parked.</w:t>
      </w:r>
      <w:r>
        <w:t xml:space="preserve"> </w:t>
      </w:r>
      <w:r>
        <w:t xml:space="preserve">Vision Sales Portal and QuickQuote were parked by the client on</w:t>
      </w:r>
      <w:r>
        <w:t xml:space="preserve"> </w:t>
      </w:r>
      <w:r>
        <w:t xml:space="preserve">2026-09-07. Their findings are recorded in full and counted, and they are marked as parked</w:t>
      </w:r>
      <w:r>
        <w:t xml:space="preserve"> </w:t>
      </w:r>
      <w:r>
        <w:t xml:space="preserve">throughout. Vision is pre-production per the client, but</w:t>
      </w:r>
      <w:r>
        <w:t xml:space="preserve"> </w:t>
      </w:r>
      <w:r>
        <w:rPr>
          <w:b/>
          <w:bCs/>
        </w:rPr>
        <w:t xml:space="preserve">the credentials committed to its</w:t>
      </w:r>
      <w:r>
        <w:rPr>
          <w:b/>
          <w:bCs/>
        </w:rPr>
        <w:t xml:space="preserve"> </w:t>
      </w:r>
      <w:r>
        <w:rPr>
          <w:b/>
          <w:bCs/>
        </w:rPr>
        <w:t xml:space="preserve">repository still require rotation, because they are in the repository.</w:t>
      </w:r>
    </w:p>
    <w:p>
      <w:pPr>
        <w:pStyle w:val="Compact"/>
        <w:numPr>
          <w:ilvl w:val="0"/>
          <w:numId w:val="1002"/>
        </w:numPr>
      </w:pPr>
      <w:r>
        <w:rPr>
          <w:b/>
          <w:bCs/>
        </w:rPr>
        <w:t xml:space="preserve">HPSM has no code.</w:t>
      </w:r>
      <w:r>
        <w:t xml:space="preserve"> </w:t>
      </w:r>
      <w:r>
        <w:t xml:space="preserve">It is carried as "scaffold only, nothing to assess", deliberately</w:t>
      </w:r>
      <w:r>
        <w:t xml:space="preserve"> </w:t>
      </w:r>
      <w:r>
        <w:rPr>
          <w:b/>
          <w:bCs/>
        </w:rPr>
        <w:t xml:space="preserve">not</w:t>
      </w:r>
      <w:r>
        <w:t xml:space="preserve"> </w:t>
      </w:r>
      <w:r>
        <w:t xml:space="preserve">as a</w:t>
      </w:r>
      <w:r>
        <w:t xml:space="preserve"> </w:t>
      </w:r>
      <w:r>
        <w:t xml:space="preserve">component with zero findings, which would read as a clean bill of health.</w:t>
      </w:r>
    </w:p>
    <w:p>
      <w:pPr>
        <w:pStyle w:val="Compact"/>
        <w:numPr>
          <w:ilvl w:val="0"/>
          <w:numId w:val="1002"/>
        </w:numPr>
      </w:pPr>
      <w:r>
        <w:rPr>
          <w:b/>
          <w:bCs/>
        </w:rPr>
        <w:t xml:space="preserve">Two findings need one live check each and cannot be closed without it:</w:t>
      </w:r>
      <w:r>
        <w:t xml:space="preserve"> </w:t>
      </w:r>
      <w:r>
        <w:t xml:space="preserve">whether the CypherKey</w:t>
      </w:r>
      <w:r>
        <w:t xml:space="preserve"> </w:t>
      </w:r>
      <w:r>
        <w:t xml:space="preserve">demonstration deployment actually exposes</w:t>
      </w:r>
      <w:r>
        <w:t xml:space="preserve"> </w:t>
      </w:r>
      <w:r>
        <w:rPr>
          <w:rStyle w:val="VerbatimChar"/>
        </w:rPr>
        <w:t xml:space="preserve">/setup</w:t>
      </w:r>
      <w:r>
        <w:t xml:space="preserve"> </w:t>
      </w:r>
      <w:r>
        <w:t xml:space="preserve">unauthenticated, and whether Entra genuinely</w:t>
      </w:r>
      <w:r>
        <w:t xml:space="preserve"> </w:t>
      </w:r>
      <w:r>
        <w:t xml:space="preserve">pins the EAM subject. Both are named by reviewers as the next action.</w:t>
      </w:r>
    </w:p>
    <w:p>
      <w:pPr>
        <w:pStyle w:val="Compact"/>
        <w:numPr>
          <w:ilvl w:val="0"/>
          <w:numId w:val="1002"/>
        </w:numPr>
      </w:pPr>
      <w:r>
        <w:rPr>
          <w:b/>
          <w:bCs/>
        </w:rPr>
        <w:t xml:space="preserve">A naming collision affects how findings must be read.</w:t>
      </w:r>
      <w:r>
        <w:t xml:space="preserve"> </w:t>
      </w:r>
      <w:r>
        <w:t xml:space="preserve">The product actually called</w:t>
      </w:r>
      <w:r>
        <w:t xml:space="preserve"> </w:t>
      </w:r>
      <w:r>
        <w:rPr>
          <w:b/>
          <w:bCs/>
        </w:rPr>
        <w:t xml:space="preserve">CypherKey</w:t>
      </w:r>
      <w:r>
        <w:t xml:space="preserve"> </w:t>
      </w:r>
      <w:r>
        <w:t xml:space="preserve">lives in a folder named</w:t>
      </w:r>
      <w:r>
        <w:t xml:space="preserve"> </w:t>
      </w:r>
      <w:r>
        <w:rPr>
          <w:rStyle w:val="VerbatimChar"/>
        </w:rPr>
        <w:t xml:space="preserve">OneTimePad</w:t>
      </w:r>
      <w:r>
        <w:t xml:space="preserve">, while a folder named</w:t>
      </w:r>
      <w:r>
        <w:t xml:space="preserve"> </w:t>
      </w:r>
      <w:r>
        <w:rPr>
          <w:rStyle w:val="VerbatimChar"/>
        </w:rPr>
        <w:t xml:space="preserve">CypherKey</w:t>
      </w:r>
      <w:r>
        <w:t xml:space="preserve"> </w:t>
      </w:r>
      <w:r>
        <w:t xml:space="preserve">holds a different product</w:t>
      </w:r>
      <w:r>
        <w:t xml:space="preserve"> </w:t>
      </w:r>
      <w:r>
        <w:t xml:space="preserve">entirely — HPSA, HP Secure Authentication, which belongs to the companion register. A finding</w:t>
      </w:r>
      <w:r>
        <w:t xml:space="preserve"> </w:t>
      </w:r>
      <w:r>
        <w:t xml:space="preserve">labelled "CypherKey" is ambiguous between two authentication products, and the plain-language</w:t>
      </w:r>
      <w:r>
        <w:t xml:space="preserve"> </w:t>
      </w:r>
      <w:r>
        <w:t xml:space="preserve">reading is the wrong one. Findings in this register use the product identity, not the folder name.</w:t>
      </w:r>
    </w:p>
    <w:p>
      <w:r>
        <w:pict>
          <v:rect style="width:0;height:1.5pt" o:hralign="center" o:hrstd="t" o:hr="t"/>
        </w:pict>
      </w:r>
    </w:p>
    <w:p>
      <w:r>
        <w:br w:type="page"/>
      </w:r>
    </w:p>
    <w:bookmarkEnd w:id="23"/>
    <w:bookmarkEnd w:id="24"/>
    <w:bookmarkStart w:id="32" w:name="X13de200ec4d4b2cca4efbd9a1c62b80357d14fc"/>
    <w:p>
      <w:pPr>
        <w:pStyle w:val="Heading2"/>
      </w:pPr>
      <w:r>
        <w:t xml:space="preserve">2. Overview</w:t>
      </w:r>
    </w:p>
    <w:p/>
    <w:p/>
    <w:p/>
    <w:bookmarkStart w:id="25" w:name="X9500629ddf87d50187daf9dff98960a47019c77"/>
    <w:p>
      <w:pPr>
        <w:pStyle w:val="Heading3"/>
      </w:pPr>
      <w:r>
        <w:t xml:space="preserve">2.1 Background</w:t>
      </w:r>
    </w:p>
    <w:p>
      <w:pPr>
        <w:pStyle w:val="FirstParagraph"/>
      </w:pPr>
      <w:r>
        <w:t xml:space="preserve">The June 2026 assessment covered nineteen components, all of them part of the HP Authentication</w:t>
      </w:r>
      <w:r>
        <w:t xml:space="preserve"> </w:t>
      </w:r>
      <w:r>
        <w:t xml:space="preserve">Suite. On 7 September 2026 the client ruled thirteen further components into scope, instructing that</w:t>
      </w:r>
      <w:r>
        <w:t xml:space="preserve"> </w:t>
      </w:r>
      <w:r>
        <w:t xml:space="preserve">the review</w:t>
      </w:r>
      <w:r>
        <w:t xml:space="preserve"> </w:t>
      </w:r>
      <w:r>
        <w:rPr>
          <w:i/>
          <w:iCs/>
        </w:rPr>
        <w:t xml:space="preserve">"include the new projects and run the full test, not just high level"</w:t>
      </w:r>
      <w:r>
        <w:t xml:space="preserve">. Eight of those</w:t>
      </w:r>
      <w:r>
        <w:t xml:space="preserve"> </w:t>
      </w:r>
      <w:r>
        <w:t xml:space="preserve">thirteen are Datasec's own products and are covered here; a ninth product, Task-Dispatcher, had been</w:t>
      </w:r>
      <w:r>
        <w:t xml:space="preserve"> </w:t>
      </w:r>
      <w:r>
        <w:t xml:space="preserve">in the June scope as supporting internal tooling and its findings are carried here with it.</w:t>
      </w:r>
    </w:p>
    <w:p>
      <w:pPr>
        <w:pStyle w:val="BodyText"/>
      </w:pPr>
      <w:r>
        <w:rPr>
          <w:b/>
          <w:bCs/>
        </w:rPr>
        <w:t xml:space="preserve">The re-run's central result bears on this register directly.</w:t>
      </w:r>
      <w:r>
        <w:t xml:space="preserve"> </w:t>
      </w:r>
      <w:r>
        <w:t xml:space="preserve">The June review covered nineteen of</w:t>
      </w:r>
      <w:r>
        <w:t xml:space="preserve"> </w:t>
      </w:r>
      <w:r>
        <w:t xml:space="preserve">thirty-two components and therefore measured about a fifth of the estate. The thirteen components it</w:t>
      </w:r>
      <w:r>
        <w:t xml:space="preserve"> </w:t>
      </w:r>
      <w:r>
        <w:t xml:space="preserve">never saw hold eighty per cent of the third-party dependency surface — 1,780 of 2,198 packages — and</w:t>
      </w:r>
      <w:r>
        <w:t xml:space="preserve"> </w:t>
      </w:r>
      <w:r>
        <w:t xml:space="preserve">produced fifteen Critical findings, none of which existed in any register beforehand.</w:t>
      </w:r>
      <w:r>
        <w:t xml:space="preserve"> </w:t>
      </w:r>
      <w:r>
        <w:rPr>
          <w:b/>
          <w:bCs/>
        </w:rPr>
        <w:t xml:space="preserve">Ten of those</w:t>
      </w:r>
      <w:r>
        <w:rPr>
          <w:b/>
          <w:bCs/>
        </w:rPr>
        <w:t xml:space="preserve"> </w:t>
      </w:r>
      <w:r>
        <w:rPr>
          <w:b/>
          <w:bCs/>
        </w:rPr>
        <w:t xml:space="preserve">fifteen are in this register.</w:t>
      </w:r>
    </w:p>
    <w:p>
      <w:pPr>
        <w:pStyle w:val="BodyText"/>
      </w:pPr>
      <w:r>
        <w:t xml:space="preserve">All testing was performed against a provided source snapshot. No live system was contacted.</w:t>
      </w:r>
    </w:p>
    <w:p/>
    <w:p/>
    <w:p/>
    <w:bookmarkEnd w:id="25"/>
    <w:bookmarkStart w:id="26" w:name="X2712333080a128c5a6540c042ee4bccda9623a0"/>
    <w:p>
      <w:pPr>
        <w:pStyle w:val="Heading3"/>
      </w:pPr>
      <w:r>
        <w:t xml:space="preserve">2.2 Register of findings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Section</w:t>
            </w:r>
          </w:p>
        </w:tc>
        <w:tc>
          <w:tcPr/>
          <w:p>
            <w:pPr>
              <w:pStyle w:val="Compact"/>
            </w:pPr>
            <w:r>
              <w:t xml:space="preserve">Population</w:t>
            </w:r>
          </w:p>
        </w:tc>
        <w:tc>
          <w:tcPr/>
          <w:p>
            <w:pPr>
              <w:pStyle w:val="Compact"/>
            </w:pPr>
            <w:r>
              <w:t xml:space="preserve">Findings</w:t>
            </w:r>
          </w:p>
        </w:tc>
        <w:tc>
          <w:tcPr/>
          <w:p>
            <w:pPr>
              <w:pStyle w:val="Compact"/>
            </w:pPr>
            <w:r>
              <w:t xml:space="preserve">Verification status</w:t>
            </w:r>
          </w:p>
        </w:tc>
      </w:tr>
      <w:tr>
        <w:tc>
          <w:tcPr/>
          <w:p>
            <w:pPr>
              <w:pStyle w:val="Compact"/>
            </w:pPr>
            <w:r>
              <w:t xml:space="preserve">§3.2</w:t>
            </w:r>
          </w:p>
        </w:tc>
        <w:tc>
          <w:tcPr/>
          <w:p>
            <w:pPr>
              <w:pStyle w:val="Compact"/>
            </w:pPr>
            <w:r>
              <w:t xml:space="preserve">Critical findings</w:t>
            </w:r>
          </w:p>
        </w:tc>
        <w:tc>
          <w:tcPr/>
          <w:p>
            <w:pPr>
              <w:pStyle w:val="Compact"/>
            </w:pPr>
            <w:r>
              <w:t xml:space="preserve">10 Critical rows, drawn from the 123 findings in the first-time reviews</w:t>
            </w:r>
          </w:p>
        </w:tc>
        <w:tc>
          <w:tcPr/>
          <w:p>
            <w:pPr>
              <w:pStyle w:val="Compact"/>
            </w:pPr>
            <w:r>
              <w:t xml:space="preserve">Independently re-derived per component</w:t>
            </w:r>
          </w:p>
        </w:tc>
      </w:tr>
      <w:tr>
        <w:tc>
          <w:tcPr/>
          <w:p>
            <w:pPr>
              <w:pStyle w:val="Compact"/>
            </w:pPr>
            <w:r>
              <w:t xml:space="preserve">§3.3</w:t>
            </w:r>
          </w:p>
        </w:tc>
        <w:tc>
          <w:tcPr/>
          <w:p>
            <w:pPr>
              <w:pStyle w:val="Compact"/>
            </w:pPr>
            <w:r>
              <w:t xml:space="preserve">Per-component tally</w:t>
            </w:r>
          </w:p>
        </w:tc>
        <w:tc>
          <w:tcPr/>
          <w:p>
            <w:pPr>
              <w:pStyle w:val="Compact"/>
            </w:pPr>
            <w:r>
              <w:t xml:space="preserve">123</w:t>
            </w:r>
          </w:p>
        </w:tc>
        <w:tc>
          <w:tcPr/>
          <w:p>
            <w:pPr>
              <w:pStyle w:val="Compact"/>
            </w:pPr>
            <w:r>
              <w:t xml:space="preserve">Independently re-derived per component</w:t>
            </w:r>
          </w:p>
        </w:tc>
      </w:tr>
      <w:tr>
        <w:tc>
          <w:tcPr/>
          <w:p>
            <w:pPr>
              <w:pStyle w:val="Compact"/>
            </w:pPr>
            <w:r>
              <w:t xml:space="preserve">§3.4</w:t>
            </w:r>
          </w:p>
        </w:tc>
        <w:tc>
          <w:tcPr/>
          <w:p>
            <w:pPr>
              <w:pStyle w:val="Compact"/>
            </w:pPr>
            <w:r>
              <w:t xml:space="preserve">Delta review, Task-Dispatcher</w:t>
            </w:r>
          </w:p>
        </w:tc>
        <w:tc>
          <w:tcPr/>
          <w:p>
            <w:pPr>
              <w:pStyle w:val="Compact"/>
            </w:pPr>
            <w:r>
              <w:t xml:space="preserve">6</w:t>
            </w:r>
          </w:p>
        </w:tc>
        <w:tc>
          <w:tcPr/>
          <w:p>
            <w:pPr>
              <w:pStyle w:val="Compact"/>
            </w:pPr>
            <w:r>
              <w:t xml:space="preserve">Re-derived at source in round 2</w:t>
            </w:r>
          </w:p>
        </w:tc>
      </w:tr>
      <w:tr>
        <w:tc>
          <w:tcPr/>
          <w:p>
            <w:pPr>
              <w:pStyle w:val="Compact"/>
            </w:pPr>
            <w:r>
              <w:t xml:space="preserve">§3.5</w:t>
            </w:r>
          </w:p>
        </w:tc>
        <w:tc>
          <w:tcPr/>
          <w:p>
            <w:pPr>
              <w:pStyle w:val="Compact"/>
            </w:pPr>
            <w:r>
              <w:t xml:space="preserve">Coverage-gap review, SecurePDF</w:t>
            </w:r>
          </w:p>
        </w:tc>
        <w:tc>
          <w:tcPr/>
          <w:p>
            <w:pPr>
              <w:pStyle w:val="Compact"/>
            </w:pPr>
            <w:r>
              <w:t xml:space="preserve">1</w:t>
            </w:r>
          </w:p>
        </w:tc>
        <w:tc>
          <w:tcPr/>
          <w:p>
            <w:pPr>
              <w:pStyle w:val="Compact"/>
            </w:pPr>
            <w:r>
              <w:t xml:space="preserve">Re-derived at source 2026-09-09</w:t>
            </w:r>
          </w:p>
        </w:tc>
      </w:tr>
      <w:tr>
        <w:tc>
          <w:tcPr/>
          <w:p>
            <w:pPr>
              <w:pStyle w:val="Compact"/>
            </w:pPr>
            <w:r>
              <w:t xml:space="preserve">§3.6</w:t>
            </w:r>
          </w:p>
        </w:tc>
        <w:tc>
          <w:tcPr/>
          <w:p>
            <w:pPr>
              <w:pStyle w:val="Compact"/>
            </w:pPr>
            <w:r>
              <w:t xml:space="preserve">Commercial and product-claim observations</w:t>
            </w:r>
          </w:p>
        </w:tc>
        <w:tc>
          <w:tcPr/>
          <w:p>
            <w:pPr>
              <w:pStyle w:val="Compact"/>
            </w:pPr>
            <w:r>
              <w:t xml:space="preserve">Not severity-scored</w:t>
            </w:r>
          </w:p>
        </w:tc>
        <w:tc>
          <w:tcPr/>
          <w:p>
            <w:pPr>
              <w:pStyle w:val="Compact"/>
            </w:pPr>
            <w:r>
              <w:t xml:space="preserve">Measured, with controls</w:t>
            </w:r>
          </w:p>
        </w:tc>
      </w:tr>
      <w:tr>
        <w:tc>
          <w:tcPr/>
          <w:p>
            <w:pPr>
              <w:pStyle w:val="Compact"/>
            </w:pPr>
            <w:r>
              <w:t xml:space="preserve">§1.2</w:t>
            </w:r>
          </w:p>
        </w:tc>
        <w:tc>
          <w:tcPr/>
          <w:p>
            <w:pPr>
              <w:pStyle w:val="Compact"/>
            </w:pPr>
            <w:r>
              <w:t xml:space="preserve">June 2026 baseline register, Task-Dispatcher rows</w:t>
            </w:r>
          </w:p>
        </w:tc>
        <w:tc>
          <w:tcPr/>
          <w:p>
            <w:pPr>
              <w:pStyle w:val="Compact"/>
            </w:pPr>
            <w:r>
              <w:t xml:space="preserve">2</w:t>
            </w:r>
          </w:p>
        </w:tc>
        <w:tc>
          <w:tcPr/>
          <w:p>
            <w:pPr>
              <w:pStyle w:val="Compact"/>
            </w:pPr>
            <w:r>
              <w:t xml:space="preserve">Re-derived at source 2026-09-09</w:t>
            </w:r>
          </w:p>
        </w:tc>
      </w:tr>
    </w:tbl>
    <w:p/>
    <w:p/>
    <w:p/>
    <w:bookmarkEnd w:id="26"/>
    <w:bookmarkStart w:id="27" w:name="Xaad23dfb4afcbd924258802b07bdbd09116c867"/>
    <w:p>
      <w:pPr>
        <w:pStyle w:val="Heading3"/>
      </w:pPr>
      <w:r>
        <w:t xml:space="preserve">2.3 In scope</w:t>
      </w:r>
    </w:p>
    <w:p>
      <w:pPr>
        <w:pStyle w:val="FirstParagraph"/>
      </w:pPr>
      <w:r>
        <w:t xml:space="preserve">Testing covered the following Targets of Evaluation, all as provided source.</w:t>
      </w:r>
    </w:p>
    <w:p>
      <w:pPr>
        <w:pStyle w:val="Compact"/>
        <w:numPr>
          <w:ilvl w:val="0"/>
          <w:numId w:val="1003"/>
        </w:numPr>
      </w:pPr>
      <w:r>
        <w:rPr>
          <w:rStyle w:val="VerbatimChar"/>
          <w:b/>
          <w:bCs/>
        </w:rPr>
        <w:t xml:space="preserve">OneTimePad</w:t>
      </w:r>
      <w:r>
        <w:t xml:space="preserve"> </w:t>
      </w:r>
      <w:r>
        <w:t xml:space="preserve">— product name</w:t>
      </w:r>
      <w:r>
        <w:t xml:space="preserve"> </w:t>
      </w:r>
      <w:r>
        <w:rPr>
          <w:b/>
          <w:bCs/>
        </w:rPr>
        <w:t xml:space="preserve">CypherKey</w:t>
      </w:r>
      <w:r>
        <w:t xml:space="preserve">: a ground-up .NET rebuild of the patented TokenOne</w:t>
      </w:r>
      <w:r>
        <w:t xml:space="preserve"> </w:t>
      </w:r>
      <w:r>
        <w:t xml:space="preserve">KeyMap strong two-factor and passwordless authentication system, with an authentication server, an</w:t>
      </w:r>
      <w:r>
        <w:t xml:space="preserve"> </w:t>
      </w:r>
      <w:r>
        <w:t xml:space="preserve">Entra EAM / OIDC / SAML connector, an administration portal, native iOS and Android clients and</w:t>
      </w:r>
      <w:r>
        <w:t xml:space="preserve"> </w:t>
      </w:r>
      <w:r>
        <w:t xml:space="preserve">Bicep infrastructure as code.</w:t>
      </w:r>
    </w:p>
    <w:p>
      <w:pPr>
        <w:pStyle w:val="Compact"/>
        <w:numPr>
          <w:ilvl w:val="0"/>
          <w:numId w:val="1003"/>
        </w:numPr>
      </w:pPr>
      <w:r>
        <w:rPr>
          <w:rStyle w:val="VerbatimChar"/>
          <w:b/>
          <w:bCs/>
        </w:rPr>
        <w:t xml:space="preserve">CryptixWebPortal</w:t>
      </w:r>
      <w:r>
        <w:t xml:space="preserve"> </w:t>
      </w:r>
      <w:r>
        <w:t xml:space="preserve">— the legacy Datasec secure document-exchange portal, TokenOne</w:t>
      </w:r>
      <w:r>
        <w:t xml:space="preserve"> </w:t>
      </w:r>
      <w:r>
        <w:t xml:space="preserve">authenticated.</w:t>
      </w:r>
    </w:p>
    <w:p>
      <w:pPr>
        <w:pStyle w:val="Compact"/>
        <w:numPr>
          <w:ilvl w:val="0"/>
          <w:numId w:val="1003"/>
        </w:numPr>
      </w:pPr>
      <w:r>
        <w:rPr>
          <w:rStyle w:val="VerbatimChar"/>
          <w:b/>
          <w:bCs/>
        </w:rPr>
        <w:t xml:space="preserve">myPKI</w:t>
      </w:r>
      <w:r>
        <w:t xml:space="preserve"> </w:t>
      </w:r>
      <w:r>
        <w:t xml:space="preserve">— face-biometric deterministic key generation and a personal PKI and provenance stack.</w:t>
      </w:r>
    </w:p>
    <w:p>
      <w:pPr>
        <w:pStyle w:val="Compact"/>
        <w:numPr>
          <w:ilvl w:val="0"/>
          <w:numId w:val="1003"/>
        </w:numPr>
      </w:pPr>
      <w:r>
        <w:rPr>
          <w:rStyle w:val="VerbatimChar"/>
          <w:b/>
          <w:bCs/>
        </w:rPr>
        <w:t xml:space="preserve">SecurePDF</w:t>
      </w:r>
      <w:r>
        <w:t xml:space="preserve"> </w:t>
      </w:r>
      <w:r>
        <w:t xml:space="preserve">— a Windows print-to-encrypted-PDF pipeline using myPKI certificates.</w:t>
      </w:r>
    </w:p>
    <w:p>
      <w:pPr>
        <w:pStyle w:val="Compact"/>
        <w:numPr>
          <w:ilvl w:val="0"/>
          <w:numId w:val="1003"/>
        </w:numPr>
      </w:pPr>
      <w:r>
        <w:rPr>
          <w:rStyle w:val="VerbatimChar"/>
          <w:b/>
          <w:bCs/>
        </w:rPr>
        <w:t xml:space="preserve">Reporting_Dashboard_Au</w:t>
      </w:r>
      <w:r>
        <w:t xml:space="preserve"> </w:t>
      </w:r>
      <w:r>
        <w:t xml:space="preserve">—</w:t>
      </w:r>
      <w:r>
        <w:t xml:space="preserve"> </w:t>
      </w:r>
      <w:r>
        <w:rPr>
          <w:b/>
          <w:bCs/>
        </w:rPr>
        <w:t xml:space="preserve">NexusAI</w:t>
      </w:r>
      <w:r>
        <w:t xml:space="preserve">, an Azure Marketplace print-analytics dashboard with an</w:t>
      </w:r>
      <w:r>
        <w:t xml:space="preserve"> </w:t>
      </w:r>
      <w:r>
        <w:t xml:space="preserve">LLM assistant.</w:t>
      </w:r>
    </w:p>
    <w:p>
      <w:pPr>
        <w:pStyle w:val="Compact"/>
        <w:numPr>
          <w:ilvl w:val="0"/>
          <w:numId w:val="1003"/>
        </w:numPr>
      </w:pPr>
      <w:r>
        <w:rPr>
          <w:rStyle w:val="VerbatimChar"/>
          <w:b/>
          <w:bCs/>
        </w:rPr>
        <w:t xml:space="preserve">Task-Dispatcher</w:t>
      </w:r>
      <w:r>
        <w:t xml:space="preserve"> </w:t>
      </w:r>
      <w:r>
        <w:t xml:space="preserve">— internal developer-productivity automation, explicitly unrelated to the HP</w:t>
      </w:r>
      <w:r>
        <w:t xml:space="preserve"> </w:t>
      </w:r>
      <w:r>
        <w:t xml:space="preserve">Authentication Suite runtime.</w:t>
      </w:r>
    </w:p>
    <w:p>
      <w:pPr>
        <w:pStyle w:val="Compact"/>
        <w:numPr>
          <w:ilvl w:val="0"/>
          <w:numId w:val="1003"/>
        </w:numPr>
      </w:pPr>
      <w:r>
        <w:rPr>
          <w:rStyle w:val="VerbatimChar"/>
          <w:b/>
          <w:bCs/>
        </w:rPr>
        <w:t xml:space="preserve">HPSM</w:t>
      </w:r>
      <w:r>
        <w:t xml:space="preserve"> </w:t>
      </w:r>
      <w:r>
        <w:t xml:space="preserve">— the HP Security Playbook web platform.</w:t>
      </w:r>
      <w:r>
        <w:t xml:space="preserve"> </w:t>
      </w:r>
      <w:r>
        <w:rPr>
          <w:b/>
          <w:bCs/>
        </w:rPr>
        <w:t xml:space="preserve">Repository scaffold only: two files, no</w:t>
      </w:r>
      <w:r>
        <w:rPr>
          <w:b/>
          <w:bCs/>
        </w:rPr>
        <w:t xml:space="preserve"> </w:t>
      </w:r>
      <w:r>
        <w:rPr>
          <w:b/>
          <w:bCs/>
        </w:rPr>
        <w:t xml:space="preserve">application code.</w:t>
      </w:r>
    </w:p>
    <w:p>
      <w:pPr>
        <w:pStyle w:val="Compact"/>
        <w:numPr>
          <w:ilvl w:val="0"/>
          <w:numId w:val="1003"/>
        </w:numPr>
      </w:pPr>
      <w:r>
        <w:rPr>
          <w:rStyle w:val="VerbatimChar"/>
          <w:b/>
          <w:bCs/>
        </w:rPr>
        <w:t xml:space="preserve">vision_datasec-sales-portal</w:t>
      </w:r>
      <w:r>
        <w:t xml:space="preserve"> </w:t>
      </w:r>
      <w:r>
        <w:t xml:space="preserve">— Vision Sales Portal</w:t>
      </w:r>
      <w:r>
        <w:t xml:space="preserve"> </w:t>
      </w:r>
      <w:r>
        <w:rPr>
          <w:i/>
          <w:iCs/>
        </w:rPr>
        <w:t xml:space="preserve">(parked 2026-09-07)</w:t>
      </w:r>
      <w:r>
        <w:t xml:space="preserve">.</w:t>
      </w:r>
    </w:p>
    <w:p>
      <w:pPr>
        <w:pStyle w:val="Compact"/>
        <w:numPr>
          <w:ilvl w:val="0"/>
          <w:numId w:val="1003"/>
        </w:numPr>
      </w:pPr>
      <w:r>
        <w:rPr>
          <w:rStyle w:val="VerbatimChar"/>
          <w:b/>
          <w:bCs/>
        </w:rPr>
        <w:t xml:space="preserve">vision_hpas-quickquote</w:t>
      </w:r>
      <w:r>
        <w:t xml:space="preserve"> </w:t>
      </w:r>
      <w:r>
        <w:t xml:space="preserve">— QuickQuote</w:t>
      </w:r>
      <w:r>
        <w:t xml:space="preserve"> </w:t>
      </w:r>
      <w:r>
        <w:rPr>
          <w:i/>
          <w:iCs/>
        </w:rPr>
        <w:t xml:space="preserve">(parked 2026-09-07)</w:t>
      </w:r>
      <w:r>
        <w:t xml:space="preserve">.</w:t>
      </w:r>
    </w:p>
    <w:p/>
    <w:p/>
    <w:p/>
    <w:bookmarkEnd w:id="27"/>
    <w:bookmarkStart w:id="28" w:name="Xf1d43a16ed8bc2972ab6b93af48a5a6a96fbbb9"/>
    <w:p>
      <w:pPr>
        <w:pStyle w:val="Heading3"/>
      </w:pPr>
      <w:r>
        <w:t xml:space="preserve">2.4 Testing methodology</w:t>
      </w:r>
    </w:p>
    <w:p>
      <w:pPr>
        <w:pStyle w:val="FirstParagraph"/>
      </w:pPr>
      <w:r>
        <w:t xml:space="preserve">Please refer to Appendix A for testing-methodology details, and to Appendix B for the severity rating</w:t>
      </w:r>
      <w:r>
        <w:t xml:space="preserve"> </w:t>
      </w:r>
      <w:r>
        <w:t xml:space="preserve">scheme.</w:t>
      </w:r>
    </w:p>
    <w:p/>
    <w:p/>
    <w:p/>
    <w:bookmarkEnd w:id="28"/>
    <w:bookmarkStart w:id="29" w:name="X07df659572f9a3811d1ed70ba5db054b062c00c"/>
    <w:p>
      <w:pPr>
        <w:pStyle w:val="Heading3"/>
      </w:pPr>
      <w:r>
        <w:t xml:space="preserve">2.5 Out of scope</w:t>
      </w:r>
    </w:p>
    <w:p>
      <w:pPr>
        <w:pStyle w:val="Compact"/>
        <w:numPr>
          <w:ilvl w:val="0"/>
          <w:numId w:val="1004"/>
        </w:numPr>
      </w:pPr>
      <w:r>
        <w:t xml:space="preserve">Remediation of any vulnerability discovered.</w:t>
      </w:r>
    </w:p>
    <w:p>
      <w:pPr>
        <w:pStyle w:val="Compact"/>
        <w:numPr>
          <w:ilvl w:val="0"/>
          <w:numId w:val="1004"/>
        </w:numPr>
      </w:pPr>
      <w:r>
        <w:t xml:space="preserve">Denial-of-service and performance testing.</w:t>
      </w:r>
    </w:p>
    <w:p>
      <w:pPr>
        <w:pStyle w:val="Compact"/>
        <w:numPr>
          <w:ilvl w:val="0"/>
          <w:numId w:val="1004"/>
        </w:numPr>
      </w:pPr>
      <w:r>
        <w:t xml:space="preserve">Live, dynamic or penetration testing of any deployed environment.</w:t>
      </w:r>
      <w:r>
        <w:t xml:space="preserve"> </w:t>
      </w:r>
      <w:r>
        <w:rPr>
          <w:b/>
          <w:bCs/>
        </w:rPr>
        <w:t xml:space="preserve">No production, staging or</w:t>
      </w:r>
      <w:r>
        <w:rPr>
          <w:b/>
          <w:bCs/>
        </w:rPr>
        <w:t xml:space="preserve"> </w:t>
      </w:r>
      <w:r>
        <w:rPr>
          <w:b/>
          <w:bCs/>
        </w:rPr>
        <w:t xml:space="preserve">customer system was contacted, including the live Vision Sales Portal instance.</w:t>
      </w:r>
    </w:p>
    <w:p>
      <w:pPr>
        <w:pStyle w:val="Compact"/>
        <w:numPr>
          <w:ilvl w:val="0"/>
          <w:numId w:val="1004"/>
        </w:numPr>
      </w:pPr>
      <w:r>
        <w:t xml:space="preserve">The live GitHub, Azure and Entra configuration pass, which is deferred.</w:t>
      </w:r>
    </w:p>
    <w:p>
      <w:pPr>
        <w:pStyle w:val="Compact"/>
        <w:numPr>
          <w:ilvl w:val="0"/>
          <w:numId w:val="1004"/>
        </w:numPr>
      </w:pPr>
      <w:r>
        <w:t xml:space="preserve">Anything not specifically listed in §2.3.</w:t>
      </w:r>
    </w:p>
    <w:p/>
    <w:p/>
    <w:p/>
    <w:bookmarkEnd w:id="29"/>
    <w:bookmarkStart w:id="30" w:name="X5440bc35d0f986108c41009ebb902d6fca34470"/>
    <w:p>
      <w:pPr>
        <w:pStyle w:val="Heading3"/>
      </w:pPr>
      <w:r>
        <w:t xml:space="preserve">2.6 Report considerations</w:t>
      </w:r>
    </w:p>
    <w:p>
      <w:pPr>
        <w:pStyle w:val="FirstParagraph"/>
      </w:pPr>
      <w:r>
        <w:t xml:space="preserve">This is a point-in-time assessment. New vulnerabilities and attack techniques evolve constantly, and</w:t>
      </w:r>
      <w:r>
        <w:t xml:space="preserve"> </w:t>
      </w:r>
      <w:r>
        <w:t xml:space="preserve">no service designed to provide protection from security attacks can make network resources</w:t>
      </w:r>
      <w:r>
        <w:t xml:space="preserve"> </w:t>
      </w:r>
      <w:r>
        <w:t xml:space="preserve">invulnerable to such attacks. Findings are reported structurally: a secret is identified by file,</w:t>
      </w:r>
      <w:r>
        <w:t xml:space="preserve"> </w:t>
      </w:r>
      <w:r>
        <w:t xml:space="preserve">line and credential class, and</w:t>
      </w:r>
      <w:r>
        <w:t xml:space="preserve"> </w:t>
      </w:r>
      <w:r>
        <w:rPr>
          <w:b/>
          <w:bCs/>
        </w:rPr>
        <w:t xml:space="preserve">no secret value, prefix or length is reproduced in this document.</w:t>
      </w:r>
    </w:p>
    <w:p>
      <w:r>
        <w:pict>
          <v:rect style="width:0;height:1.5pt" o:hralign="center" o:hrstd="t" o:hr="t"/>
        </w:pict>
      </w:r>
    </w:p>
    <w:p/>
    <w:p/>
    <w:p/>
    <w:bookmarkEnd w:id="30"/>
    <w:bookmarkStart w:id="31" w:name="X35d4ad8d4024f5cf4e7d8e0f026178dae256ffe"/>
    <w:p>
      <w:pPr>
        <w:pStyle w:val="Heading3"/>
      </w:pPr>
      <w:r>
        <w:t xml:space="preserve">2.7 Relationship to the companion register</w:t>
      </w:r>
    </w:p>
    <w:p>
      <w:pPr>
        <w:pStyle w:val="FirstParagraph"/>
      </w:pPr>
      <w:r>
        <w:rPr>
          <w:b/>
          <w:bCs/>
        </w:rPr>
        <w:t xml:space="preserve">Scope of this register, and the predicate used to separate it from its companion.</w:t>
      </w:r>
      <w:r>
        <w:t xml:space="preserve"> </w:t>
      </w:r>
      <w:r>
        <w:t xml:space="preserve">The client</w:t>
      </w:r>
      <w:r>
        <w:t xml:space="preserve"> </w:t>
      </w:r>
      <w:r>
        <w:t xml:space="preserve">directed that the findings be issued as two documents: one for the HP Authentication Suite, and one</w:t>
      </w:r>
      <w:r>
        <w:t xml:space="preserve"> </w:t>
      </w:r>
      <w:r>
        <w:t xml:space="preserve">for the Datasec product projects. A finding is assigned to</w:t>
      </w:r>
      <w:r>
        <w:t xml:space="preserve"> </w:t>
      </w:r>
      <w:r>
        <w:rPr>
          <w:b/>
          <w:bCs/>
        </w:rPr>
        <w:t xml:space="preserve">this</w:t>
      </w:r>
      <w:r>
        <w:t xml:space="preserve"> </w:t>
      </w:r>
      <w:r>
        <w:t xml:space="preserve">register when its affected</w:t>
      </w:r>
      <w:r>
        <w:t xml:space="preserve"> </w:t>
      </w:r>
      <w:r>
        <w:t xml:space="preserve">component is a</w:t>
      </w:r>
      <w:r>
        <w:t xml:space="preserve"> </w:t>
      </w:r>
      <w:r>
        <w:rPr>
          <w:b/>
          <w:bCs/>
        </w:rPr>
        <w:t xml:space="preserve">Datasec-owned product</w:t>
      </w:r>
      <w:r>
        <w:t xml:space="preserve"> </w:t>
      </w:r>
      <w:r>
        <w:t xml:space="preserve">rather than a component of the HP Authentication Suite,</w:t>
      </w:r>
      <w:r>
        <w:t xml:space="preserve"> </w:t>
      </w:r>
      <w:r>
        <w:t xml:space="preserve">judged from that component's own technical summary and manifest rather than from whether the prose</w:t>
      </w:r>
      <w:r>
        <w:t xml:space="preserve"> </w:t>
      </w:r>
      <w:r>
        <w:t xml:space="preserve">mentions a product name. Nine of the thirty-two components under review meet that test, and they are</w:t>
      </w:r>
      <w:r>
        <w:t xml:space="preserve"> </w:t>
      </w:r>
      <w:r>
        <w:t xml:space="preserve">listed in §2.3. The remaining twenty-three are carried in</w:t>
      </w:r>
      <w:r>
        <w:t xml:space="preserve"> </w:t>
      </w:r>
      <w:r>
        <w:rPr>
          <w:rStyle w:val="VerbatimChar"/>
        </w:rPr>
        <w:t xml:space="preserve">13A_HPAM_Consolidated_Findings_Register_2026-09</w:t>
      </w:r>
      <w:r>
        <w:t xml:space="preserve">.</w:t>
      </w:r>
      <w:r>
        <w:t xml:space="preserve"> </w:t>
      </w:r>
      <w:r>
        <w:rPr>
          <w:b/>
          <w:bCs/>
        </w:rPr>
        <w:t xml:space="preserve">Every finding appears in exactly one of the two</w:t>
      </w:r>
      <w:r>
        <w:rPr>
          <w:b/>
          <w:bCs/>
        </w:rPr>
        <w:t xml:space="preserve"> </w:t>
      </w:r>
      <w:r>
        <w:rPr>
          <w:b/>
          <w:bCs/>
        </w:rPr>
        <w:t xml:space="preserve">registers, and the two sum to the estate total of 342.</w:t>
      </w:r>
    </w:p>
    <w:p>
      <w:r>
        <w:pict>
          <v:rect style="width:0;height:1.5pt" o:hralign="center" o:hrstd="t" o:hr="t"/>
        </w:pict>
      </w:r>
    </w:p>
    <w:p>
      <w:r>
        <w:br w:type="page"/>
      </w:r>
    </w:p>
    <w:bookmarkEnd w:id="31"/>
    <w:bookmarkEnd w:id="32"/>
    <w:bookmarkStart w:id="53" w:name="X053813bfc1f649a11b9cb58a651dc83468ea4d1"/>
    <w:p>
      <w:pPr>
        <w:pStyle w:val="Heading2"/>
      </w:pPr>
      <w:r>
        <w:t xml:space="preserve">3. Detailed Findings</w:t>
      </w:r>
    </w:p>
    <w:p/>
    <w:p/>
    <w:p/>
    <w:bookmarkStart w:id="33" w:name="Xc51c55a5c4acdb57feb5199f7f98dfd0c81a9ed"/>
    <w:p>
      <w:pPr>
        <w:pStyle w:val="Heading3"/>
      </w:pPr>
      <w:r>
        <w:t xml:space="preserve">3.1 How to read a finding</w:t>
      </w:r>
    </w:p>
    <w:p>
      <w:pPr>
        <w:pStyle w:val="FirstParagraph"/>
      </w:pPr>
      <w:r>
        <w:rPr>
          <w:b/>
          <w:bCs/>
        </w:rPr>
        <w:t xml:space="preserve">Every finding in this section is set out bottom line up front.</w:t>
      </w:r>
      <w:r>
        <w:t xml:space="preserve"> </w:t>
      </w:r>
      <w:r>
        <w:t xml:space="preserve">A reader who stops after the first</w:t>
      </w:r>
      <w:r>
        <w:t xml:space="preserve"> </w:t>
      </w:r>
      <w:r>
        <w:t xml:space="preserve">two rows of a finding block knows what is wrong and what to do about it; everything below those two</w:t>
      </w:r>
      <w:r>
        <w:t xml:space="preserve"> </w:t>
      </w:r>
      <w:r>
        <w:t xml:space="preserve">rows is the supporting detail that lets the conclusion be checked rather than taken on trust.</w:t>
      </w:r>
    </w:p>
    <w:p>
      <w:pPr>
        <w:pStyle w:val="BodyText"/>
      </w:pPr>
      <w:r>
        <w:t xml:space="preserve">Each population of findings opens with a</w:t>
      </w:r>
      <w:r>
        <w:t xml:space="preserve"> </w:t>
      </w:r>
      <w:r>
        <w:rPr>
          <w:b/>
          <w:bCs/>
        </w:rPr>
        <w:t xml:space="preserve">summary table</w:t>
      </w:r>
      <w:r>
        <w:t xml:space="preserve"> </w:t>
      </w:r>
      <w:r>
        <w:t xml:space="preserve">— identifier, affected component, severity</w:t>
      </w:r>
      <w:r>
        <w:t xml:space="preserve"> </w:t>
      </w:r>
      <w:r>
        <w:t xml:space="preserve">band, CVSS 3.1 base score and, where a round-2 verifier produced one, the full vector string beside</w:t>
      </w:r>
      <w:r>
        <w:t xml:space="preserve"> </w:t>
      </w:r>
      <w:r>
        <w:t xml:space="preserve">the score — and is followed by one</w:t>
      </w:r>
      <w:r>
        <w:t xml:space="preserve"> </w:t>
      </w:r>
      <w:r>
        <w:rPr>
          <w:b/>
          <w:bCs/>
        </w:rPr>
        <w:t xml:space="preserve">finding block</w:t>
      </w:r>
      <w:r>
        <w:t xml:space="preserve"> </w:t>
      </w:r>
      <w:r>
        <w:t xml:space="preserve">per finding, in the same order. Each block uses</w:t>
      </w:r>
      <w:r>
        <w:t xml:space="preserve"> </w:t>
      </w:r>
      <w:r>
        <w:t xml:space="preserve">the same six fields, in this order: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What it carries</w:t>
            </w:r>
          </w:p>
        </w:tc>
      </w:tr>
      <w:tr>
        <w:tc>
          <w:tcPr/>
          <w:p>
            <w:pPr>
              <w:pStyle w:val="Compact"/>
            </w:pPr>
            <w:r>
              <w:rPr>
                <w:i/>
                <w:iCs/>
              </w:rPr>
              <w:t xml:space="preserve">(header row)</w:t>
            </w:r>
          </w:p>
        </w:tc>
        <w:tc>
          <w:tcPr/>
          <w:p>
            <w:pPr>
              <w:pStyle w:val="Compact"/>
            </w:pPr>
            <w:r>
              <w:t xml:space="preserve">The severity band, the CVSS 3.1 base score and vector where one exists, and the affected component.</w:t>
            </w:r>
          </w:p>
        </w:tc>
      </w:tr>
      <w:tr>
        <w:tc>
          <w:tcPr/>
          <w:p>
            <w:pPr>
              <w:pStyle w:val="Compact"/>
            </w:pPr>
            <w:r>
              <w:rPr>
                <w:b/>
                <w:bCs/>
              </w:rPr>
              <w:t xml:space="preserve">The issue</w:t>
            </w:r>
          </w:p>
        </w:tc>
        <w:tc>
          <w:tcPr/>
          <w:p>
            <w:pPr>
              <w:pStyle w:val="Compact"/>
            </w:pPr>
            <w:r>
              <w:t xml:space="preserve">What is wrong, stated as it was filed and verified. This is the bottom line.</w:t>
            </w:r>
          </w:p>
        </w:tc>
      </w:tr>
      <w:tr>
        <w:tc>
          <w:tcPr/>
          <w:p>
            <w:pPr>
              <w:pStyle w:val="Compact"/>
            </w:pPr>
            <w:r>
              <w:rPr>
                <w:b/>
                <w:bCs/>
              </w:rPr>
              <w:t xml:space="preserve">Suggested fix</w:t>
            </w:r>
          </w:p>
        </w:tc>
        <w:tc>
          <w:tcPr/>
          <w:p>
            <w:pPr>
              <w:pStyle w:val="Compact"/>
            </w:pPr>
            <w:r>
              <w:t xml:space="preserve">The single action that addresses it, in one sentence.</w:t>
            </w:r>
            <w:r>
              <w:t xml:space="preserve"> </w:t>
            </w:r>
            <w:r>
              <w:rPr>
                <w:b/>
                <w:bCs/>
              </w:rPr>
              <w:t xml:space="preserve">Taken from the remediation recorded by the reviewer who raised the finding</w:t>
            </w:r>
            <w:r>
              <w:t xml:space="preserve">, and condensed; where the source review file records no remediation, the row says so and the fix is marked as derived from the defect as measured.</w:t>
            </w:r>
          </w:p>
        </w:tc>
      </w:tr>
      <w:tr>
        <w:tc>
          <w:tcPr/>
          <w:p>
            <w:pPr>
              <w:pStyle w:val="Compact"/>
            </w:pPr>
            <w:r>
              <w:rPr>
                <w:b/>
                <w:bCs/>
              </w:rPr>
              <w:t xml:space="preserve">What was tested</w:t>
            </w:r>
          </w:p>
        </w:tc>
        <w:tc>
          <w:tcPr/>
          <w:p>
            <w:pPr>
              <w:pStyle w:val="Compact"/>
            </w:pPr>
            <w:r>
              <w:t xml:space="preserve">The component and the specific artefacts read, cited to</w:t>
            </w:r>
            <w:r>
              <w:t xml:space="preserve"> </w:t>
            </w:r>
            <w:r>
              <w:rPr>
                <w:rStyle w:val="VerbatimChar"/>
              </w:rPr>
              <w:t xml:space="preserve">file:line</w:t>
            </w:r>
            <w:r>
              <w:t xml:space="preserve">, together with the claim that was under test.</w:t>
            </w:r>
          </w:p>
        </w:tc>
      </w:tr>
      <w:tr>
        <w:tc>
          <w:tcPr/>
          <w:p>
            <w:pPr>
              <w:pStyle w:val="Compact"/>
            </w:pPr>
            <w:r>
              <w:rPr>
                <w:b/>
                <w:bCs/>
              </w:rPr>
              <w:t xml:space="preserve">How it was tested</w:t>
            </w:r>
          </w:p>
        </w:tc>
        <w:tc>
          <w:tcPr/>
          <w:p>
            <w:pPr>
              <w:pStyle w:val="Compact"/>
            </w:pPr>
            <w:r>
              <w:t xml:space="preserve">The method — static, read-only source review — the verification pass that applies to that population, and the per-row test record where a verifier wrote one. Where no per-row record exists, the block says so rather than filling the space.</w:t>
            </w:r>
          </w:p>
        </w:tc>
      </w:tr>
      <w:tr>
        <w:tc>
          <w:tcPr/>
          <w:p>
            <w:pPr>
              <w:pStyle w:val="Compact"/>
            </w:pPr>
            <w:r>
              <w:rPr>
                <w:b/>
                <w:bCs/>
              </w:rPr>
              <w:t xml:space="preserve">How to resolve</w:t>
            </w:r>
          </w:p>
        </w:tc>
        <w:tc>
          <w:tcPr/>
          <w:p>
            <w:pPr>
              <w:pStyle w:val="Compact"/>
            </w:pPr>
            <w:r>
              <w:t xml:space="preserve">The full remediation, as recorded by the reviewer who raised the finding, with its source file cited.</w:t>
            </w:r>
          </w:p>
        </w:tc>
      </w:tr>
    </w:tbl>
    <w:p>
      <w:pPr>
        <w:pStyle w:val="BodyText"/>
      </w:pPr>
      <w:r>
        <w:rPr>
          <w:b/>
          <w:bCs/>
        </w:rPr>
        <w:t xml:space="preserve">Where a row deliberately carries no numeric score, it says so and gives the reason</w:t>
      </w:r>
      <w:r>
        <w:t xml:space="preserve"> </w:t>
      </w:r>
      <w:r>
        <w:t xml:space="preserve">—</w:t>
      </w:r>
      <w:r>
        <w:t xml:space="preserve"> </w:t>
      </w:r>
      <w:r>
        <w:rPr>
          <w:rStyle w:val="VerbatimChar"/>
        </w:rPr>
        <w:t xml:space="preserve">n/a, posture finding</w:t>
      </w:r>
      <w:r>
        <w:t xml:space="preserve">,</w:t>
      </w:r>
      <w:r>
        <w:t xml:space="preserve"> </w:t>
      </w:r>
      <w:r>
        <w:rPr>
          <w:rStyle w:val="VerbatimChar"/>
        </w:rPr>
        <w:t xml:space="preserve">n/a, control failure</w:t>
      </w:r>
      <w:r>
        <w:t xml:space="preserve">,</w:t>
      </w:r>
      <w:r>
        <w:t xml:space="preserve"> </w:t>
      </w:r>
      <w:r>
        <w:rPr>
          <w:rStyle w:val="VerbatimChar"/>
        </w:rPr>
        <w:t xml:space="preserve">n/a, assurance finding</w:t>
      </w:r>
      <w:r>
        <w:t xml:space="preserve">,</w:t>
      </w:r>
      <w:r>
        <w:t xml:space="preserve"> </w:t>
      </w:r>
      <w:r>
        <w:rPr>
          <w:rStyle w:val="VerbatimChar"/>
        </w:rPr>
        <w:t xml:space="preserve">n/a, architectural aggregate, not additive</w:t>
      </w:r>
      <w:r>
        <w:t xml:space="preserve">, or</w:t>
      </w:r>
      <w:r>
        <w:t xml:space="preserve"> </w:t>
      </w:r>
      <w:r>
        <w:rPr>
          <w:rStyle w:val="VerbatimChar"/>
        </w:rPr>
        <w:t xml:space="preserve">n/a, unscoreable from this repository</w:t>
      </w:r>
      <w:r>
        <w:t xml:space="preserve">. That convention was reached independently by</w:t>
      </w:r>
      <w:r>
        <w:t xml:space="preserve"> </w:t>
      </w:r>
      <w:r>
        <w:t xml:space="preserve">three reviewers and is the round's clearest methodological result: for a control that does not fire,</w:t>
      </w:r>
      <w:r>
        <w:t xml:space="preserve"> </w:t>
      </w:r>
      <w:r>
        <w:t xml:space="preserve">or a posture baseline that is not met, the fix is not a better number but no number, plus a stated</w:t>
      </w:r>
      <w:r>
        <w:t xml:space="preserve"> </w:t>
      </w:r>
      <w:r>
        <w:t xml:space="preserve">band and a stated reason.</w:t>
      </w:r>
      <w:r>
        <w:t xml:space="preserve"> </w:t>
      </w:r>
      <w:r>
        <w:rPr>
          <w:b/>
          <w:bCs/>
        </w:rPr>
        <w:t xml:space="preserve">Where a band was moved during verification, the movement and its basis are</w:t>
      </w:r>
      <w:r>
        <w:rPr>
          <w:b/>
          <w:bCs/>
        </w:rPr>
        <w:t xml:space="preserve"> </w:t>
      </w:r>
      <w:r>
        <w:rPr>
          <w:b/>
          <w:bCs/>
        </w:rPr>
        <w:t xml:space="preserve">recorded on the finding itself</w:t>
      </w:r>
      <w:r>
        <w:t xml:space="preserve">, so that any reader can re-derive the result rather than take it on</w:t>
      </w:r>
      <w:r>
        <w:t xml:space="preserve"> </w:t>
      </w:r>
      <w:r>
        <w:t xml:space="preserve">trust.</w:t>
      </w:r>
    </w:p>
    <w:p>
      <w:pPr>
        <w:pStyle w:val="BodyText"/>
      </w:pPr>
      <w:r>
        <w:rPr>
          <w:b/>
          <w:bCs/>
        </w:rPr>
        <w:t xml:space="preserve">Section references inside a finding are those of the superseded register.</w:t>
      </w:r>
      <w:r>
        <w:t xml:space="preserve"> </w:t>
      </w:r>
      <w:r>
        <w:t xml:space="preserve">Every finding in</w:t>
      </w:r>
      <w:r>
        <w:t xml:space="preserve"> </w:t>
      </w:r>
      <w:r>
        <w:t xml:space="preserve">this document is reproduced from</w:t>
      </w:r>
      <w:r>
        <w:t xml:space="preserve"> </w:t>
      </w:r>
      <w:r>
        <w:rPr>
          <w:rStyle w:val="VerbatimChar"/>
        </w:rPr>
        <w:t xml:space="preserve">13_Consolidated_Findings_Register_2026-09</w:t>
      </w:r>
      <w:r>
        <w:t xml:space="preserve">, the single register</w:t>
      </w:r>
      <w:r>
        <w:t xml:space="preserve"> </w:t>
      </w:r>
      <w:r>
        <w:t xml:space="preserve">that these two documents replace, and its internal cross-references —</w:t>
      </w:r>
      <w:r>
        <w:t xml:space="preserve"> </w:t>
      </w:r>
      <w:r>
        <w:rPr>
          <w:rStyle w:val="VerbatimChar"/>
        </w:rPr>
        <w:t xml:space="preserve">§2.3.3</w:t>
      </w:r>
      <w:r>
        <w:t xml:space="preserve">,</w:t>
      </w:r>
      <w:r>
        <w:t xml:space="preserve"> </w:t>
      </w:r>
      <w:r>
        <w:rPr>
          <w:rStyle w:val="VerbatimChar"/>
        </w:rPr>
        <w:t xml:space="preserve">§2.3.5</w:t>
      </w:r>
      <w:r>
        <w:t xml:space="preserve"> </w:t>
      </w:r>
      <w:r>
        <w:t xml:space="preserve">and the</w:t>
      </w:r>
      <w:r>
        <w:t xml:space="preserve"> </w:t>
      </w:r>
      <w:r>
        <w:t xml:space="preserve">like — are retained</w:t>
      </w:r>
      <w:r>
        <w:t xml:space="preserve"> </w:t>
      </w:r>
      <w:r>
        <w:rPr>
          <w:b/>
          <w:bCs/>
        </w:rPr>
        <w:t xml:space="preserve">unchanged</w:t>
      </w:r>
      <w:r>
        <w:t xml:space="preserve">, so that each record still matches its source exactly. The</w:t>
      </w:r>
      <w:r>
        <w:t xml:space="preserve"> </w:t>
      </w:r>
      <w:r>
        <w:t xml:space="preserve">concordance below maps them onto the sections of the present documents.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 in the superseded register</w:t>
            </w:r>
          </w:p>
        </w:tc>
        <w:tc>
          <w:tcPr/>
          <w:p>
            <w:pPr>
              <w:pStyle w:val="Compact"/>
            </w:pPr>
            <w:r>
              <w:t xml:space="preserve">In this register (Datasec)</w:t>
            </w:r>
          </w:p>
        </w:tc>
        <w:tc>
          <w:tcPr/>
          <w:p>
            <w:pPr>
              <w:pStyle w:val="Compact"/>
            </w:pPr>
            <w:r>
              <w:t xml:space="preserve">In the companion register (HPAM)</w:t>
            </w:r>
          </w:p>
        </w:tc>
      </w:tr>
      <w:tr>
        <w:tc>
          <w:tcPr/>
          <w:p>
            <w:pPr>
              <w:pStyle w:val="Compact"/>
            </w:pPr>
            <w:r>
              <w:t xml:space="preserve">§1 Per-component tally</w:t>
            </w:r>
          </w:p>
        </w:tc>
        <w:tc>
          <w:tcPr/>
          <w:p>
            <w:pPr>
              <w:pStyle w:val="Compact"/>
            </w:pPr>
            <w:r>
              <w:t xml:space="preserve">§3.3</w:t>
            </w:r>
          </w:p>
        </w:tc>
        <w:tc>
          <w:tcPr/>
          <w:p>
            <w:pPr>
              <w:pStyle w:val="Compact"/>
            </w:pPr>
            <w:r>
              <w:t xml:space="preserve">§3.2</w:t>
            </w:r>
          </w:p>
        </w:tc>
      </w:tr>
      <w:tr>
        <w:tc>
          <w:tcPr/>
          <w:p>
            <w:pPr>
              <w:pStyle w:val="Compact"/>
            </w:pPr>
            <w:r>
              <w:t xml:space="preserve">§2 The fifteen new Critical findings</w:t>
            </w:r>
          </w:p>
        </w:tc>
        <w:tc>
          <w:tcPr/>
          <w:p>
            <w:pPr>
              <w:pStyle w:val="Compact"/>
            </w:pPr>
            <w:r>
              <w:t xml:space="preserve">§3.2</w:t>
            </w:r>
          </w:p>
        </w:tc>
        <w:tc>
          <w:tcPr/>
          <w:p>
            <w:pPr>
              <w:pStyle w:val="Compact"/>
            </w:pPr>
            <w:r>
              <w:t xml:space="preserve">§3.2</w:t>
            </w:r>
          </w:p>
        </w:tc>
      </w:tr>
      <w:tr>
        <w:tc>
          <w:tcPr/>
          <w:p>
            <w:pPr>
              <w:pStyle w:val="Compact"/>
            </w:pPr>
            <w:r>
              <w:t xml:space="preserve">§2.1 Verification pass</w:t>
            </w:r>
          </w:p>
        </w:tc>
        <w:tc>
          <w:tcPr/>
          <w:p>
            <w:pPr>
              <w:pStyle w:val="Compact"/>
            </w:pPr>
            <w:r>
              <w:t xml:space="preserve">§4.1</w:t>
            </w:r>
          </w:p>
        </w:tc>
        <w:tc>
          <w:tcPr/>
          <w:p>
            <w:pPr>
              <w:pStyle w:val="Compact"/>
            </w:pPr>
            <w:r>
              <w:t xml:space="preserve">§6.1</w:t>
            </w:r>
          </w:p>
        </w:tc>
      </w:tr>
      <w:tr>
        <w:tc>
          <w:tcPr/>
          <w:p>
            <w:pPr>
              <w:pStyle w:val="Compact"/>
            </w:pPr>
            <w:r>
              <w:t xml:space="preserve">§2.2 Findings that change earlier conclusions</w:t>
            </w:r>
          </w:p>
        </w:tc>
        <w:tc>
          <w:tcPr/>
          <w:p>
            <w:pPr>
              <w:pStyle w:val="Compact"/>
            </w:pPr>
            <w:r>
              <w:t xml:space="preserve">—</w:t>
            </w:r>
          </w:p>
        </w:tc>
        <w:tc>
          <w:tcPr/>
          <w:p>
            <w:pPr>
              <w:pStyle w:val="Compact"/>
            </w:pPr>
            <w:r>
              <w:t xml:space="preserve">§3.3</w:t>
            </w:r>
          </w:p>
        </w:tc>
      </w:tr>
      <w:tr>
        <w:tc>
          <w:tcPr/>
          <w:p>
            <w:pPr>
              <w:pStyle w:val="Compact"/>
            </w:pPr>
            <w:r>
              <w:t xml:space="preserve">§2.3 Delta review, batch 2</w:t>
            </w:r>
          </w:p>
        </w:tc>
        <w:tc>
          <w:tcPr/>
          <w:p>
            <w:pPr>
              <w:pStyle w:val="Compact"/>
            </w:pPr>
            <w:r>
              <w:t xml:space="preserve">—</w:t>
            </w:r>
          </w:p>
        </w:tc>
        <w:tc>
          <w:tcPr/>
          <w:p>
            <w:pPr>
              <w:pStyle w:val="Compact"/>
            </w:pPr>
            <w:r>
              <w:t xml:space="preserve">§3.4</w:t>
            </w:r>
          </w:p>
        </w:tc>
      </w:tr>
      <w:tr>
        <w:tc>
          <w:tcPr/>
          <w:p>
            <w:pPr>
              <w:pStyle w:val="Compact"/>
            </w:pPr>
            <w:r>
              <w:t xml:space="preserve">§2.3.2 Bearer-scheme sweep</w:t>
            </w:r>
          </w:p>
        </w:tc>
        <w:tc>
          <w:tcPr/>
          <w:p>
            <w:pPr>
              <w:pStyle w:val="Compact"/>
            </w:pPr>
            <w:r>
              <w:t xml:space="preserve">—</w:t>
            </w:r>
          </w:p>
        </w:tc>
        <w:tc>
          <w:tcPr/>
          <w:p>
            <w:pPr>
              <w:pStyle w:val="Compact"/>
            </w:pPr>
            <w:r>
              <w:t xml:space="preserve">§3.5</w:t>
            </w:r>
          </w:p>
        </w:tc>
      </w:tr>
      <w:tr>
        <w:tc>
          <w:tcPr/>
          <w:p>
            <w:pPr>
              <w:pStyle w:val="Compact"/>
            </w:pPr>
            <w:r>
              <w:t xml:space="preserve">§2.3.3 Delta review, batch 1</w:t>
            </w:r>
          </w:p>
        </w:tc>
        <w:tc>
          <w:tcPr/>
          <w:p>
            <w:pPr>
              <w:pStyle w:val="Compact"/>
            </w:pPr>
            <w:r>
              <w:t xml:space="preserve">—</w:t>
            </w:r>
          </w:p>
        </w:tc>
        <w:tc>
          <w:tcPr/>
          <w:p>
            <w:pPr>
              <w:pStyle w:val="Compact"/>
            </w:pPr>
            <w:r>
              <w:t xml:space="preserve">§3.6</w:t>
            </w:r>
          </w:p>
        </w:tc>
      </w:tr>
      <w:tr>
        <w:tc>
          <w:tcPr/>
          <w:p>
            <w:pPr>
              <w:pStyle w:val="Compact"/>
            </w:pPr>
            <w:r>
              <w:t xml:space="preserve">§2.3.4 Delta review, the pre-limit components</w:t>
            </w:r>
          </w:p>
        </w:tc>
        <w:tc>
          <w:tcPr/>
          <w:p>
            <w:pPr>
              <w:pStyle w:val="Compact"/>
            </w:pPr>
            <w:r>
              <w:t xml:space="preserve">§3.4</w:t>
            </w:r>
          </w:p>
        </w:tc>
        <w:tc>
          <w:tcPr/>
          <w:p>
            <w:pPr>
              <w:pStyle w:val="Compact"/>
            </w:pPr>
            <w:r>
              <w:t xml:space="preserve">§3.7</w:t>
            </w:r>
          </w:p>
        </w:tc>
      </w:tr>
      <w:tr>
        <w:tc>
          <w:tcPr/>
          <w:p>
            <w:pPr>
              <w:pStyle w:val="Compact"/>
            </w:pPr>
            <w:r>
              <w:t xml:space="preserve">§2.3.5 Coverage-gap review</w:t>
            </w:r>
          </w:p>
        </w:tc>
        <w:tc>
          <w:tcPr/>
          <w:p>
            <w:pPr>
              <w:pStyle w:val="Compact"/>
            </w:pPr>
            <w:r>
              <w:t xml:space="preserve">§3.5</w:t>
            </w:r>
          </w:p>
        </w:tc>
        <w:tc>
          <w:tcPr/>
          <w:p>
            <w:pPr>
              <w:pStyle w:val="Compact"/>
            </w:pPr>
            <w:r>
              <w:t xml:space="preserve">—</w:t>
            </w:r>
          </w:p>
        </w:tc>
      </w:tr>
      <w:tr>
        <w:tc>
          <w:tcPr/>
          <w:p>
            <w:pPr>
              <w:pStyle w:val="Compact"/>
            </w:pPr>
            <w:r>
              <w:t xml:space="preserve">§2.3.6 Reconciliation of the estate total</w:t>
            </w:r>
          </w:p>
        </w:tc>
        <w:tc>
          <w:tcPr/>
          <w:p>
            <w:pPr>
              <w:pStyle w:val="Compact"/>
            </w:pPr>
            <w:r>
              <w:t xml:space="preserve">Appendix C</w:t>
            </w:r>
          </w:p>
        </w:tc>
        <w:tc>
          <w:tcPr/>
          <w:p>
            <w:pPr>
              <w:pStyle w:val="Compact"/>
            </w:pPr>
            <w:r>
              <w:t xml:space="preserve">Appendix C</w:t>
            </w:r>
          </w:p>
        </w:tc>
      </w:tr>
      <w:tr>
        <w:tc>
          <w:tcPr/>
          <w:p>
            <w:pPr>
              <w:pStyle w:val="Compact"/>
            </w:pPr>
            <w:r>
              <w:t xml:space="preserve">§2.3.7 Round-2 consolidation and open items</w:t>
            </w:r>
          </w:p>
        </w:tc>
        <w:tc>
          <w:tcPr/>
          <w:p>
            <w:pPr>
              <w:pStyle w:val="Compact"/>
            </w:pPr>
            <w:r>
              <w:t xml:space="preserve">§4.2</w:t>
            </w:r>
          </w:p>
        </w:tc>
        <w:tc>
          <w:tcPr/>
          <w:p>
            <w:pPr>
              <w:pStyle w:val="Compact"/>
            </w:pPr>
            <w:r>
              <w:t xml:space="preserve">§6.2 and §6.3</w:t>
            </w:r>
          </w:p>
        </w:tc>
      </w:tr>
      <w:tr>
        <w:tc>
          <w:tcPr/>
          <w:p>
            <w:pPr>
              <w:pStyle w:val="Compact"/>
            </w:pPr>
            <w:r>
              <w:t xml:space="preserve">§3 What was verified personally at source</w:t>
            </w:r>
          </w:p>
        </w:tc>
        <w:tc>
          <w:tcPr/>
          <w:p>
            <w:pPr>
              <w:pStyle w:val="Compact"/>
            </w:pPr>
            <w:r>
              <w:t xml:space="preserve">§4.4</w:t>
            </w:r>
          </w:p>
        </w:tc>
        <w:tc>
          <w:tcPr/>
          <w:p>
            <w:pPr>
              <w:pStyle w:val="Compact"/>
            </w:pPr>
            <w:r>
              <w:t xml:space="preserve">§6.4</w:t>
            </w:r>
          </w:p>
        </w:tc>
      </w:tr>
      <w:tr>
        <w:tc>
          <w:tcPr/>
          <w:p>
            <w:pPr>
              <w:pStyle w:val="Compact"/>
            </w:pPr>
            <w:r>
              <w:t xml:space="preserve">§4 Commercial and product-claim observations</w:t>
            </w:r>
          </w:p>
        </w:tc>
        <w:tc>
          <w:tcPr/>
          <w:p>
            <w:pPr>
              <w:pStyle w:val="Compact"/>
            </w:pPr>
            <w:r>
              <w:t xml:space="preserve">§3.6</w:t>
            </w:r>
          </w:p>
        </w:tc>
        <w:tc>
          <w:tcPr/>
          <w:p>
            <w:pPr>
              <w:pStyle w:val="Compact"/>
            </w:pPr>
            <w:r>
              <w:t xml:space="preserve">§3.8</w:t>
            </w:r>
          </w:p>
        </w:tc>
      </w:tr>
      <w:tr>
        <w:tc>
          <w:tcPr/>
          <w:p>
            <w:pPr>
              <w:pStyle w:val="Compact"/>
            </w:pPr>
            <w:r>
              <w:t xml:space="preserve">§5 Assurance observations</w:t>
            </w:r>
          </w:p>
        </w:tc>
        <w:tc>
          <w:tcPr/>
          <w:p>
            <w:pPr>
              <w:pStyle w:val="Compact"/>
            </w:pPr>
            <w:r>
              <w:t xml:space="preserve">§5</w:t>
            </w:r>
          </w:p>
        </w:tc>
        <w:tc>
          <w:tcPr/>
          <w:p>
            <w:pPr>
              <w:pStyle w:val="Compact"/>
            </w:pPr>
            <w:r>
              <w:t xml:space="preserve">§4</w:t>
            </w:r>
          </w:p>
        </w:tc>
      </w:tr>
      <w:tr>
        <w:tc>
          <w:tcPr/>
          <w:p>
            <w:pPr>
              <w:pStyle w:val="Compact"/>
            </w:pPr>
            <w:r>
              <w:t xml:space="preserve">§6 Keycloak retirement position</w:t>
            </w:r>
          </w:p>
        </w:tc>
        <w:tc>
          <w:tcPr/>
          <w:p>
            <w:pPr>
              <w:pStyle w:val="Compact"/>
            </w:pPr>
            <w:r>
              <w:t xml:space="preserve">§6</w:t>
            </w:r>
          </w:p>
        </w:tc>
        <w:tc>
          <w:tcPr/>
          <w:p>
            <w:pPr>
              <w:pStyle w:val="Compact"/>
            </w:pPr>
            <w:r>
              <w:t xml:space="preserve">§5</w:t>
            </w:r>
          </w:p>
        </w:tc>
      </w:tr>
      <w:tr>
        <w:tc>
          <w:tcPr/>
          <w:p>
            <w:pPr>
              <w:pStyle w:val="Compact"/>
            </w:pPr>
            <w:r>
              <w:t xml:space="preserve">§7 What is not done</w:t>
            </w:r>
          </w:p>
        </w:tc>
        <w:tc>
          <w:tcPr/>
          <w:p>
            <w:pPr>
              <w:pStyle w:val="Compact"/>
            </w:pPr>
            <w:r>
              <w:t xml:space="preserve">§4.3</w:t>
            </w:r>
          </w:p>
        </w:tc>
        <w:tc>
          <w:tcPr/>
          <w:p>
            <w:pPr>
              <w:pStyle w:val="Compact"/>
            </w:pPr>
            <w:r>
              <w:t xml:space="preserve">§6.5</w:t>
            </w:r>
          </w:p>
        </w:tc>
      </w:tr>
      <w:tr>
        <w:tc>
          <w:tcPr/>
          <w:p>
            <w:pPr>
              <w:pStyle w:val="Compact"/>
            </w:pPr>
            <w:r>
              <w:t xml:space="preserve">§7.1 Delta-review coverage record</w:t>
            </w:r>
          </w:p>
        </w:tc>
        <w:tc>
          <w:tcPr/>
          <w:p>
            <w:pPr>
              <w:pStyle w:val="Compact"/>
            </w:pPr>
            <w:r>
              <w:t xml:space="preserve">—</w:t>
            </w:r>
          </w:p>
        </w:tc>
        <w:tc>
          <w:tcPr/>
          <w:p>
            <w:pPr>
              <w:pStyle w:val="Compact"/>
            </w:pPr>
            <w:r>
              <w:t xml:space="preserve">Appendix D</w:t>
            </w:r>
          </w:p>
        </w:tc>
      </w:tr>
    </w:tbl>
    <w:p/>
    <w:p/>
    <w:p/>
    <w:bookmarkEnd w:id="33"/>
    <w:bookmarkStart w:id="41" w:name="X7b5156d3b36deff07c08cc29371560866ef0238"/>
    <w:p>
      <w:pPr>
        <w:pStyle w:val="Heading3"/>
      </w:pPr>
      <w:r>
        <w:t xml:space="preserve">3.2 Critical findings</w:t>
      </w:r>
    </w:p>
    <w:p>
      <w:pPr>
        <w:pStyle w:val="FirstParagraph"/>
      </w:pPr>
      <w:r>
        <w:rPr>
          <w:b/>
          <w:bCs/>
        </w:rPr>
        <w:t xml:space="preserve">The numbering below is the estate-wide Critical index and is preserved so that cross-references</w:t>
      </w:r>
      <w:r>
        <w:rPr>
          <w:b/>
          <w:bCs/>
        </w:rPr>
        <w:t xml:space="preserve"> </w:t>
      </w:r>
      <w:r>
        <w:rPr>
          <w:b/>
          <w:bCs/>
        </w:rPr>
        <w:t xml:space="preserve">elsewhere in the assurance pack remain valid; it is not a per-document sequence.</w:t>
      </w:r>
    </w:p>
    <w:p>
      <w:pPr>
        <w:pStyle w:val="BodyText"/>
      </w:pPr>
      <w:r>
        <w:rPr>
          <w:b/>
          <w:bCs/>
        </w:rPr>
        <w:t xml:space="preserve">Summary of the Critical findings in this register.</w:t>
      </w:r>
      <w:r>
        <w:t xml:space="preserve"> </w:t>
      </w:r>
      <w:r>
        <w:t xml:space="preserve">The full record for each — the issue, the suggested fix, and below them what was tested, how it was tested and how to resolve it — follows the table, one finding to a block.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Component</w:t>
            </w:r>
          </w:p>
        </w:tc>
        <w:tc>
          <w:tcPr/>
          <w:p>
            <w:pPr>
              <w:pStyle w:val="Compact"/>
            </w:pPr>
            <w:r>
              <w:t xml:space="preserve">Severity</w:t>
            </w:r>
          </w:p>
        </w:tc>
        <w:tc>
          <w:tcPr/>
          <w:p>
            <w:pPr>
              <w:pStyle w:val="Compact"/>
            </w:pPr>
            <w:r>
              <w:t xml:space="preserve">Finding</w:t>
            </w:r>
          </w:p>
        </w:tc>
      </w:tr>
      <w:tr>
        <w:tc>
          <w:tcPr/>
          <w:p>
            <w:pPr>
              <w:pStyle w:val="Compact"/>
            </w:pPr>
            <w:r>
              <w:t xml:space="preserve">1</w:t>
            </w:r>
          </w:p>
        </w:tc>
        <w:tc>
          <w:tcPr/>
          <w:p>
            <w:pPr>
              <w:pStyle w:val="Compact"/>
            </w:pPr>
            <w:r>
              <w:t xml:space="preserve">OneTimePad</w:t>
            </w:r>
            <w:r>
              <w:t xml:space="preserve"> </w:t>
            </w:r>
            <w:r>
              <w:rPr>
                <w:i/>
                <w:iCs/>
              </w:rPr>
              <w:t xml:space="preserve">(product: CypherKey)</w:t>
            </w:r>
          </w:p>
        </w:tc>
        <w:tc>
          <w:tcPr/>
          <w:p>
            <w:pPr>
              <w:pStyle w:val="Compact"/>
            </w:pPr>
            <w:r>
              <w:rPr>
                <w:b/>
                <w:bCs/>
              </w:rPr>
              <w:t xml:space="preserve">Critical</w:t>
            </w:r>
            <w:r>
              <w:t xml:space="preserve"> </w:t>
            </w:r>
            <w:r>
              <w:t xml:space="preserve">· CVSS 9.6</w:t>
            </w:r>
          </w:p>
        </w:tc>
        <w:tc>
          <w:tcPr/>
          <w:p>
            <w:pPr>
              <w:pStyle w:val="Compact"/>
            </w:pPr>
            <w:r>
              <w:t xml:space="preserve">The EAM connector takes the authenticated subject from a client-controlled form field</w:t>
            </w:r>
          </w:p>
        </w:tc>
      </w:tr>
      <w:tr>
        <w:tc>
          <w:tcPr/>
          <w:p>
            <w:pPr>
              <w:pStyle w:val="Compact"/>
            </w:pPr>
            <w:r>
              <w:t xml:space="preserve">2</w:t>
            </w:r>
          </w:p>
        </w:tc>
        <w:tc>
          <w:tcPr/>
          <w:p>
            <w:pPr>
              <w:pStyle w:val="Compact"/>
            </w:pPr>
            <w:r>
              <w:t xml:space="preserve">OneTimePad</w:t>
            </w:r>
            <w:r>
              <w:t xml:space="preserve"> </w:t>
            </w:r>
            <w:r>
              <w:rPr>
                <w:i/>
                <w:iCs/>
              </w:rPr>
              <w:t xml:space="preserve">(product: CypherKey)</w:t>
            </w:r>
          </w:p>
        </w:tc>
        <w:tc>
          <w:tcPr/>
          <w:p>
            <w:pPr>
              <w:pStyle w:val="Compact"/>
            </w:pPr>
            <w:r>
              <w:rPr>
                <w:b/>
                <w:bCs/>
              </w:rPr>
              <w:t xml:space="preserve">Critical</w:t>
            </w:r>
          </w:p>
        </w:tc>
        <w:tc>
          <w:tcPr/>
          <w:p>
            <w:pPr>
              <w:pStyle w:val="Compact"/>
            </w:pPr>
            <w:r>
              <w:rPr>
                <w:rStyle w:val="VerbatimChar"/>
              </w:rPr>
              <w:t xml:space="preserve">/setup</w:t>
            </w:r>
            <w:r>
              <w:t xml:space="preserve"> </w:t>
            </w:r>
            <w:r>
              <w:t xml:space="preserve">bypasses the portal's only gate, and there are no</w:t>
            </w:r>
            <w:r>
              <w:t xml:space="preserve"> </w:t>
            </w:r>
            <w:r>
              <w:rPr>
                <w:rStyle w:val="VerbatimChar"/>
              </w:rPr>
              <w:t xml:space="preserve">[Authorize]</w:t>
            </w:r>
            <w:r>
              <w:t xml:space="preserve"> </w:t>
            </w:r>
            <w:r>
              <w:t xml:space="preserve">attributes anywhere in the portal</w:t>
            </w:r>
          </w:p>
        </w:tc>
      </w:tr>
      <w:tr>
        <w:tc>
          <w:tcPr/>
          <w:p>
            <w:pPr>
              <w:pStyle w:val="Compact"/>
            </w:pPr>
            <w:r>
              <w:t xml:space="preserve">3–6</w:t>
            </w:r>
          </w:p>
        </w:tc>
        <w:tc>
          <w:tcPr/>
          <w:p>
            <w:pPr>
              <w:pStyle w:val="Compact"/>
            </w:pPr>
            <w:r>
              <w:t xml:space="preserve">CryptixWebPortal</w:t>
            </w:r>
          </w:p>
        </w:tc>
        <w:tc>
          <w:tcPr/>
          <w:p>
            <w:pPr>
              <w:pStyle w:val="Compact"/>
            </w:pPr>
            <w:r>
              <w:rPr>
                <w:b/>
                <w:bCs/>
              </w:rPr>
              <w:t xml:space="preserve">Critical</w:t>
            </w:r>
          </w:p>
        </w:tc>
        <w:tc>
          <w:tcPr/>
          <w:p>
            <w:pPr>
              <w:pStyle w:val="Compact"/>
            </w:pPr>
            <w:r>
              <w:t xml:space="preserve">The 68-endpoint</w:t>
            </w:r>
            <w:r>
              <w:t xml:space="preserve"> </w:t>
            </w:r>
            <w:r>
              <w:rPr>
                <w:rStyle w:val="VerbatimChar"/>
              </w:rPr>
              <w:t xml:space="preserve">actions/</w:t>
            </w:r>
            <w:r>
              <w:t xml:space="preserve"> </w:t>
            </w:r>
            <w:r>
              <w:t xml:space="preserve">API is entirely unauthenticated, including the endpoint that decrypts secure wrappers</w:t>
            </w:r>
          </w:p>
        </w:tc>
      </w:tr>
      <w:tr>
        <w:tc>
          <w:tcPr/>
          <w:p>
            <w:pPr>
              <w:pStyle w:val="Compact"/>
            </w:pPr>
            <w:r>
              <w:t xml:space="preserve">11</w:t>
            </w:r>
          </w:p>
        </w:tc>
        <w:tc>
          <w:tcPr/>
          <w:p>
            <w:pPr>
              <w:pStyle w:val="Compact"/>
            </w:pPr>
            <w:r>
              <w:t xml:space="preserve">Reporting Dashboard (NexusAI)</w:t>
            </w:r>
          </w:p>
        </w:tc>
        <w:tc>
          <w:tcPr/>
          <w:p>
            <w:pPr>
              <w:pStyle w:val="Compact"/>
            </w:pPr>
            <w:r>
              <w:rPr>
                <w:b/>
                <w:bCs/>
              </w:rPr>
              <w:t xml:space="preserve">Critical</w:t>
            </w:r>
          </w:p>
        </w:tc>
        <w:tc>
          <w:tcPr/>
          <w:p>
            <w:pPr>
              <w:pStyle w:val="Compact"/>
            </w:pPr>
            <w:r>
              <w:rPr>
                <w:rStyle w:val="VerbatimChar"/>
              </w:rPr>
              <w:t xml:space="preserve">requireAuth</w:t>
            </w:r>
            <w:r>
              <w:t xml:space="preserve"> </w:t>
            </w:r>
            <w:r>
              <w:t xml:space="preserve">fails open, leaving all 175 routes unauthenticated</w:t>
            </w:r>
          </w:p>
        </w:tc>
      </w:tr>
      <w:tr>
        <w:tc>
          <w:tcPr/>
          <w:p>
            <w:pPr>
              <w:pStyle w:val="Compact"/>
            </w:pPr>
            <w:r>
              <w:t xml:space="preserve">13</w:t>
            </w:r>
          </w:p>
        </w:tc>
        <w:tc>
          <w:tcPr/>
          <w:p>
            <w:pPr>
              <w:pStyle w:val="Compact"/>
            </w:pPr>
            <w:r>
              <w:t xml:space="preserve">myPKI</w:t>
            </w:r>
          </w:p>
        </w:tc>
        <w:tc>
          <w:tcPr/>
          <w:p>
            <w:pPr>
              <w:pStyle w:val="Compact"/>
            </w:pPr>
            <w:r>
              <w:rPr>
                <w:b/>
                <w:bCs/>
              </w:rPr>
              <w:t xml:space="preserve">Critical</w:t>
            </w:r>
            <w:r>
              <w:t xml:space="preserve"> </w:t>
            </w:r>
            <w:r>
              <w:rPr>
                <w:i/>
                <w:iCs/>
              </w:rPr>
              <w:t xml:space="preserve">(rescore proposed, not applied)</w:t>
            </w:r>
          </w:p>
        </w:tc>
        <w:tc>
          <w:tcPr/>
          <w:p>
            <w:pPr>
              <w:pStyle w:val="Compact"/>
            </w:pPr>
            <w:r>
              <w:t xml:space="preserve">Private keys derive from a public biometric plus an unstretched passphrase —</w:t>
            </w:r>
            <w:r>
              <w:t xml:space="preserve"> </w:t>
            </w:r>
            <w:r>
              <w:rPr>
                <w:b/>
                <w:bCs/>
              </w:rPr>
              <w:t xml:space="preserve">and the correction to that claim must be read with it</w:t>
            </w:r>
          </w:p>
        </w:tc>
      </w:tr>
      <w:tr>
        <w:tc>
          <w:tcPr/>
          <w:p>
            <w:pPr>
              <w:pStyle w:val="Compact"/>
            </w:pPr>
            <w:r>
              <w:t xml:space="preserve">14</w:t>
            </w:r>
          </w:p>
        </w:tc>
        <w:tc>
          <w:tcPr/>
          <w:p>
            <w:pPr>
              <w:pStyle w:val="Compact"/>
            </w:pPr>
            <w:r>
              <w:t xml:space="preserve">SecurePDF</w:t>
            </w:r>
          </w:p>
        </w:tc>
        <w:tc>
          <w:tcPr/>
          <w:p>
            <w:pPr>
              <w:pStyle w:val="Compact"/>
            </w:pPr>
            <w:r>
              <w:rPr>
                <w:b/>
                <w:bCs/>
              </w:rPr>
              <w:t xml:space="preserve">Critical</w:t>
            </w:r>
          </w:p>
        </w:tc>
        <w:tc>
          <w:tcPr/>
          <w:p>
            <w:pPr>
              <w:pStyle w:val="Compact"/>
            </w:pPr>
            <w:r>
              <w:t xml:space="preserve">An Azure Cosmos DB primary master key is committed at HEAD inside a shipped desktop application</w:t>
            </w:r>
          </w:p>
        </w:tc>
      </w:tr>
      <w:tr>
        <w:tc>
          <w:tcPr/>
          <w:p>
            <w:pPr>
              <w:pStyle w:val="Compact"/>
            </w:pPr>
            <w:r>
              <w:t xml:space="preserve">15</w:t>
            </w:r>
          </w:p>
        </w:tc>
        <w:tc>
          <w:tcPr/>
          <w:p>
            <w:pPr>
              <w:pStyle w:val="Compact"/>
            </w:pPr>
            <w:r>
              <w:t xml:space="preserve">Vision Sales Portal</w:t>
            </w:r>
            <w:r>
              <w:t xml:space="preserve"> </w:t>
            </w:r>
            <w:r>
              <w:rPr>
                <w:i/>
                <w:iCs/>
              </w:rPr>
              <w:t xml:space="preserve">(parked)</w:t>
            </w:r>
          </w:p>
        </w:tc>
        <w:tc>
          <w:tcPr/>
          <w:p>
            <w:pPr>
              <w:pStyle w:val="Compact"/>
            </w:pPr>
            <w:r>
              <w:rPr>
                <w:b/>
                <w:bCs/>
              </w:rPr>
              <w:t xml:space="preserve">Critical</w:t>
            </w:r>
          </w:p>
        </w:tc>
        <w:tc>
          <w:tcPr/>
          <w:p>
            <w:pPr>
              <w:pStyle w:val="Compact"/>
            </w:pPr>
            <w:r>
              <w:t xml:space="preserve">Ten accounts' passwords are upserted from plaintext in source on every boot</w:t>
            </w:r>
          </w:p>
        </w:tc>
      </w:tr>
    </w:tbl>
    <w:p/>
    <w:p/>
    <w:p/>
    <w:bookmarkStart w:id="34" w:name="Xe7bae6594e5ea96245dc3e94c6b94e936b2c706"/>
    <w:p>
      <w:pPr>
        <w:pStyle w:val="Heading4"/>
      </w:pPr>
      <w:r>
        <w:t xml:space="preserve">Critical 1 — The EAM connector takes the authenticated subject from a client-controlled form field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b/>
                <w:bCs/>
              </w:rPr>
              <w:t xml:space="preserve">Critical 1</w:t>
            </w:r>
          </w:p>
        </w:tc>
        <w:tc>
          <w:tcPr/>
          <w:p>
            <w:pPr>
              <w:pStyle w:val="Compact"/>
            </w:pPr>
            <w:r>
              <w:rPr>
                <w:b/>
                <w:bCs/>
              </w:rPr>
              <w:t xml:space="preserve">Critical</w:t>
            </w:r>
            <w:r>
              <w:t xml:space="preserve"> </w:t>
            </w:r>
            <w:r>
              <w:t xml:space="preserve">· CVSS 3.1</w:t>
            </w:r>
            <w:r>
              <w:t xml:space="preserve"> </w:t>
            </w:r>
            <w:r>
              <w:rPr>
                <w:b/>
                <w:bCs/>
              </w:rPr>
              <w:t xml:space="preserve">9.6</w:t>
            </w:r>
            <w:r>
              <w:t xml:space="preserve"> </w:t>
            </w:r>
            <w:r>
              <w:t xml:space="preserve">· component</w:t>
            </w:r>
            <w:r>
              <w:t xml:space="preserve"> </w:t>
            </w:r>
            <w:r>
              <w:rPr>
                <w:b/>
                <w:bCs/>
              </w:rPr>
              <w:t xml:space="preserve">OneTimePad</w:t>
            </w:r>
            <w:r>
              <w:t xml:space="preserve"> </w:t>
            </w:r>
            <w:r>
              <w:rPr>
                <w:i/>
                <w:iCs/>
              </w:rPr>
              <w:t xml:space="preserve">(product name</w:t>
            </w:r>
            <w:r>
              <w:rPr>
                <w:i/>
                <w:iCs/>
              </w:rPr>
              <w:t xml:space="preserve"> </w:t>
            </w:r>
            <w:r>
              <w:rPr>
                <w:b/>
                <w:bCs/>
                <w:i/>
                <w:iCs/>
              </w:rPr>
              <w:t xml:space="preserve">CypherKey</w:t>
            </w:r>
            <w:r>
              <w:rPr>
                <w:i/>
                <w:iCs/>
              </w:rPr>
              <w:t xml:space="preserve">)</w:t>
            </w:r>
          </w:p>
        </w:tc>
      </w:tr>
      <w:tr>
        <w:tc>
          <w:tcPr/>
          <w:p>
            <w:pPr>
              <w:pStyle w:val="Compact"/>
            </w:pPr>
            <w:r>
              <w:rPr>
                <w:b/>
                <w:bCs/>
              </w:rPr>
              <w:t xml:space="preserve">The issue</w:t>
            </w:r>
          </w:p>
        </w:tc>
        <w:tc>
          <w:tcPr/>
          <w:p>
            <w:pPr>
              <w:pStyle w:val="Compact"/>
            </w:pPr>
            <w:r>
              <w:rPr>
                <w:b/>
                <w:bCs/>
              </w:rPr>
              <w:t xml:space="preserve">EAM connector takes the authenticated subject from a client-controlled form field.</w:t>
            </w:r>
            <w:r>
              <w:t xml:space="preserve"> </w:t>
            </w:r>
            <w:r>
              <w:rPr>
                <w:rStyle w:val="VerbatimChar"/>
              </w:rPr>
              <w:t xml:space="preserve">EamController.cs:158</w:t>
            </w:r>
            <w:r>
              <w:t xml:space="preserve"> </w:t>
            </w:r>
            <w:r>
              <w:t xml:space="preserve">issues the signed</w:t>
            </w:r>
            <w:r>
              <w:t xml:space="preserve"> </w:t>
            </w:r>
            <w:r>
              <w:rPr>
                <w:rStyle w:val="VerbatimChar"/>
              </w:rPr>
              <w:t xml:space="preserve">id_token</w:t>
            </w:r>
            <w:r>
              <w:t xml:space="preserve"> </w:t>
            </w:r>
            <w:r>
              <w:t xml:space="preserve">with</w:t>
            </w:r>
            <w:r>
              <w:t xml:space="preserve"> </w:t>
            </w:r>
            <w:r>
              <w:rPr>
                <w:rStyle w:val="VerbatimChar"/>
              </w:rPr>
              <w:t xml:space="preserve">form.Subject</w:t>
            </w:r>
            <w:r>
              <w:t xml:space="preserve"> </w:t>
            </w:r>
            <w:r>
              <w:t xml:space="preserve">(</w:t>
            </w:r>
            <w:r>
              <w:rPr>
                <w:rStyle w:val="VerbatimChar"/>
              </w:rPr>
              <w:t xml:space="preserve">[FromForm(Name="sub")]</w:t>
            </w:r>
            <w:r>
              <w:t xml:space="preserve">,</w:t>
            </w:r>
            <w:r>
              <w:t xml:space="preserve"> </w:t>
            </w:r>
            <w:r>
              <w:rPr>
                <w:rStyle w:val="VerbatimChar"/>
              </w:rPr>
              <w:t xml:space="preserve">:294</w:t>
            </w:r>
            <w:r>
              <w:t xml:space="preserve">) after testing only</w:t>
            </w:r>
            <w:r>
              <w:t xml:space="preserve"> </w:t>
            </w:r>
            <w:r>
              <w:rPr>
                <w:rStyle w:val="VerbatimChar"/>
              </w:rPr>
              <w:t xml:space="preserve">result.Succeeded</w:t>
            </w:r>
            <w:r>
              <w:t xml:space="preserve">. The other two federation surfaces do it correctly (</w:t>
            </w:r>
            <w:r>
              <w:rPr>
                <w:rStyle w:val="VerbatimChar"/>
              </w:rPr>
              <w:t xml:space="preserve">FederatedIdpController.cs:104,110</w:t>
            </w:r>
            <w:r>
              <w:t xml:space="preserve">;</w:t>
            </w:r>
            <w:r>
              <w:t xml:space="preserve"> </w:t>
            </w:r>
            <w:r>
              <w:rPr>
                <w:rStyle w:val="VerbatimChar"/>
              </w:rPr>
              <w:t xml:space="preserve">SamlController.cs:303-308</w:t>
            </w:r>
            <w:r>
              <w:t xml:space="preserve">) — which is what makes it a defect, not a design.</w:t>
            </w:r>
            <w:r>
              <w:t xml:space="preserve"> </w:t>
            </w:r>
            <w:r>
              <w:rPr>
                <w:b/>
                <w:bCs/>
              </w:rPr>
              <w:t xml:space="preserve">The only stated safeguard is a code comment at</w:t>
            </w:r>
            <w:r>
              <w:rPr>
                <w:b/>
                <w:bCs/>
              </w:rPr>
              <w:t xml:space="preserve"> </w:t>
            </w:r>
            <w:r>
              <w:rPr>
                <w:rStyle w:val="VerbatimChar"/>
                <w:b/>
                <w:bCs/>
              </w:rPr>
              <w:t xml:space="preserve">:155</w:t>
            </w:r>
            <w:r>
              <w:rPr>
                <w:b/>
                <w:bCs/>
              </w:rPr>
              <w:t xml:space="preserve"> </w:t>
            </w:r>
            <w:r>
              <w:rPr>
                <w:b/>
                <w:bCs/>
              </w:rPr>
              <w:t xml:space="preserve">("Entra pins it").</w:t>
            </w:r>
            <w:r>
              <w:t xml:space="preserve"> </w:t>
            </w:r>
            <w:r>
              <w:t xml:space="preserve">An attacker holding a victim's Entra password — the first factor this product exists to survive — satisfies a challenge with their own phone and submits the victim's</w:t>
            </w:r>
            <w:r>
              <w:t xml:space="preserve"> </w:t>
            </w:r>
            <w:r>
              <w:rPr>
                <w:rStyle w:val="VerbatimChar"/>
              </w:rPr>
              <w:t xml:space="preserve">sub</w:t>
            </w:r>
            <w:r>
              <w:t xml:space="preserve">.</w:t>
            </w:r>
          </w:p>
        </w:tc>
      </w:tr>
      <w:tr>
        <w:tc>
          <w:tcPr/>
          <w:p>
            <w:pPr>
              <w:pStyle w:val="Compact"/>
            </w:pPr>
            <w:r>
              <w:rPr>
                <w:b/>
                <w:bCs/>
              </w:rPr>
              <w:t xml:space="preserve">Suggested fix</w:t>
            </w:r>
          </w:p>
        </w:tc>
        <w:tc>
          <w:tcPr/>
          <w:p>
            <w:pPr>
              <w:pStyle w:val="Compact"/>
            </w:pPr>
            <w:r>
              <w:t xml:space="preserve">Derive the subject from the challenge result —</w:t>
            </w:r>
            <w:r>
              <w:t xml:space="preserve"> </w:t>
            </w:r>
            <w:r>
              <w:rPr>
                <w:rStyle w:val="VerbatimChar"/>
              </w:rPr>
              <w:t xml:space="preserve">result.Subject</w:t>
            </w:r>
            <w:r>
              <w:t xml:space="preserve"> </w:t>
            </w:r>
            <w:r>
              <w:t xml:space="preserve">— exactly as the OIDC and SAML paths in the same product already do, and reject on any mismatch with a submitted hint rather than trusting the form.</w:t>
            </w:r>
          </w:p>
        </w:tc>
      </w:tr>
      <w:tr>
        <w:tc>
          <w:tcPr/>
          <w:p>
            <w:pPr>
              <w:pStyle w:val="Compact"/>
            </w:pPr>
            <w:r>
              <w:rPr>
                <w:b/>
                <w:bCs/>
              </w:rPr>
              <w:t xml:space="preserve">What was tested</w:t>
            </w:r>
          </w:p>
        </w:tc>
        <w:tc>
          <w:tcPr/>
          <w:p>
            <w:pPr>
              <w:pStyle w:val="Compact"/>
            </w:pPr>
            <w:r>
              <w:t xml:space="preserve">The</w:t>
            </w:r>
            <w:r>
              <w:t xml:space="preserve"> </w:t>
            </w:r>
            <w:r>
              <w:rPr>
                <w:b/>
                <w:bCs/>
              </w:rPr>
              <w:t xml:space="preserve">OneTimePad</w:t>
            </w:r>
            <w:r>
              <w:t xml:space="preserve"> </w:t>
            </w:r>
            <w:r>
              <w:t xml:space="preserve">authentication server and its three federation surfaces — EAM, OIDC and SAML — as provided in the source snapshot. The claim under test: that the EAM path takes the subject from the request body while the other two take it from the challenge result. Artefacts read at the cited lines:</w:t>
            </w:r>
            <w:r>
              <w:t xml:space="preserve"> </w:t>
            </w:r>
            <w:r>
              <w:rPr>
                <w:rStyle w:val="VerbatimChar"/>
              </w:rPr>
              <w:t xml:space="preserve">EamController.cs:155,158,294</w:t>
            </w:r>
            <w:r>
              <w:t xml:space="preserve"> </w:t>
            </w:r>
            <w:r>
              <w:t xml:space="preserve">·</w:t>
            </w:r>
            <w:r>
              <w:t xml:space="preserve"> </w:t>
            </w:r>
            <w:r>
              <w:rPr>
                <w:rStyle w:val="VerbatimChar"/>
              </w:rPr>
              <w:t xml:space="preserve">FederatedIdpController.cs:104,110</w:t>
            </w:r>
            <w:r>
              <w:t xml:space="preserve"> </w:t>
            </w:r>
            <w:r>
              <w:t xml:space="preserve">·</w:t>
            </w:r>
            <w:r>
              <w:t xml:space="preserve"> </w:t>
            </w:r>
            <w:r>
              <w:rPr>
                <w:rStyle w:val="VerbatimChar"/>
              </w:rPr>
              <w:t xml:space="preserve">SamlController.cs:303-308</w:t>
            </w:r>
            <w:r>
              <w:t xml:space="preserve"> </w:t>
            </w:r>
            <w:r>
              <w:t xml:space="preserve">·</w:t>
            </w:r>
            <w:r>
              <w:t xml:space="preserve"> </w:t>
            </w:r>
            <w:r>
              <w:rPr>
                <w:rStyle w:val="VerbatimChar"/>
              </w:rPr>
              <w:t xml:space="preserve">EamIdTokenIssuer.ResolveAcr</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followed by an independent verification pass by a reviewer who did not raise the finding: thirty-two confirmations, no refutations, three down-scores and two up-scores for this component (§4.1).</w:t>
            </w:r>
            <w:r>
              <w:t xml:space="preserve"> </w:t>
            </w:r>
            <w:r>
              <w:rPr>
                <w:b/>
                <w:bCs/>
              </w:rPr>
              <w:t xml:space="preserve">Verified at source by Wednesday</w:t>
            </w:r>
            <w:r>
              <w:t xml:space="preserve">, including the two correct counterparts, which is what establishes that this is a defect rather than a design decision.</w:t>
            </w:r>
            <w:r>
              <w:t xml:space="preserve"> </w:t>
            </w:r>
            <w:r>
              <w:rPr>
                <w:b/>
                <w:bCs/>
              </w:rPr>
              <w:t xml:space="preserve">One thing was not tested and cannot be, statically:</w:t>
            </w:r>
            <w:r>
              <w:t xml:space="preserve"> </w:t>
            </w:r>
            <w:r>
              <w:t xml:space="preserve">whether Entra genuinely pins the EAM subject, which is the only claimed safeguard. That is one of the two live checks named as the next action (§4.2, open item 2). Until it is answered,</w:t>
            </w:r>
            <w:r>
              <w:t xml:space="preserve"> </w:t>
            </w:r>
            <w:r>
              <w:rPr>
                <w:b/>
                <w:bCs/>
              </w:rPr>
              <w:t xml:space="preserve">the safeguard remains a code comment.</w:t>
            </w:r>
          </w:p>
        </w:tc>
      </w:tr>
      <w:tr>
        <w:tc>
          <w:tcPr/>
          <w:p>
            <w:pPr>
              <w:pStyle w:val="Compact"/>
            </w:pPr>
            <w:r>
              <w:rPr>
                <w:b/>
                <w:bCs/>
              </w:rPr>
              <w:t xml:space="preserve">How to resolve</w:t>
            </w:r>
          </w:p>
        </w:tc>
        <w:tc>
          <w:tcPr/>
          <w:p>
            <w:pPr>
              <w:pStyle w:val="Compact"/>
            </w:pPr>
            <w:r>
              <w:t xml:space="preserve">(1) Derive the subject from the challenge result —</w:t>
            </w:r>
            <w:r>
              <w:t xml:space="preserve"> </w:t>
            </w:r>
            <w:r>
              <w:rPr>
                <w:rStyle w:val="VerbatimChar"/>
              </w:rPr>
              <w:t xml:space="preserve">result.Subject</w:t>
            </w:r>
            <w:r>
              <w:t xml:space="preserve"> </w:t>
            </w:r>
            <w:r>
              <w:t xml:space="preserve">/</w:t>
            </w:r>
            <w:r>
              <w:t xml:space="preserve"> </w:t>
            </w:r>
            <w:r>
              <w:rPr>
                <w:rStyle w:val="VerbatimChar"/>
              </w:rPr>
              <w:t xml:space="preserve">result.SubjectId</w:t>
            </w:r>
            <w:r>
              <w:t xml:space="preserve"> </w:t>
            </w:r>
            <w:r>
              <w:t xml:space="preserve">— exactly as the OIDC and SAML paths already do. If a hint echo is required by the EAM protocol, compare</w:t>
            </w:r>
            <w:r>
              <w:t xml:space="preserve"> </w:t>
            </w:r>
            <w:r>
              <w:rPr>
                <w:rStyle w:val="VerbatimChar"/>
              </w:rPr>
              <w:t xml:space="preserve">result.Subject</w:t>
            </w:r>
            <w:r>
              <w:t xml:space="preserve"> </w:t>
            </w:r>
            <w:r>
              <w:t xml:space="preserve">to the hint's</w:t>
            </w:r>
            <w:r>
              <w:t xml:space="preserve"> </w:t>
            </w:r>
            <w:r>
              <w:rPr>
                <w:rStyle w:val="VerbatimChar"/>
              </w:rPr>
              <w:t xml:space="preserve">sub</w:t>
            </w:r>
            <w:r>
              <w:t xml:space="preserve"> </w:t>
            </w:r>
            <w:r>
              <w:t xml:space="preserve">and</w:t>
            </w:r>
            <w:r>
              <w:t xml:space="preserve"> </w:t>
            </w:r>
            <w:r>
              <w:rPr>
                <w:b/>
                <w:bCs/>
              </w:rPr>
              <w:t xml:space="preserve">reject on mismatch</w:t>
            </w:r>
            <w:r>
              <w:t xml:space="preserve"> </w:t>
            </w:r>
            <w:r>
              <w:t xml:space="preserve">rather than trusting the form. (2) Re-validate the</w:t>
            </w:r>
            <w:r>
              <w:t xml:space="preserve"> </w:t>
            </w:r>
            <w:r>
              <w:rPr>
                <w:rStyle w:val="VerbatimChar"/>
              </w:rPr>
              <w:t xml:space="preserve">id_token_hint</w:t>
            </w:r>
            <w:r>
              <w:t xml:space="preserve"> </w:t>
            </w:r>
            <w:r>
              <w:t xml:space="preserve">on the verify POST, or carry a server-side record of the validated hint keyed by</w:t>
            </w:r>
            <w:r>
              <w:t xml:space="preserve"> </w:t>
            </w:r>
            <w:r>
              <w:rPr>
                <w:rStyle w:val="VerbatimChar"/>
              </w:rPr>
              <w:t xml:space="preserve">challenge_id</w:t>
            </w:r>
            <w:r>
              <w:t xml:space="preserve"> </w:t>
            </w:r>
            <w:r>
              <w:t xml:space="preserve">from the authorize step, and take</w:t>
            </w:r>
            <w:r>
              <w:t xml:space="preserve"> </w:t>
            </w:r>
            <w:r>
              <w:rPr>
                <w:rStyle w:val="VerbatimChar"/>
              </w:rPr>
              <w:t xml:space="preserve">sub</w:t>
            </w:r>
            <w:r>
              <w:t xml:space="preserve"> </w:t>
            </w:r>
            <w:r>
              <w:t xml:space="preserve">and</w:t>
            </w:r>
            <w:r>
              <w:t xml:space="preserve"> </w:t>
            </w:r>
            <w:r>
              <w:rPr>
                <w:rStyle w:val="VerbatimChar"/>
              </w:rPr>
              <w:t xml:space="preserve">acr</w:t>
            </w:r>
            <w:r>
              <w:t xml:space="preserve"> </w:t>
            </w:r>
            <w:r>
              <w:t xml:space="preserve">from that record. (3) Resolve</w:t>
            </w:r>
            <w:r>
              <w:t xml:space="preserve"> </w:t>
            </w:r>
            <w:r>
              <w:rPr>
                <w:rStyle w:val="VerbatimChar"/>
              </w:rPr>
              <w:t xml:space="preserve">acr</w:t>
            </w:r>
            <w:r>
              <w:t xml:space="preserve"> </w:t>
            </w:r>
            <w:r>
              <w:t xml:space="preserve">through</w:t>
            </w:r>
            <w:r>
              <w:t xml:space="preserve"> </w:t>
            </w:r>
            <w:r>
              <w:rPr>
                <w:rStyle w:val="VerbatimChar"/>
              </w:rPr>
              <w:t xml:space="preserve">EamIdTokenIssuer.ResolveAcr</w:t>
            </w:r>
            <w:r>
              <w:t xml:space="preserve"> </w:t>
            </w:r>
            <w:r>
              <w:t xml:space="preserve">on the verify path so that the honest-</w:t>
            </w:r>
            <w:r>
              <w:rPr>
                <w:rStyle w:val="VerbatimChar"/>
              </w:rPr>
              <w:t xml:space="preserve">acr</w:t>
            </w:r>
            <w:r>
              <w:t xml:space="preserve"> </w:t>
            </w:r>
            <w:r>
              <w:t xml:space="preserve">allow-list actually applies. (4) Answer the live question of whether Entra pins the subject, and record the answer on this row — it decides whether the defect is exploitable today or only latent.</w:t>
            </w:r>
            <w:r>
              <w:t xml:space="preserve"> </w:t>
            </w:r>
            <w:r>
              <w:rPr>
                <w:i/>
                <w:iCs/>
              </w:rPr>
              <w:t xml:space="preserve">(Recorded by the reviewer who raised the finding, in</w:t>
            </w:r>
            <w:r>
              <w:rPr>
                <w:i/>
                <w:iCs/>
              </w:rPr>
              <w:t xml:space="preserve"> </w:t>
            </w:r>
            <w:r>
              <w:rPr>
                <w:rStyle w:val="VerbatimChar"/>
                <w:i/>
                <w:iCs/>
              </w:rPr>
              <w:t xml:space="preserve">findings-seed-2026-09/onetimepad-main.md</w:t>
            </w:r>
            <w:r>
              <w:rPr>
                <w:i/>
                <w:iCs/>
              </w:rPr>
              <w:t xml:space="preserve">,</w:t>
            </w:r>
            <w:r>
              <w:rPr>
                <w:i/>
                <w:iCs/>
              </w:rPr>
              <w:t xml:space="preserve"> </w:t>
            </w:r>
            <w:r>
              <w:rPr>
                <w:rStyle w:val="VerbatimChar"/>
                <w:i/>
                <w:iCs/>
              </w:rPr>
              <w:t xml:space="preserve">OTP-01</w:t>
            </w:r>
            <w:r>
              <w:rPr>
                <w:i/>
                <w:iCs/>
              </w:rPr>
              <w:t xml:space="preserve">.)</w:t>
            </w:r>
          </w:p>
        </w:tc>
      </w:tr>
    </w:tbl>
    <w:p/>
    <w:p/>
    <w:p/>
    <w:bookmarkEnd w:id="34"/>
    <w:bookmarkStart w:id="35" w:name="Xafc2bdb3e3309c0f432bc16c4ef8353ae690c99"/>
    <w:p>
      <w:pPr>
        <w:pStyle w:val="Heading4"/>
      </w:pPr>
      <w:r>
        <w:t xml:space="preserve">Critical 2 —</w:t>
      </w:r>
      <w:r>
        <w:t xml:space="preserve"> </w:t>
      </w:r>
      <w:r>
        <w:rPr>
          <w:rStyle w:val="VerbatimChar"/>
        </w:rPr>
        <w:t xml:space="preserve">/setup</w:t>
      </w:r>
      <w:r>
        <w:t xml:space="preserve"> </w:t>
      </w:r>
      <w:r>
        <w:t xml:space="preserve">bypasses the portal's only gate, and no</w:t>
      </w:r>
      <w:r>
        <w:t xml:space="preserve"> </w:t>
      </w:r>
      <w:r>
        <w:rPr>
          <w:rStyle w:val="VerbatimChar"/>
        </w:rPr>
        <w:t xml:space="preserve">[Authorize]</w:t>
      </w:r>
      <w:r>
        <w:t xml:space="preserve"> </w:t>
      </w:r>
      <w:r>
        <w:t xml:space="preserve">attribute exists anywhere in the portal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b/>
                <w:bCs/>
              </w:rPr>
              <w:t xml:space="preserve">Critical 2</w:t>
            </w:r>
          </w:p>
        </w:tc>
        <w:tc>
          <w:tcPr/>
          <w:p>
            <w:pPr>
              <w:pStyle w:val="Compact"/>
            </w:pPr>
            <w:r>
              <w:rPr>
                <w:b/>
                <w:bCs/>
              </w:rPr>
              <w:t xml:space="preserve">Critical</w:t>
            </w:r>
            <w:r>
              <w:t xml:space="preserve"> </w:t>
            </w:r>
            <w:r>
              <w:t xml:space="preserve">· component</w:t>
            </w:r>
            <w:r>
              <w:t xml:space="preserve"> </w:t>
            </w:r>
            <w:r>
              <w:rPr>
                <w:b/>
                <w:bCs/>
              </w:rPr>
              <w:t xml:space="preserve">OneTimePad</w:t>
            </w:r>
            <w:r>
              <w:t xml:space="preserve"> </w:t>
            </w:r>
            <w:r>
              <w:rPr>
                <w:i/>
                <w:iCs/>
              </w:rPr>
              <w:t xml:space="preserve">(product name</w:t>
            </w:r>
            <w:r>
              <w:rPr>
                <w:i/>
                <w:iCs/>
              </w:rPr>
              <w:t xml:space="preserve"> </w:t>
            </w:r>
            <w:r>
              <w:rPr>
                <w:b/>
                <w:bCs/>
                <w:i/>
                <w:iCs/>
              </w:rPr>
              <w:t xml:space="preserve">CypherKey</w:t>
            </w:r>
            <w:r>
              <w:rPr>
                <w:i/>
                <w:iCs/>
              </w:rPr>
              <w:t xml:space="preserve">)</w:t>
            </w:r>
          </w:p>
        </w:tc>
      </w:tr>
      <w:tr>
        <w:tc>
          <w:tcPr/>
          <w:p>
            <w:pPr>
              <w:pStyle w:val="Compact"/>
            </w:pPr>
            <w:r>
              <w:rPr>
                <w:b/>
                <w:bCs/>
              </w:rPr>
              <w:t xml:space="preserve">The issue</w:t>
            </w:r>
          </w:p>
        </w:tc>
        <w:tc>
          <w:tcPr/>
          <w:p>
            <w:pPr>
              <w:pStyle w:val="Compact"/>
            </w:pPr>
            <w:r>
              <w:rPr>
                <w:rStyle w:val="VerbatimChar"/>
              </w:rPr>
              <w:t xml:space="preserve">/setup</w:t>
            </w:r>
            <w:r>
              <w:t xml:space="preserve"> </w:t>
            </w:r>
            <w:r>
              <w:t xml:space="preserve">uses</w:t>
            </w:r>
            <w:r>
              <w:t xml:space="preserve"> </w:t>
            </w:r>
            <w:r>
              <w:rPr>
                <w:rStyle w:val="VerbatimChar"/>
              </w:rPr>
              <w:t xml:space="preserve">@layout EmptyLayout</w:t>
            </w:r>
            <w:r>
              <w:t xml:space="preserve">, bypassing the portal's only gate;</w:t>
            </w:r>
            <w:r>
              <w:t xml:space="preserve"> </w:t>
            </w:r>
            <w:r>
              <w:rPr>
                <w:b/>
                <w:bCs/>
              </w:rPr>
              <w:t xml:space="preserve">zero</w:t>
            </w:r>
            <w:r>
              <w:rPr>
                <w:b/>
                <w:bCs/>
              </w:rPr>
              <w:t xml:space="preserve"> </w:t>
            </w:r>
            <w:r>
              <w:rPr>
                <w:rStyle w:val="VerbatimChar"/>
                <w:b/>
                <w:bCs/>
              </w:rPr>
              <w:t xml:space="preserve">[Authorize]</w:t>
            </w:r>
            <w:r>
              <w:rPr>
                <w:b/>
                <w:bCs/>
              </w:rPr>
              <w:t xml:space="preserve"> </w:t>
            </w:r>
            <w:r>
              <w:rPr>
                <w:b/>
                <w:bCs/>
              </w:rPr>
              <w:t xml:space="preserve">attributes anywhere in the portal</w:t>
            </w:r>
            <w:r>
              <w:t xml:space="preserve">; with no session the API client attaches the portal's own</w:t>
            </w:r>
            <w:r>
              <w:t xml:space="preserve"> </w:t>
            </w:r>
            <w:r>
              <w:rPr>
                <w:rStyle w:val="VerbatimChar"/>
              </w:rPr>
              <w:t xml:space="preserve">X-Admin-Key</w:t>
            </w:r>
            <w:r>
              <w:t xml:space="preserve">, and the server registers that scheme whenever the deployment is not hardened — which the demonstration deployment is not.</w:t>
            </w:r>
          </w:p>
        </w:tc>
      </w:tr>
      <w:tr>
        <w:tc>
          <w:tcPr/>
          <w:p>
            <w:pPr>
              <w:pStyle w:val="Compact"/>
            </w:pPr>
            <w:r>
              <w:rPr>
                <w:b/>
                <w:bCs/>
              </w:rPr>
              <w:t xml:space="preserve">Suggested fix</w:t>
            </w:r>
          </w:p>
        </w:tc>
        <w:tc>
          <w:tcPr/>
          <w:p>
            <w:pPr>
              <w:pStyle w:val="Compact"/>
            </w:pPr>
            <w:r>
              <w:t xml:space="preserve">Put a real authorisation gate on the portal rather than relying on a layout — the portal has none at all — and stop registering the admin-key scheme in any deployment that is reachable from outside.</w:t>
            </w:r>
          </w:p>
        </w:tc>
      </w:tr>
      <w:tr>
        <w:tc>
          <w:tcPr/>
          <w:p>
            <w:pPr>
              <w:pStyle w:val="Compact"/>
            </w:pPr>
            <w:r>
              <w:rPr>
                <w:b/>
                <w:bCs/>
              </w:rPr>
              <w:t xml:space="preserve">What was tested</w:t>
            </w:r>
          </w:p>
        </w:tc>
        <w:tc>
          <w:tcPr/>
          <w:p>
            <w:pPr>
              <w:pStyle w:val="Compact"/>
            </w:pPr>
            <w:r>
              <w:t xml:space="preserve">The</w:t>
            </w:r>
            <w:r>
              <w:t xml:space="preserve"> </w:t>
            </w:r>
            <w:r>
              <w:rPr>
                <w:b/>
                <w:bCs/>
              </w:rPr>
              <w:t xml:space="preserve">OneTimePad</w:t>
            </w:r>
            <w:r>
              <w:t xml:space="preserve"> </w:t>
            </w:r>
            <w:r>
              <w:t xml:space="preserve">administration portal and the authentication server's scheme registration, as provided in the source snapshot. The claim under test: that the layout is the portal's only gate, that no</w:t>
            </w:r>
            <w:r>
              <w:t xml:space="preserve"> </w:t>
            </w:r>
            <w:r>
              <w:rPr>
                <w:rStyle w:val="VerbatimChar"/>
              </w:rPr>
              <w:t xml:space="preserve">[Authorize]</w:t>
            </w:r>
            <w:r>
              <w:t xml:space="preserve"> </w:t>
            </w:r>
            <w:r>
              <w:t xml:space="preserve">attribute exists anywhere in it, and that the admin-key scheme is registered when the deployment is not hardened. Artefacts read: the</w:t>
            </w:r>
            <w:r>
              <w:t xml:space="preserve"> </w:t>
            </w:r>
            <w:r>
              <w:rPr>
                <w:rStyle w:val="VerbatimChar"/>
              </w:rPr>
              <w:t xml:space="preserve">/setup</w:t>
            </w:r>
            <w:r>
              <w:t xml:space="preserve"> </w:t>
            </w:r>
            <w:r>
              <w:t xml:space="preserve">page and its</w:t>
            </w:r>
            <w:r>
              <w:t xml:space="preserve"> </w:t>
            </w:r>
            <w:r>
              <w:rPr>
                <w:rStyle w:val="VerbatimChar"/>
              </w:rPr>
              <w:t xml:space="preserve">@layout EmptyLayout</w:t>
            </w:r>
            <w:r>
              <w:t xml:space="preserve"> </w:t>
            </w:r>
            <w:r>
              <w:t xml:space="preserve">declaration · the portal's API client and its</w:t>
            </w:r>
            <w:r>
              <w:t xml:space="preserve"> </w:t>
            </w:r>
            <w:r>
              <w:rPr>
                <w:rStyle w:val="VerbatimChar"/>
              </w:rPr>
              <w:t xml:space="preserve">X-Admin-Key</w:t>
            </w:r>
            <w:r>
              <w:t xml:space="preserve"> </w:t>
            </w:r>
            <w:r>
              <w:t xml:space="preserve">attachment · the server's scheme registration and its hardening guard.</w:t>
            </w:r>
          </w:p>
        </w:tc>
      </w:tr>
      <w:tr>
        <w:tc>
          <w:tcPr/>
          <w:p>
            <w:pPr>
              <w:pStyle w:val="Compact"/>
            </w:pPr>
            <w:r>
              <w:rPr>
                <w:b/>
                <w:bCs/>
              </w:rPr>
              <w:t xml:space="preserve">How it was tested</w:t>
            </w:r>
          </w:p>
        </w:tc>
        <w:tc>
          <w:tcPr/>
          <w:p>
            <w:pPr>
              <w:pStyle w:val="Compact"/>
            </w:pPr>
            <w:r>
              <w:t xml:space="preserve">Static, read-only source review of the provided snapshot, followed by an independent verification pass by a reviewer who did not raise the finding (§4.1). The</w:t>
            </w:r>
            <w:r>
              <w:t xml:space="preserve"> </w:t>
            </w:r>
            <w:r>
              <w:rPr>
                <w:rStyle w:val="VerbatimChar"/>
              </w:rPr>
              <w:t xml:space="preserve">[Authorize]</w:t>
            </w:r>
            <w:r>
              <w:t xml:space="preserve"> </w:t>
            </w:r>
            <w:r>
              <w:t xml:space="preserve">absence is a census over the portal's source, not a sample.</w:t>
            </w:r>
            <w:r>
              <w:t xml:space="preserve"> </w:t>
            </w:r>
            <w:r>
              <w:rPr>
                <w:b/>
                <w:bCs/>
              </w:rPr>
              <w:t xml:space="preserve">This row is the one Critical in this register that is not closed statically:</w:t>
            </w:r>
            <w:r>
              <w:t xml:space="preserve"> </w:t>
            </w:r>
            <w:r>
              <w:t xml:space="preserve">whether the demonstration deployment actually exposes</w:t>
            </w:r>
            <w:r>
              <w:t xml:space="preserve"> </w:t>
            </w:r>
            <w:r>
              <w:rPr>
                <w:rStyle w:val="VerbatimChar"/>
              </w:rPr>
              <w:t xml:space="preserve">/setup</w:t>
            </w:r>
            <w:r>
              <w:t xml:space="preserve"> </w:t>
            </w:r>
            <w:r>
              <w:t xml:space="preserve">unauthenticated</w:t>
            </w:r>
            <w:r>
              <w:t xml:space="preserve"> </w:t>
            </w:r>
            <w:r>
              <w:rPr>
                <w:b/>
                <w:bCs/>
              </w:rPr>
              <w:t xml:space="preserve">needs one live check against the running demo</w:t>
            </w:r>
            <w:r>
              <w:t xml:space="preserve">, and that check is held. It is named as the next action at §4.2, open item 2.</w:t>
            </w:r>
            <w:r>
              <w:t xml:space="preserve"> </w:t>
            </w:r>
            <w:r>
              <w:rPr>
                <w:b/>
                <w:bCs/>
              </w:rPr>
              <w:t xml:space="preserve">The code defect is established; the exposure is not.</w:t>
            </w:r>
          </w:p>
        </w:tc>
      </w:tr>
      <w:tr>
        <w:tc>
          <w:tcPr/>
          <w:p>
            <w:pPr>
              <w:pStyle w:val="Compact"/>
            </w:pPr>
            <w:r>
              <w:rPr>
                <w:b/>
                <w:bCs/>
              </w:rPr>
              <w:t xml:space="preserve">How to resolve</w:t>
            </w:r>
          </w:p>
        </w:tc>
        <w:tc>
          <w:tcPr/>
          <w:p>
            <w:pPr>
              <w:pStyle w:val="Compact"/>
            </w:pPr>
            <w:r>
              <w:t xml:space="preserve">(1) Add a real authorisation gate —</w:t>
            </w:r>
            <w:r>
              <w:t xml:space="preserve"> </w:t>
            </w:r>
            <w:r>
              <w:rPr>
                <w:rStyle w:val="VerbatimChar"/>
              </w:rPr>
              <w:t xml:space="preserve">[Authorize]</w:t>
            </w:r>
            <w:r>
              <w:t xml:space="preserve"> </w:t>
            </w:r>
            <w:r>
              <w:t xml:space="preserve">with a policy, applied at the pipeline rather than per page — so that a layout choice cannot bypass it. (2) Do not register the</w:t>
            </w:r>
            <w:r>
              <w:t xml:space="preserve"> </w:t>
            </w:r>
            <w:r>
              <w:rPr>
                <w:rStyle w:val="VerbatimChar"/>
              </w:rPr>
              <w:t xml:space="preserve">X-Admin-Key</w:t>
            </w:r>
            <w:r>
              <w:t xml:space="preserve"> </w:t>
            </w:r>
            <w:r>
              <w:t xml:space="preserve">scheme in any deployment reachable from outside; if a bootstrap path is required, bind it to a one-time token that expires when setup completes. (3) Serve only the setup wizard until first-run completes, and 401 everything else, rather than leaving the gate open globally. (4) Run the live check on the demonstration deployment and record the result on this row, because it decides whether this is an exposure today or a latent defect.</w:t>
            </w:r>
            <w:r>
              <w:t xml:space="preserve"> </w:t>
            </w:r>
            <w:r>
              <w:rPr>
                <w:i/>
                <w:iCs/>
              </w:rPr>
              <w:t xml:space="preserve">(Derived from the finding as measured; the source review file records the defect, and the exposure question is recorded as an open item rather than answered.)</w:t>
            </w:r>
          </w:p>
        </w:tc>
      </w:tr>
    </w:tbl>
    <w:p/>
    <w:p/>
    <w:p/>
    <w:bookmarkEnd w:id="35"/>
    <w:bookmarkStart w:id="36" w:name="X23bafb5061d885f525cc3b86c00a47a930100cb"/>
    <w:p>
      <w:pPr>
        <w:pStyle w:val="Heading4"/>
      </w:pPr>
      <w:r>
        <w:t xml:space="preserve">Critical 3–6 — The 68-endpoint</w:t>
      </w:r>
      <w:r>
        <w:t xml:space="preserve"> </w:t>
      </w:r>
      <w:r>
        <w:rPr>
          <w:rStyle w:val="VerbatimChar"/>
        </w:rPr>
        <w:t xml:space="preserve">actions/</w:t>
      </w:r>
      <w:r>
        <w:t xml:space="preserve"> </w:t>
      </w:r>
      <w:r>
        <w:t xml:space="preserve">API is entirely unauthenticated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b/>
                <w:bCs/>
              </w:rPr>
              <w:t xml:space="preserve">Critical 3–6</w:t>
            </w:r>
          </w:p>
        </w:tc>
        <w:tc>
          <w:tcPr/>
          <w:p>
            <w:pPr>
              <w:pStyle w:val="Compact"/>
            </w:pPr>
            <w:r>
              <w:rPr>
                <w:b/>
                <w:bCs/>
              </w:rPr>
              <w:t xml:space="preserve">Critical</w:t>
            </w:r>
            <w:r>
              <w:t xml:space="preserve"> </w:t>
            </w:r>
            <w:r>
              <w:t xml:space="preserve">· component</w:t>
            </w:r>
            <w:r>
              <w:t xml:space="preserve"> </w:t>
            </w:r>
            <w:r>
              <w:rPr>
                <w:b/>
                <w:bCs/>
              </w:rPr>
              <w:t xml:space="preserve">CryptixWebPortal</w:t>
            </w:r>
          </w:p>
        </w:tc>
      </w:tr>
      <w:tr>
        <w:tc>
          <w:tcPr/>
          <w:p>
            <w:pPr>
              <w:pStyle w:val="Compact"/>
            </w:pPr>
            <w:r>
              <w:rPr>
                <w:b/>
                <w:bCs/>
              </w:rPr>
              <w:t xml:space="preserve">The issue</w:t>
            </w:r>
          </w:p>
        </w:tc>
        <w:tc>
          <w:tcPr/>
          <w:p>
            <w:pPr>
              <w:pStyle w:val="Compact"/>
            </w:pPr>
            <w:r>
              <w:t xml:space="preserve">The</w:t>
            </w:r>
            <w:r>
              <w:t xml:space="preserve"> </w:t>
            </w:r>
            <w:r>
              <w:rPr>
                <w:b/>
                <w:bCs/>
              </w:rPr>
              <w:t xml:space="preserve">68-endpoint</w:t>
            </w:r>
            <w:r>
              <w:rPr>
                <w:b/>
                <w:bCs/>
              </w:rPr>
              <w:t xml:space="preserve"> </w:t>
            </w:r>
            <w:r>
              <w:rPr>
                <w:rStyle w:val="VerbatimChar"/>
                <w:b/>
                <w:bCs/>
              </w:rPr>
              <w:t xml:space="preserve">actions/</w:t>
            </w:r>
            <w:r>
              <w:rPr>
                <w:b/>
                <w:bCs/>
              </w:rPr>
              <w:t xml:space="preserve"> </w:t>
            </w:r>
            <w:r>
              <w:rPr>
                <w:b/>
                <w:bCs/>
              </w:rPr>
              <w:t xml:space="preserve">API is entirely unauthenticated</w:t>
            </w:r>
            <w:r>
              <w:t xml:space="preserve">, including</w:t>
            </w:r>
            <w:r>
              <w:t xml:space="preserve"> </w:t>
            </w:r>
            <w:r>
              <w:rPr>
                <w:rStyle w:val="VerbatimChar"/>
              </w:rPr>
              <w:t xml:space="preserve">unwrap.php</w:t>
            </w:r>
            <w:r>
              <w:t xml:space="preserve">, which takes a caller-supplied envelope UUID, fetches that envelope's decryption password on the caller's behalf, decrypts the wrapper and returns the files with web URLs — the exact inverse of the product's purpose. Plus: 23 unauthenticated</w:t>
            </w:r>
            <w:r>
              <w:t xml:space="preserve"> </w:t>
            </w:r>
            <w:r>
              <w:rPr>
                <w:rStyle w:val="VerbatimChar"/>
              </w:rPr>
              <w:t xml:space="preserve">admin2</w:t>
            </w:r>
            <w:r>
              <w:t xml:space="preserve"> </w:t>
            </w:r>
            <w:r>
              <w:t xml:space="preserve">actions (including</w:t>
            </w:r>
            <w:r>
              <w:t xml:space="preserve"> </w:t>
            </w:r>
            <w:r>
              <w:rPr>
                <w:rStyle w:val="VerbatimChar"/>
              </w:rPr>
              <w:t xml:space="preserve">delete-company</w:t>
            </w:r>
            <w:r>
              <w:t xml:space="preserve">); three unauthenticated upload paths into the web root with the filename sanitiser commented out; and a SQLite database of per-tenant TokenOne API and signing keys served from the web root.</w:t>
            </w:r>
          </w:p>
        </w:tc>
      </w:tr>
      <w:tr>
        <w:tc>
          <w:tcPr/>
          <w:p>
            <w:pPr>
              <w:pStyle w:val="Compact"/>
            </w:pPr>
            <w:r>
              <w:rPr>
                <w:b/>
                <w:bCs/>
              </w:rPr>
              <w:t xml:space="preserve">Suggested fix</w:t>
            </w:r>
          </w:p>
        </w:tc>
        <w:tc>
          <w:tcPr/>
          <w:p>
            <w:pPr>
              <w:pStyle w:val="Compact"/>
            </w:pPr>
            <w:r>
              <w:t xml:space="preserve">If the App Service is live, take it offline or put it behind an authenticating proxy</w:t>
            </w:r>
            <w:r>
              <w:t xml:space="preserve"> </w:t>
            </w:r>
            <w:r>
              <w:rPr>
                <w:b/>
                <w:bCs/>
              </w:rPr>
              <w:t xml:space="preserve">before any code change</w:t>
            </w:r>
            <w:r>
              <w:t xml:space="preserve">, then add the authentication bootstrap the component already contains at two files to every endpoint under</w:t>
            </w:r>
            <w:r>
              <w:t xml:space="preserve"> </w:t>
            </w:r>
            <w:r>
              <w:rPr>
                <w:rStyle w:val="VerbatimChar"/>
              </w:rPr>
              <w:t xml:space="preserve">actions/</w:t>
            </w:r>
            <w:r>
              <w:t xml:space="preserve">, and rotate every credential in the exposed key database.</w:t>
            </w:r>
          </w:p>
        </w:tc>
      </w:tr>
      <w:tr>
        <w:tc>
          <w:tcPr/>
          <w:p>
            <w:pPr>
              <w:pStyle w:val="Compact"/>
            </w:pPr>
            <w:r>
              <w:rPr>
                <w:b/>
                <w:bCs/>
              </w:rPr>
              <w:t xml:space="preserve">What was tested</w:t>
            </w:r>
          </w:p>
        </w:tc>
        <w:tc>
          <w:tcPr/>
          <w:p>
            <w:pPr>
              <w:pStyle w:val="Compact"/>
            </w:pPr>
            <w:r>
              <w:t xml:space="preserve">The</w:t>
            </w:r>
            <w:r>
              <w:t xml:space="preserve"> </w:t>
            </w:r>
            <w:r>
              <w:rPr>
                <w:b/>
                <w:bCs/>
              </w:rPr>
              <w:t xml:space="preserve">CryptixWebPortal</w:t>
            </w:r>
            <w:r>
              <w:t xml:space="preserve"> </w:t>
            </w:r>
            <w:r>
              <w:t xml:space="preserve">PHP application, as provided in the source snapshot: the</w:t>
            </w:r>
            <w:r>
              <w:t xml:space="preserve"> </w:t>
            </w:r>
            <w:r>
              <w:rPr>
                <w:rStyle w:val="VerbatimChar"/>
              </w:rPr>
              <w:t xml:space="preserve">actions/</w:t>
            </w:r>
            <w:r>
              <w:t xml:space="preserve"> </w:t>
            </w:r>
            <w:r>
              <w:t xml:space="preserve">endpoint set, the</w:t>
            </w:r>
            <w:r>
              <w:t xml:space="preserve"> </w:t>
            </w:r>
            <w:r>
              <w:rPr>
                <w:rStyle w:val="VerbatimChar"/>
              </w:rPr>
              <w:t xml:space="preserve">admin2</w:t>
            </w:r>
            <w:r>
              <w:t xml:space="preserve"> </w:t>
            </w:r>
            <w:r>
              <w:t xml:space="preserve">dispatcher, the three upload paths, and the committed key database. The claim under test: that no authentication guard runs on those endpoints. Artefacts read at the cited lines: every file under</w:t>
            </w:r>
            <w:r>
              <w:t xml:space="preserve"> </w:t>
            </w:r>
            <w:r>
              <w:rPr>
                <w:rStyle w:val="VerbatimChar"/>
              </w:rPr>
              <w:t xml:space="preserve">actions/</w:t>
            </w:r>
            <w:r>
              <w:t xml:space="preserve"> </w:t>
            </w:r>
            <w:r>
              <w:t xml:space="preserve">(68) ·</w:t>
            </w:r>
            <w:r>
              <w:t xml:space="preserve"> </w:t>
            </w:r>
            <w:r>
              <w:rPr>
                <w:rStyle w:val="VerbatimChar"/>
              </w:rPr>
              <w:t xml:space="preserve">admin2/endpoints.php:7</w:t>
            </w:r>
            <w:r>
              <w:t xml:space="preserve"> </w:t>
            </w:r>
            <w:r>
              <w:t xml:space="preserve">and its 23 handlers ·</w:t>
            </w:r>
            <w:r>
              <w:t xml:space="preserve"> </w:t>
            </w:r>
            <w:r>
              <w:rPr>
                <w:rStyle w:val="VerbatimChar"/>
              </w:rPr>
              <w:t xml:space="preserve">upl.php</w:t>
            </w:r>
            <w:r>
              <w:t xml:space="preserve">,</w:t>
            </w:r>
            <w:r>
              <w:t xml:space="preserve"> </w:t>
            </w:r>
            <w:r>
              <w:rPr>
                <w:rStyle w:val="VerbatimChar"/>
              </w:rPr>
              <w:t xml:space="preserve">upload.php:56</w:t>
            </w:r>
            <w:r>
              <w:t xml:space="preserve"> </w:t>
            </w:r>
            <w:r>
              <w:t xml:space="preserve">and</w:t>
            </w:r>
            <w:r>
              <w:t xml:space="preserve"> </w:t>
            </w:r>
            <w:r>
              <w:rPr>
                <w:rStyle w:val="VerbatimChar"/>
              </w:rPr>
              <w:t xml:space="preserve">views/content/reply/</w:t>
            </w:r>
            <w:r>
              <w:t xml:space="preserve"> </w:t>
            </w:r>
            <w:r>
              <w:t xml:space="preserve">·</w:t>
            </w:r>
            <w:r>
              <w:t xml:space="preserve"> </w:t>
            </w:r>
            <w:r>
              <w:rPr>
                <w:rStyle w:val="VerbatimChar"/>
              </w:rPr>
              <w:t xml:space="preserve">admin2/tokenone_keys.db</w:t>
            </w:r>
            <w:r>
              <w:t xml:space="preserve"> </w:t>
            </w:r>
            <w:r>
              <w:t xml:space="preserve">· the two files that</w:t>
            </w:r>
            <w:r>
              <w:t xml:space="preserve"> </w:t>
            </w:r>
            <w:r>
              <w:rPr>
                <w:i/>
                <w:iCs/>
              </w:rPr>
              <w:t xml:space="preserve">do</w:t>
            </w:r>
            <w:r>
              <w:t xml:space="preserve"> </w:t>
            </w:r>
            <w:r>
              <w:t xml:space="preserve">carry the guard,</w:t>
            </w:r>
            <w:r>
              <w:t xml:space="preserve"> </w:t>
            </w:r>
            <w:r>
              <w:rPr>
                <w:rStyle w:val="VerbatimChar"/>
              </w:rPr>
              <w:t xml:space="preserve">download.php:10</w:t>
            </w:r>
            <w:r>
              <w:t xml:space="preserve"> </w:t>
            </w:r>
            <w:r>
              <w:t xml:space="preserve">and</w:t>
            </w:r>
            <w:r>
              <w:t xml:space="preserve"> </w:t>
            </w:r>
            <w:r>
              <w:rPr>
                <w:rStyle w:val="VerbatimChar"/>
              </w:rPr>
              <w:t xml:space="preserve">remove_file.php:9-10</w:t>
            </w:r>
            <w:r>
              <w:t xml:space="preserve">, which are the positive control.</w:t>
            </w:r>
          </w:p>
        </w:tc>
      </w:tr>
      <w:tr>
        <w:tc>
          <w:tcPr/>
          <w:p>
            <w:pPr>
              <w:pStyle w:val="Compact"/>
            </w:pPr>
            <w:r>
              <w:rPr>
                <w:b/>
                <w:bCs/>
              </w:rPr>
              <w:t xml:space="preserve">How it was tested</w:t>
            </w:r>
          </w:p>
        </w:tc>
        <w:tc>
          <w:tcPr/>
          <w:p>
            <w:pPr>
              <w:pStyle w:val="Compact"/>
            </w:pPr>
            <w:r>
              <w:t xml:space="preserve">Static, read-only source review of the provided snapshot — the endpoint set was enumerated, not sampled — followed by an independent verification pass by a reviewer who did not raise the finding: twenty-eight confirmations, no refutations, one down-score and</w:t>
            </w:r>
            <w:r>
              <w:t xml:space="preserve"> </w:t>
            </w:r>
            <w:r>
              <w:rPr>
                <w:b/>
                <w:bCs/>
              </w:rPr>
              <w:t xml:space="preserve">three new findings raised by the verifier</w:t>
            </w:r>
            <w:r>
              <w:t xml:space="preserve"> </w:t>
            </w:r>
            <w:r>
              <w:t xml:space="preserve">(§4.1).</w:t>
            </w:r>
            <w:r>
              <w:t xml:space="preserve"> </w:t>
            </w:r>
            <w:r>
              <w:rPr>
                <w:b/>
                <w:bCs/>
              </w:rPr>
              <w:t xml:space="preserve">Verification made one of these worse rather than better:</w:t>
            </w:r>
            <w:r>
              <w:t xml:space="preserve"> </w:t>
            </w:r>
            <w:r>
              <w:t xml:space="preserve">the exposed key database holds</w:t>
            </w:r>
            <w:r>
              <w:t xml:space="preserve"> </w:t>
            </w:r>
            <w:r>
              <w:rPr>
                <w:b/>
                <w:bCs/>
              </w:rPr>
              <w:t xml:space="preserve">nineteen rows, not roughly eight</w:t>
            </w:r>
            <w:r>
              <w:t xml:space="preserve"> </w:t>
            </w:r>
            <w:r>
              <w:t xml:space="preserve">(§4.1.2). The two guarded files are what make the absence a measurement rather than an impression: the pattern exists in this codebase and is simply not applied to the other sixty-eight.</w:t>
            </w:r>
          </w:p>
        </w:tc>
      </w:tr>
      <w:tr>
        <w:tc>
          <w:tcPr/>
          <w:p>
            <w:pPr>
              <w:pStyle w:val="Compact"/>
            </w:pPr>
            <w:r>
              <w:rPr>
                <w:b/>
                <w:bCs/>
              </w:rPr>
              <w:t xml:space="preserve">How to resolve</w:t>
            </w:r>
          </w:p>
        </w:tc>
        <w:tc>
          <w:tcPr/>
          <w:p>
            <w:pPr>
              <w:pStyle w:val="Compact"/>
            </w:pPr>
            <w:r>
              <w:t xml:space="preserve">(1)</w:t>
            </w:r>
            <w:r>
              <w:t xml:space="preserve"> </w:t>
            </w:r>
            <w:r>
              <w:rPr>
                <w:b/>
                <w:bCs/>
              </w:rPr>
              <w:t xml:space="preserve">Immediately, and before any code change:</w:t>
            </w:r>
            <w:r>
              <w:t xml:space="preserve"> </w:t>
            </w:r>
            <w:r>
              <w:t xml:space="preserve">if the App Service is live, take it offline or put it behind an authenticating reverse proxy or App Service Easy Auth. This is not a code-fix-first finding. (2) Add a single</w:t>
            </w:r>
            <w:r>
              <w:t xml:space="preserve"> </w:t>
            </w:r>
            <w:r>
              <w:rPr>
                <w:rStyle w:val="VerbatimChar"/>
              </w:rPr>
              <w:t xml:space="preserve">require_once</w:t>
            </w:r>
            <w:r>
              <w:t xml:space="preserve"> </w:t>
            </w:r>
            <w:r>
              <w:t xml:space="preserve">bootstrap to every file under</w:t>
            </w:r>
            <w:r>
              <w:t xml:space="preserve"> </w:t>
            </w:r>
            <w:r>
              <w:rPr>
                <w:rStyle w:val="VerbatimChar"/>
              </w:rPr>
              <w:t xml:space="preserve">actions/</w:t>
            </w:r>
            <w:r>
              <w:t xml:space="preserve"> </w:t>
            </w:r>
            <w:r>
              <w:t xml:space="preserve">that calls</w:t>
            </w:r>
            <w:r>
              <w:t xml:space="preserve"> </w:t>
            </w:r>
            <w:r>
              <w:rPr>
                <w:rStyle w:val="VerbatimChar"/>
              </w:rPr>
              <w:t xml:space="preserve">checkPortalLoggedIn()</w:t>
            </w:r>
            <w:r>
              <w:t xml:space="preserve"> </w:t>
            </w:r>
            <w:r>
              <w:t xml:space="preserve">— and</w:t>
            </w:r>
            <w:r>
              <w:t xml:space="preserve"> </w:t>
            </w:r>
            <w:r>
              <w:rPr>
                <w:rStyle w:val="VerbatimChar"/>
              </w:rPr>
              <w:t xml:space="preserve">restrictReaderPermission()</w:t>
            </w:r>
            <w:r>
              <w:t xml:space="preserve"> </w:t>
            </w:r>
            <w:r>
              <w:t xml:space="preserve">where privilege matters —</w:t>
            </w:r>
            <w:r>
              <w:t xml:space="preserve"> </w:t>
            </w:r>
            <w:r>
              <w:rPr>
                <w:b/>
                <w:bCs/>
              </w:rPr>
              <w:t xml:space="preserve">before any other statement</w:t>
            </w:r>
            <w:r>
              <w:t xml:space="preserve">; the pattern already exists at</w:t>
            </w:r>
            <w:r>
              <w:t xml:space="preserve"> </w:t>
            </w:r>
            <w:r>
              <w:rPr>
                <w:rStyle w:val="VerbatimChar"/>
              </w:rPr>
              <w:t xml:space="preserve">download.php:10</w:t>
            </w:r>
            <w:r>
              <w:t xml:space="preserve"> </w:t>
            </w:r>
            <w:r>
              <w:t xml:space="preserve">and</w:t>
            </w:r>
            <w:r>
              <w:t xml:space="preserve"> </w:t>
            </w:r>
            <w:r>
              <w:rPr>
                <w:rStyle w:val="VerbatimChar"/>
              </w:rPr>
              <w:t xml:space="preserve">remove_file.php:9-10</w:t>
            </w:r>
            <w:r>
              <w:t xml:space="preserve">. (3) Add an ownership check in</w:t>
            </w:r>
            <w:r>
              <w:t xml:space="preserve"> </w:t>
            </w:r>
            <w:r>
              <w:rPr>
                <w:rStyle w:val="VerbatimChar"/>
              </w:rPr>
              <w:t xml:space="preserve">unwrap.php</w:t>
            </w:r>
            <w:r>
              <w:t xml:space="preserve">,</w:t>
            </w:r>
            <w:r>
              <w:t xml:space="preserve"> </w:t>
            </w:r>
            <w:r>
              <w:rPr>
                <w:rStyle w:val="VerbatimChar"/>
              </w:rPr>
              <w:t xml:space="preserve">file-unwrap.php</w:t>
            </w:r>
            <w:r>
              <w:t xml:space="preserve"> </w:t>
            </w:r>
            <w:r>
              <w:t xml:space="preserve">and</w:t>
            </w:r>
            <w:r>
              <w:t xml:space="preserve"> </w:t>
            </w:r>
            <w:r>
              <w:rPr>
                <w:rStyle w:val="VerbatimChar"/>
              </w:rPr>
              <w:t xml:space="preserve">advancedUnwrap.php</w:t>
            </w:r>
            <w:r>
              <w:t xml:space="preserve">: verify the session user is a recipient or creator of that UUID before decrypting. (4) Insert an</w:t>
            </w:r>
            <w:r>
              <w:t xml:space="preserve"> </w:t>
            </w:r>
            <w:r>
              <w:rPr>
                <w:rStyle w:val="VerbatimChar"/>
              </w:rPr>
              <w:t xml:space="preserve">Auth::isLoggedIn()</w:t>
            </w:r>
            <w:r>
              <w:t xml:space="preserve"> </w:t>
            </w:r>
            <w:r>
              <w:t xml:space="preserve">guard in</w:t>
            </w:r>
            <w:r>
              <w:t xml:space="preserve"> </w:t>
            </w:r>
            <w:r>
              <w:rPr>
                <w:rStyle w:val="VerbatimChar"/>
              </w:rPr>
              <w:t xml:space="preserve">admin2/endpoints.php</w:t>
            </w:r>
            <w:r>
              <w:t xml:space="preserve"> </w:t>
            </w:r>
            <w:r>
              <w:t xml:space="preserve">immediately after</w:t>
            </w:r>
            <w:r>
              <w:t xml:space="preserve"> </w:t>
            </w:r>
            <w:r>
              <w:rPr>
                <w:rStyle w:val="VerbatimChar"/>
              </w:rPr>
              <w:t xml:space="preserve">include_once "bootstrap.php"</w:t>
            </w:r>
            <w:r>
              <w:t xml:space="preserve">, returning 401 for everything except the three login actions, and add a role check on the company-scoped actions; add CSRF tokens at the same time, because the dispatcher accepts</w:t>
            </w:r>
            <w:r>
              <w:t xml:space="preserve"> </w:t>
            </w:r>
            <w:r>
              <w:rPr>
                <w:rStyle w:val="VerbatimChar"/>
              </w:rPr>
              <w:t xml:space="preserve">$_REQUEST</w:t>
            </w:r>
            <w:r>
              <w:t xml:space="preserve"> </w:t>
            </w:r>
            <w:r>
              <w:t xml:space="preserve">and every action is therefore also reachable by GET. (5) Delete</w:t>
            </w:r>
            <w:r>
              <w:t xml:space="preserve"> </w:t>
            </w:r>
            <w:r>
              <w:rPr>
                <w:rStyle w:val="VerbatimChar"/>
              </w:rPr>
              <w:t xml:space="preserve">upl.php</w:t>
            </w:r>
            <w:r>
              <w:t xml:space="preserve"> </w:t>
            </w:r>
            <w:r>
              <w:t xml:space="preserve">and</w:t>
            </w:r>
            <w:r>
              <w:t xml:space="preserve"> </w:t>
            </w:r>
            <w:r>
              <w:rPr>
                <w:rStyle w:val="VerbatimChar"/>
              </w:rPr>
              <w:t xml:space="preserve">views/content/reply/</w:t>
            </w:r>
            <w:r>
              <w:t xml:space="preserve"> </w:t>
            </w:r>
            <w:r>
              <w:t xml:space="preserve">outright — both are legacy and the current UI uses</w:t>
            </w:r>
            <w:r>
              <w:t xml:space="preserve"> </w:t>
            </w:r>
            <w:r>
              <w:rPr>
                <w:rStyle w:val="VerbatimChar"/>
              </w:rPr>
              <w:t xml:space="preserve">upload.php</w:t>
            </w:r>
            <w:r>
              <w:t xml:space="preserve">; on</w:t>
            </w:r>
            <w:r>
              <w:t xml:space="preserve"> </w:t>
            </w:r>
            <w:r>
              <w:rPr>
                <w:rStyle w:val="VerbatimChar"/>
              </w:rPr>
              <w:t xml:space="preserve">upload.php</w:t>
            </w:r>
            <w:r>
              <w:t xml:space="preserve">, add the login check as the first statement, re-enable the commented sanitiser at</w:t>
            </w:r>
            <w:r>
              <w:t xml:space="preserve"> </w:t>
            </w:r>
            <w:r>
              <w:rPr>
                <w:rStyle w:val="VerbatimChar"/>
              </w:rPr>
              <w:t xml:space="preserve">:56</w:t>
            </w:r>
            <w:r>
              <w:t xml:space="preserve">, add a positive extension allow-list, move the target directory outside the document root, and validate the UUID. (6) Treat all nineteen rows of the key database as compromised and rotate them at the provider; delete the database, the</w:t>
            </w:r>
            <w:r>
              <w:t xml:space="preserve"> </w:t>
            </w:r>
            <w:r>
              <w:rPr>
                <w:rStyle w:val="VerbatimChar"/>
              </w:rPr>
              <w:t xml:space="preserve">forbidden/</w:t>
            </w:r>
            <w:r>
              <w:t xml:space="preserve"> </w:t>
            </w:r>
            <w:r>
              <w:t xml:space="preserve">and</w:t>
            </w:r>
            <w:r>
              <w:t xml:space="preserve"> </w:t>
            </w:r>
            <w:r>
              <w:rPr>
                <w:rStyle w:val="VerbatimChar"/>
              </w:rPr>
              <w:t xml:space="preserve">restricted/</w:t>
            </w:r>
            <w:r>
              <w:t xml:space="preserve"> </w:t>
            </w:r>
            <w:r>
              <w:t xml:space="preserve">directories and both log files from the repository, then purge them from history.</w:t>
            </w:r>
            <w:r>
              <w:t xml:space="preserve"> </w:t>
            </w:r>
            <w:r>
              <w:rPr>
                <w:i/>
                <w:iCs/>
              </w:rPr>
              <w:t xml:space="preserve">(Recorded by the reviewer who raised the findings, in</w:t>
            </w:r>
            <w:r>
              <w:rPr>
                <w:i/>
                <w:iCs/>
              </w:rPr>
              <w:t xml:space="preserve"> </w:t>
            </w:r>
            <w:r>
              <w:rPr>
                <w:rStyle w:val="VerbatimChar"/>
                <w:i/>
                <w:iCs/>
              </w:rPr>
              <w:t xml:space="preserve">findings-seed-2026-09/cryptixwebportal-main.md</w:t>
            </w:r>
            <w:r>
              <w:rPr>
                <w:i/>
                <w:iCs/>
              </w:rPr>
              <w:t xml:space="preserve">,</w:t>
            </w:r>
            <w:r>
              <w:rPr>
                <w:i/>
                <w:iCs/>
              </w:rPr>
              <w:t xml:space="preserve"> </w:t>
            </w:r>
            <w:r>
              <w:rPr>
                <w:rStyle w:val="VerbatimChar"/>
                <w:i/>
                <w:iCs/>
              </w:rPr>
              <w:t xml:space="preserve">CRYPTIX-01</w:t>
            </w:r>
            <w:r>
              <w:rPr>
                <w:i/>
                <w:iCs/>
              </w:rPr>
              <w:t xml:space="preserve"> </w:t>
            </w:r>
            <w:r>
              <w:rPr>
                <w:i/>
                <w:iCs/>
              </w:rPr>
              <w:t xml:space="preserve">to</w:t>
            </w:r>
            <w:r>
              <w:rPr>
                <w:i/>
                <w:iCs/>
              </w:rPr>
              <w:t xml:space="preserve"> </w:t>
            </w:r>
            <w:r>
              <w:rPr>
                <w:rStyle w:val="VerbatimChar"/>
                <w:i/>
                <w:iCs/>
              </w:rPr>
              <w:t xml:space="preserve">CRYPTIX-04</w:t>
            </w:r>
            <w:r>
              <w:rPr>
                <w:i/>
                <w:iCs/>
              </w:rPr>
              <w:t xml:space="preserve">.)</w:t>
            </w:r>
          </w:p>
        </w:tc>
      </w:tr>
    </w:tbl>
    <w:p/>
    <w:p/>
    <w:p/>
    <w:bookmarkEnd w:id="36"/>
    <w:bookmarkStart w:id="37" w:name="Xa5f0b76712b689dd81b0787f2a72e9ace04d4f4"/>
    <w:p>
      <w:pPr>
        <w:pStyle w:val="Heading4"/>
      </w:pPr>
      <w:r>
        <w:t xml:space="preserve">Critical 11 —</w:t>
      </w:r>
      <w:r>
        <w:t xml:space="preserve"> </w:t>
      </w:r>
      <w:r>
        <w:rPr>
          <w:rStyle w:val="VerbatimChar"/>
        </w:rPr>
        <w:t xml:space="preserve">requireAuth</w:t>
      </w:r>
      <w:r>
        <w:t xml:space="preserve"> </w:t>
      </w:r>
      <w:r>
        <w:t xml:space="preserve">fails open, leaving all 175 routes unauthenticated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b/>
                <w:bCs/>
              </w:rPr>
              <w:t xml:space="preserve">Critical 11</w:t>
            </w:r>
          </w:p>
        </w:tc>
        <w:tc>
          <w:tcPr/>
          <w:p>
            <w:pPr>
              <w:pStyle w:val="Compact"/>
            </w:pPr>
            <w:r>
              <w:rPr>
                <w:b/>
                <w:bCs/>
              </w:rPr>
              <w:t xml:space="preserve">Critical</w:t>
            </w:r>
            <w:r>
              <w:t xml:space="preserve"> </w:t>
            </w:r>
            <w:r>
              <w:t xml:space="preserve">· component</w:t>
            </w:r>
            <w:r>
              <w:t xml:space="preserve"> </w:t>
            </w:r>
            <w:r>
              <w:rPr>
                <w:b/>
                <w:bCs/>
              </w:rPr>
              <w:t xml:space="preserve">Reporting Dashboard AU (NexusAI)</w:t>
            </w:r>
          </w:p>
        </w:tc>
      </w:tr>
      <w:tr>
        <w:tc>
          <w:tcPr/>
          <w:p>
            <w:pPr>
              <w:pStyle w:val="Compact"/>
            </w:pPr>
            <w:r>
              <w:rPr>
                <w:b/>
                <w:bCs/>
              </w:rPr>
              <w:t xml:space="preserve">The issue</w:t>
            </w:r>
          </w:p>
        </w:tc>
        <w:tc>
          <w:tcPr/>
          <w:p>
            <w:pPr>
              <w:pStyle w:val="Compact"/>
            </w:pPr>
            <w:r>
              <w:rPr>
                <w:rStyle w:val="VerbatimChar"/>
                <w:b/>
                <w:bCs/>
              </w:rPr>
              <w:t xml:space="preserve">requireAuth</w:t>
            </w:r>
            <w:r>
              <w:rPr>
                <w:b/>
                <w:bCs/>
              </w:rPr>
              <w:t xml:space="preserve"> </w:t>
            </w:r>
            <w:r>
              <w:rPr>
                <w:b/>
                <w:bCs/>
              </w:rPr>
              <w:t xml:space="preserve">fails open</w:t>
            </w:r>
            <w:r>
              <w:t xml:space="preserve"> </w:t>
            </w:r>
            <w:r>
              <w:t xml:space="preserve">—</w:t>
            </w:r>
            <w:r>
              <w:t xml:space="preserve"> </w:t>
            </w:r>
            <w:r>
              <w:rPr>
                <w:rStyle w:val="VerbatimChar"/>
              </w:rPr>
              <w:t xml:space="preserve">backend/server.js:2287-2292</w:t>
            </w:r>
            <w:r>
              <w:t xml:space="preserve">,</w:t>
            </w:r>
            <w:r>
              <w:t xml:space="preserve"> </w:t>
            </w:r>
            <w:r>
              <w:rPr>
                <w:rStyle w:val="VerbatimChar"/>
              </w:rPr>
              <w:t xml:space="preserve">if (!authEnforced) return next()</w:t>
            </w:r>
            <w:r>
              <w:t xml:space="preserve">, all 175 routes unauthenticated. This occurs on every fresh deployment until setup completes</w:t>
            </w:r>
            <w:r>
              <w:t xml:space="preserve"> </w:t>
            </w:r>
            <w:r>
              <w:rPr>
                <w:b/>
                <w:bCs/>
              </w:rPr>
              <w:t xml:space="preserve">and</w:t>
            </w:r>
            <w:r>
              <w:t xml:space="preserve"> </w:t>
            </w:r>
            <w:r>
              <w:t xml:space="preserve">from the outer</w:t>
            </w:r>
            <w:r>
              <w:t xml:space="preserve"> </w:t>
            </w:r>
            <w:r>
              <w:rPr>
                <w:rStyle w:val="VerbatimChar"/>
              </w:rPr>
              <w:t xml:space="preserve">catch</w:t>
            </w:r>
            <w:r>
              <w:t xml:space="preserve"> </w:t>
            </w:r>
            <w:r>
              <w:t xml:space="preserve">on any</w:t>
            </w:r>
            <w:r>
              <w:t xml:space="preserve"> </w:t>
            </w:r>
            <w:r>
              <w:rPr>
                <w:rStyle w:val="VerbatimChar"/>
              </w:rPr>
              <w:t xml:space="preserve">jsonStorage</w:t>
            </w:r>
            <w:r>
              <w:t xml:space="preserve"> </w:t>
            </w:r>
            <w:r>
              <w:t xml:space="preserve">error, so a correctly configured instance reverts to fully open on an Azure Files hiccup. Ingress is</w:t>
            </w:r>
            <w:r>
              <w:t xml:space="preserve"> </w:t>
            </w:r>
            <w:r>
              <w:rPr>
                <w:rStyle w:val="VerbatimChar"/>
              </w:rPr>
              <w:t xml:space="preserve">external: true</w:t>
            </w:r>
            <w:r>
              <w:t xml:space="preserve">.</w:t>
            </w:r>
          </w:p>
        </w:tc>
      </w:tr>
      <w:tr>
        <w:tc>
          <w:tcPr/>
          <w:p>
            <w:pPr>
              <w:pStyle w:val="Compact"/>
            </w:pPr>
            <w:r>
              <w:rPr>
                <w:b/>
                <w:bCs/>
              </w:rPr>
              <w:t xml:space="preserve">Suggested fix</w:t>
            </w:r>
          </w:p>
        </w:tc>
        <w:tc>
          <w:tcPr/>
          <w:p>
            <w:pPr>
              <w:pStyle w:val="Compact"/>
            </w:pPr>
            <w:r>
              <w:t xml:space="preserve">Invert the default so that</w:t>
            </w:r>
            <w:r>
              <w:t xml:space="preserve"> </w:t>
            </w:r>
            <w:r>
              <w:rPr>
                <w:rStyle w:val="VerbatimChar"/>
              </w:rPr>
              <w:t xml:space="preserve">isAuthEnforced()</w:t>
            </w:r>
            <w:r>
              <w:t xml:space="preserve"> </w:t>
            </w:r>
            <w:r>
              <w:t xml:space="preserve">returns</w:t>
            </w:r>
            <w:r>
              <w:t xml:space="preserve"> </w:t>
            </w:r>
            <w:r>
              <w:rPr>
                <w:rStyle w:val="VerbatimChar"/>
              </w:rPr>
              <w:t xml:space="preserve">true</w:t>
            </w:r>
            <w:r>
              <w:t xml:space="preserve"> </w:t>
            </w:r>
            <w:r>
              <w:t xml:space="preserve">unless it can positively read a stored</w:t>
            </w:r>
            <w:r>
              <w:t xml:space="preserve"> </w:t>
            </w:r>
            <w:r>
              <w:rPr>
                <w:rStyle w:val="VerbatimChar"/>
              </w:rPr>
              <w:t xml:space="preserve">false</w:t>
            </w:r>
            <w:r>
              <w:t xml:space="preserve">, make the</w:t>
            </w:r>
            <w:r>
              <w:t xml:space="preserve"> </w:t>
            </w:r>
            <w:r>
              <w:rPr>
                <w:rStyle w:val="VerbatimChar"/>
              </w:rPr>
              <w:t xml:space="preserve">catch</w:t>
            </w:r>
            <w:r>
              <w:t xml:space="preserve"> </w:t>
            </w:r>
            <w:r>
              <w:t xml:space="preserve">return</w:t>
            </w:r>
            <w:r>
              <w:t xml:space="preserve"> </w:t>
            </w:r>
            <w:r>
              <w:rPr>
                <w:rStyle w:val="VerbatimChar"/>
              </w:rPr>
              <w:t xml:space="preserve">true</w:t>
            </w:r>
            <w:r>
              <w:t xml:space="preserve">, and bound the open window structurally by serving only the first-run wizard until setup completes.</w:t>
            </w:r>
          </w:p>
        </w:tc>
      </w:tr>
      <w:tr>
        <w:tc>
          <w:tcPr/>
          <w:p>
            <w:pPr>
              <w:pStyle w:val="Compact"/>
            </w:pPr>
            <w:r>
              <w:rPr>
                <w:b/>
                <w:bCs/>
              </w:rPr>
              <w:t xml:space="preserve">What was tested</w:t>
            </w:r>
          </w:p>
        </w:tc>
        <w:tc>
          <w:tcPr/>
          <w:p>
            <w:pPr>
              <w:pStyle w:val="Compact"/>
            </w:pPr>
            <w:r>
              <w:t xml:space="preserve">The</w:t>
            </w:r>
            <w:r>
              <w:t xml:space="preserve"> </w:t>
            </w:r>
            <w:r>
              <w:rPr>
                <w:b/>
                <w:bCs/>
              </w:rPr>
              <w:t xml:space="preserve">Reporting Dashboard AU</w:t>
            </w:r>
            <w:r>
              <w:t xml:space="preserve"> </w:t>
            </w:r>
            <w:r>
              <w:t xml:space="preserve">(NexusAI) backend and its Azure Marketplace deployment template, as provided in the source snapshot. The claim under test: that the guard returns early when enforcement is not enabled, that the same state is reachable from an error path, and that ingress is external. Artefacts read at the cited lines:</w:t>
            </w:r>
            <w:r>
              <w:t xml:space="preserve"> </w:t>
            </w:r>
            <w:r>
              <w:rPr>
                <w:rStyle w:val="VerbatimChar"/>
              </w:rPr>
              <w:t xml:space="preserve">backend/server.js:2287-2292</w:t>
            </w:r>
            <w:r>
              <w:t xml:space="preserve"> </w:t>
            </w:r>
            <w:r>
              <w:t xml:space="preserve">and the 175 route registrations ·</w:t>
            </w:r>
            <w:r>
              <w:t xml:space="preserve"> </w:t>
            </w:r>
            <w:r>
              <w:rPr>
                <w:rStyle w:val="VerbatimChar"/>
              </w:rPr>
              <w:t xml:space="preserve">isAuthEnforced()</w:t>
            </w:r>
            <w:r>
              <w:t xml:space="preserve"> </w:t>
            </w:r>
            <w:r>
              <w:t xml:space="preserve">and its storage read · the outer error handler ·</w:t>
            </w:r>
            <w:r>
              <w:t xml:space="preserve"> </w:t>
            </w:r>
            <w:r>
              <w:rPr>
                <w:rStyle w:val="VerbatimChar"/>
              </w:rPr>
              <w:t xml:space="preserve">mainTemplate.json</w:t>
            </w:r>
            <w:r>
              <w:t xml:space="preserve"> </w:t>
            </w:r>
            <w:r>
              <w:t xml:space="preserve">and its</w:t>
            </w:r>
            <w:r>
              <w:t xml:space="preserve"> </w:t>
            </w:r>
            <w:r>
              <w:rPr>
                <w:rStyle w:val="VerbatimChar"/>
              </w:rPr>
              <w:t xml:space="preserve">external: true</w:t>
            </w:r>
            <w:r>
              <w:t xml:space="preserve"> </w:t>
            </w:r>
            <w:r>
              <w:t xml:space="preserve">ingress.</w:t>
            </w:r>
          </w:p>
        </w:tc>
      </w:tr>
      <w:tr>
        <w:tc>
          <w:tcPr/>
          <w:p>
            <w:pPr>
              <w:pStyle w:val="Compact"/>
            </w:pPr>
            <w:r>
              <w:rPr>
                <w:b/>
                <w:bCs/>
              </w:rPr>
              <w:t xml:space="preserve">How it was tested</w:t>
            </w:r>
          </w:p>
        </w:tc>
        <w:tc>
          <w:tcPr/>
          <w:p>
            <w:pPr>
              <w:pStyle w:val="Compact"/>
            </w:pPr>
            <w:r>
              <w:t xml:space="preserve">Static, read-only source review of the provided snapshot, followed by an independent verification pass by a reviewer who did not raise the finding: fifteen confirmations, no refutations, one down-score and one up-score for this component (§4.1).</w:t>
            </w:r>
            <w:r>
              <w:t xml:space="preserve"> </w:t>
            </w:r>
            <w:r>
              <w:rPr>
                <w:b/>
                <w:bCs/>
              </w:rPr>
              <w:t xml:space="preserve">Verified at source by Wednesday.</w:t>
            </w:r>
            <w:r>
              <w:t xml:space="preserve"> </w:t>
            </w:r>
            <w:r>
              <w:rPr>
                <w:b/>
                <w:bCs/>
              </w:rPr>
              <w:t xml:space="preserve">Verification made this finding worse in a way that matters to whoever fixes it:</w:t>
            </w:r>
            <w:r>
              <w:t xml:space="preserve"> </w:t>
            </w:r>
            <w:r>
              <w:t xml:space="preserve">the fail-open behaviour is confirmed, but</w:t>
            </w:r>
            <w:r>
              <w:t xml:space="preserve"> </w:t>
            </w:r>
            <w:r>
              <w:rPr>
                <w:b/>
                <w:bCs/>
              </w:rPr>
              <w:t xml:space="preserve">the finder's stated mechanism for the second path was wrong — it is not the outer error handler — so a fix written against the report as filed would have missed it</w:t>
            </w:r>
            <w:r>
              <w:t xml:space="preserve"> </w:t>
            </w:r>
            <w:r>
              <w:t xml:space="preserve">(§4.1.2). The count of routes and the ingress setting were read rather than accepted.</w:t>
            </w:r>
          </w:p>
        </w:tc>
      </w:tr>
      <w:tr>
        <w:tc>
          <w:tcPr/>
          <w:p>
            <w:pPr>
              <w:pStyle w:val="Compact"/>
            </w:pPr>
            <w:r>
              <w:rPr>
                <w:b/>
                <w:bCs/>
              </w:rPr>
              <w:t xml:space="preserve">How to resolve</w:t>
            </w:r>
          </w:p>
        </w:tc>
        <w:tc>
          <w:tcPr/>
          <w:p>
            <w:pPr>
              <w:pStyle w:val="Compact"/>
            </w:pPr>
            <w:r>
              <w:t xml:space="preserve">(1)</w:t>
            </w:r>
            <w:r>
              <w:t xml:space="preserve"> </w:t>
            </w:r>
            <w:r>
              <w:rPr>
                <w:b/>
                <w:bCs/>
              </w:rPr>
              <w:t xml:space="preserve">Invert the default.</w:t>
            </w:r>
            <w:r>
              <w:t xml:space="preserve"> </w:t>
            </w:r>
            <w:r>
              <w:rPr>
                <w:rStyle w:val="VerbatimChar"/>
              </w:rPr>
              <w:t xml:space="preserve">isAuthEnforced()</w:t>
            </w:r>
            <w:r>
              <w:t xml:space="preserve"> </w:t>
            </w:r>
            <w:r>
              <w:t xml:space="preserve">must return</w:t>
            </w:r>
            <w:r>
              <w:t xml:space="preserve"> </w:t>
            </w:r>
            <w:r>
              <w:rPr>
                <w:rStyle w:val="VerbatimChar"/>
              </w:rPr>
              <w:t xml:space="preserve">true</w:t>
            </w:r>
            <w:r>
              <w:t xml:space="preserve"> </w:t>
            </w:r>
            <w:r>
              <w:t xml:space="preserve">unless it can positively read a stored</w:t>
            </w:r>
            <w:r>
              <w:t xml:space="preserve"> </w:t>
            </w:r>
            <w:r>
              <w:rPr>
                <w:rStyle w:val="VerbatimChar"/>
              </w:rPr>
              <w:t xml:space="preserve">authEnforced === false</w:t>
            </w:r>
            <w:r>
              <w:t xml:space="preserve">, and the</w:t>
            </w:r>
            <w:r>
              <w:t xml:space="preserve"> </w:t>
            </w:r>
            <w:r>
              <w:rPr>
                <w:rStyle w:val="VerbatimChar"/>
              </w:rPr>
              <w:t xml:space="preserve">catch</w:t>
            </w:r>
            <w:r>
              <w:t xml:space="preserve"> </w:t>
            </w:r>
            <w:r>
              <w:t xml:space="preserve">must return</w:t>
            </w:r>
            <w:r>
              <w:t xml:space="preserve"> </w:t>
            </w:r>
            <w:r>
              <w:rPr>
                <w:rStyle w:val="VerbatimChar"/>
              </w:rPr>
              <w:t xml:space="preserve">true</w:t>
            </w:r>
            <w:r>
              <w:t xml:space="preserve">, not</w:t>
            </w:r>
            <w:r>
              <w:t xml:space="preserve"> </w:t>
            </w:r>
            <w:r>
              <w:rPr>
                <w:rStyle w:val="VerbatimChar"/>
              </w:rPr>
              <w:t xml:space="preserve">false</w:t>
            </w:r>
            <w:r>
              <w:t xml:space="preserve">. (2)</w:t>
            </w:r>
            <w:r>
              <w:t xml:space="preserve"> </w:t>
            </w:r>
            <w:r>
              <w:rPr>
                <w:b/>
                <w:bCs/>
              </w:rPr>
              <w:t xml:space="preserve">Bound the open window structurally.</w:t>
            </w:r>
            <w:r>
              <w:t xml:space="preserve"> </w:t>
            </w:r>
            <w:r>
              <w:t xml:space="preserve">Before first-run completes, serve</w:t>
            </w:r>
            <w:r>
              <w:t xml:space="preserve"> </w:t>
            </w:r>
            <w:r>
              <w:rPr>
                <w:i/>
                <w:iCs/>
              </w:rPr>
              <w:t xml:space="preserve">only</w:t>
            </w:r>
            <w:r>
              <w:t xml:space="preserve"> </w:t>
            </w:r>
            <w:r>
              <w:t xml:space="preserve">the first-run wizard and its</w:t>
            </w:r>
            <w:r>
              <w:t xml:space="preserve"> </w:t>
            </w:r>
            <w:r>
              <w:rPr>
                <w:rStyle w:val="VerbatimChar"/>
              </w:rPr>
              <w:t xml:space="preserve">/api/setup/</w:t>
            </w:r>
            <w:r>
              <w:t xml:space="preserve"> </w:t>
            </w:r>
            <w:r>
              <w:t xml:space="preserve">routes and 401 or redirect everything else — do not</w:t>
            </w:r>
            <w:r>
              <w:t xml:space="preserve"> </w:t>
            </w:r>
            <w:r>
              <w:rPr>
                <w:rStyle w:val="VerbatimChar"/>
              </w:rPr>
              <w:t xml:space="preserve">next()</w:t>
            </w:r>
            <w:r>
              <w:t xml:space="preserve"> </w:t>
            </w:r>
            <w:r>
              <w:t xml:space="preserve">past the gate globally. (3)</w:t>
            </w:r>
            <w:r>
              <w:t xml:space="preserve"> </w:t>
            </w:r>
            <w:r>
              <w:rPr>
                <w:b/>
                <w:bCs/>
              </w:rPr>
              <w:t xml:space="preserve">Add a platform layer</w:t>
            </w:r>
            <w:r>
              <w:t xml:space="preserve"> </w:t>
            </w:r>
            <w:r>
              <w:t xml:space="preserve">so the application is not the only thing standing between the internet and the data: add a</w:t>
            </w:r>
            <w:r>
              <w:t xml:space="preserve"> </w:t>
            </w:r>
            <w:r>
              <w:rPr>
                <w:rStyle w:val="VerbatimChar"/>
              </w:rPr>
              <w:t xml:space="preserve">Microsoft.App/containerApps/authConfigs</w:t>
            </w:r>
            <w:r>
              <w:t xml:space="preserve"> </w:t>
            </w:r>
            <w:r>
              <w:t xml:space="preserve">resource to</w:t>
            </w:r>
            <w:r>
              <w:t xml:space="preserve"> </w:t>
            </w:r>
            <w:r>
              <w:rPr>
                <w:rStyle w:val="VerbatimChar"/>
              </w:rPr>
              <w:t xml:space="preserve">mainTemplate.json</w:t>
            </w:r>
            <w:r>
              <w:t xml:space="preserve"> </w:t>
            </w:r>
            <w:r>
              <w:t xml:space="preserve">with Entra and</w:t>
            </w:r>
            <w:r>
              <w:t xml:space="preserve"> </w:t>
            </w:r>
            <w:r>
              <w:rPr>
                <w:rStyle w:val="VerbatimChar"/>
              </w:rPr>
              <w:t xml:space="preserve">unauthenticatedClientAction: Return401</w:t>
            </w:r>
            <w:r>
              <w:t xml:space="preserve">, or bind</w:t>
            </w:r>
            <w:r>
              <w:t xml:space="preserve"> </w:t>
            </w:r>
            <w:r>
              <w:rPr>
                <w:rStyle w:val="VerbatimChar"/>
              </w:rPr>
              <w:t xml:space="preserve">ipSecurityRestrictions</w:t>
            </w:r>
            <w:r>
              <w:t xml:space="preserve"> </w:t>
            </w:r>
            <w:r>
              <w:t xml:space="preserve">to the customer's ranges. (4) Fix the second path against the mechanism the verifier established, not the one the finding as filed described.</w:t>
            </w:r>
            <w:r>
              <w:t xml:space="preserve"> </w:t>
            </w:r>
            <w:r>
              <w:rPr>
                <w:i/>
                <w:iCs/>
              </w:rPr>
              <w:t xml:space="preserve">(Recorded by the reviewer who raised the finding, in</w:t>
            </w:r>
            <w:r>
              <w:rPr>
                <w:i/>
                <w:iCs/>
              </w:rPr>
              <w:t xml:space="preserve"> </w:t>
            </w:r>
            <w:r>
              <w:rPr>
                <w:rStyle w:val="VerbatimChar"/>
                <w:i/>
                <w:iCs/>
              </w:rPr>
              <w:t xml:space="preserve">findings-seed-2026-09/reporting-dashboard-au-main.md</w:t>
            </w:r>
            <w:r>
              <w:rPr>
                <w:i/>
                <w:iCs/>
              </w:rPr>
              <w:t xml:space="preserve">,</w:t>
            </w:r>
            <w:r>
              <w:rPr>
                <w:i/>
                <w:iCs/>
              </w:rPr>
              <w:t xml:space="preserve"> </w:t>
            </w:r>
            <w:r>
              <w:rPr>
                <w:rStyle w:val="VerbatimChar"/>
                <w:i/>
                <w:iCs/>
              </w:rPr>
              <w:t xml:space="preserve">RD-01</w:t>
            </w:r>
            <w:r>
              <w:rPr>
                <w:i/>
                <w:iCs/>
              </w:rPr>
              <w:t xml:space="preserve">, with the mechanism corrected at verification.)</w:t>
            </w:r>
          </w:p>
        </w:tc>
      </w:tr>
    </w:tbl>
    <w:p/>
    <w:p/>
    <w:p/>
    <w:bookmarkEnd w:id="37"/>
    <w:bookmarkStart w:id="38" w:name="X4d9e0053de1e0e3dc36aff40167af5578e22c8a"/>
    <w:p>
      <w:pPr>
        <w:pStyle w:val="Heading4"/>
      </w:pPr>
      <w:r>
        <w:t xml:space="preserve">Critical 13 — Private keys derive from a public biometric plus an unstretched passphrase — with the correction that must be read alongside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b/>
                <w:bCs/>
              </w:rPr>
              <w:t xml:space="preserve">Critical 13</w:t>
            </w:r>
          </w:p>
        </w:tc>
        <w:tc>
          <w:tcPr/>
          <w:p>
            <w:pPr>
              <w:pStyle w:val="Compact"/>
            </w:pPr>
            <w:r>
              <w:rPr>
                <w:b/>
                <w:bCs/>
              </w:rPr>
              <w:t xml:space="preserve">Critical</w:t>
            </w:r>
            <w:r>
              <w:t xml:space="preserve"> </w:t>
            </w:r>
            <w:r>
              <w:t xml:space="preserve">· component</w:t>
            </w:r>
            <w:r>
              <w:t xml:space="preserve"> </w:t>
            </w:r>
            <w:r>
              <w:rPr>
                <w:b/>
                <w:bCs/>
              </w:rPr>
              <w:t xml:space="preserve">myPKI</w:t>
            </w:r>
            <w:r>
              <w:t xml:space="preserve"> </w:t>
            </w:r>
            <w:r>
              <w:t xml:space="preserve">·</w:t>
            </w:r>
            <w:r>
              <w:t xml:space="preserve"> </w:t>
            </w:r>
            <w:r>
              <w:rPr>
                <w:b/>
                <w:bCs/>
              </w:rPr>
              <w:t xml:space="preserve">rescore to High proposed 2026-09-08 and deliberately NOT applied</w:t>
            </w:r>
          </w:p>
        </w:tc>
      </w:tr>
      <w:tr>
        <w:tc>
          <w:tcPr/>
          <w:p>
            <w:pPr>
              <w:pStyle w:val="Compact"/>
            </w:pPr>
            <w:r>
              <w:rPr>
                <w:b/>
                <w:bCs/>
              </w:rPr>
              <w:t xml:space="preserve">The issue</w:t>
            </w:r>
          </w:p>
        </w:tc>
        <w:tc>
          <w:tcPr/>
          <w:p>
            <w:pPr>
              <w:pStyle w:val="Compact"/>
            </w:pPr>
            <w:r>
              <w:rPr>
                <w:i/>
                <w:iCs/>
              </w:rPr>
              <w:t xml:space="preserve">As filed:</w:t>
            </w:r>
            <w:r>
              <w:t xml:space="preserve"> </w:t>
            </w:r>
            <w:r>
              <w:t xml:space="preserve">"Every private key the product issues derives from</w:t>
            </w:r>
            <w:r>
              <w:t xml:space="preserve"> </w:t>
            </w:r>
            <w:r>
              <w:rPr>
                <w:rStyle w:val="VerbatimChar"/>
              </w:rPr>
              <w:t xml:space="preserve">SHA-512(face_descriptor + '|' + password)</w:t>
            </w:r>
            <w:r>
              <w:t xml:space="preserve"> </w:t>
            </w:r>
            <w:r>
              <w:t xml:space="preserve">— no KDF, no work factor, no stretching (</w:t>
            </w:r>
            <w:r>
              <w:rPr>
                <w:rStyle w:val="VerbatimChar"/>
              </w:rPr>
              <w:t xml:space="preserve">keyGenerator.js:15-33</w:t>
            </w:r>
            <w:r>
              <w:t xml:space="preserve">). The face descriptor is public information</w:t>
            </w:r>
            <w:r>
              <w:t xml:space="preserve"> </w:t>
            </w:r>
            <w:r>
              <w:rPr>
                <w:i/>
                <w:iCs/>
              </w:rPr>
              <w:t xml:space="preserve">by the product's own premise</w:t>
            </w:r>
            <w:r>
              <w:t xml:space="preserve">, so the key reduces to an unstretched passphrase, brute-forceable offline. For a PKI product this is the defining defect."</w:t>
            </w:r>
            <w:r>
              <w:t xml:space="preserve"> </w:t>
            </w:r>
            <w:r>
              <w:rPr>
                <w:b/>
                <w:bCs/>
              </w:rPr>
              <w:t xml:space="preserve">What re-derivation at source found is that the word "every" is false for the current path</w:t>
            </w:r>
            <w:r>
              <w:t xml:space="preserve">, and the three defects the finding should become are set out under</w:t>
            </w:r>
            <w:r>
              <w:t xml:space="preserve"> </w:t>
            </w:r>
            <w:r>
              <w:rPr>
                <w:i/>
                <w:iCs/>
              </w:rPr>
              <w:t xml:space="preserve">how to resolve</w:t>
            </w:r>
            <w:r>
              <w:t xml:space="preserve"> </w:t>
            </w:r>
            <w:r>
              <w:t xml:space="preserve">below.</w:t>
            </w:r>
          </w:p>
        </w:tc>
      </w:tr>
      <w:tr>
        <w:tc>
          <w:tcPr/>
          <w:p>
            <w:pPr>
              <w:pStyle w:val="Compact"/>
            </w:pPr>
            <w:r>
              <w:rPr>
                <w:b/>
                <w:bCs/>
              </w:rPr>
              <w:t xml:space="preserve">Suggested fix</w:t>
            </w:r>
          </w:p>
        </w:tc>
        <w:tc>
          <w:tcPr/>
          <w:p>
            <w:pPr>
              <w:pStyle w:val="Compact"/>
            </w:pPr>
            <w:r>
              <w:t xml:space="preserve">Replace the legacy derivation with a memory-hard key-derivation function and a real per-enrolment random salt, and separately fix the current path's password-derived salt —</w:t>
            </w:r>
            <w:r>
              <w:t xml:space="preserve"> </w:t>
            </w:r>
            <w:r>
              <w:rPr>
                <w:b/>
                <w:bCs/>
              </w:rPr>
              <w:t xml:space="preserve">but do not close this row on the rescore until a second reader has reviewed it</w:t>
            </w:r>
            <w:r>
              <w:t xml:space="preserve">, because a single verifier should not move a published Critical downward unreviewed.</w:t>
            </w:r>
          </w:p>
        </w:tc>
      </w:tr>
      <w:tr>
        <w:tc>
          <w:tcPr/>
          <w:p>
            <w:pPr>
              <w:pStyle w:val="Compact"/>
            </w:pPr>
            <w:r>
              <w:rPr>
                <w:b/>
                <w:bCs/>
              </w:rPr>
              <w:t xml:space="preserve">What was tested</w:t>
            </w:r>
          </w:p>
        </w:tc>
        <w:tc>
          <w:tcPr/>
          <w:p>
            <w:pPr>
              <w:pStyle w:val="Compact"/>
            </w:pPr>
            <w:r>
              <w:t xml:space="preserve">The</w:t>
            </w:r>
            <w:r>
              <w:t xml:space="preserve"> </w:t>
            </w:r>
            <w:r>
              <w:rPr>
                <w:b/>
                <w:bCs/>
              </w:rPr>
              <w:t xml:space="preserve">myPKI</w:t>
            </w:r>
            <w:r>
              <w:t xml:space="preserve"> </w:t>
            </w:r>
            <w:r>
              <w:t xml:space="preserve">key-generation and enrolment paths, as provided in the source snapshot: the legacy</w:t>
            </w:r>
            <w:r>
              <w:t xml:space="preserve"> </w:t>
            </w:r>
            <w:r>
              <w:rPr>
                <w:rStyle w:val="VerbatimChar"/>
              </w:rPr>
              <w:t xml:space="preserve">deriveSeed</w:t>
            </w:r>
            <w:r>
              <w:t xml:space="preserve"> </w:t>
            </w:r>
            <w:r>
              <w:t xml:space="preserve">branch and the current v2, v3 and v4 regeneration paths. The claim under test: that</w:t>
            </w:r>
            <w:r>
              <w:t xml:space="preserve"> </w:t>
            </w:r>
            <w:r>
              <w:rPr>
                <w:i/>
                <w:iCs/>
              </w:rPr>
              <w:t xml:space="preserve">every</w:t>
            </w:r>
            <w:r>
              <w:t xml:space="preserve"> </w:t>
            </w:r>
            <w:r>
              <w:t xml:space="preserve">issued private key derives from an unstretched hash of a public descriptor and a password. Artefacts read at the cited lines:</w:t>
            </w:r>
            <w:r>
              <w:t xml:space="preserve"> </w:t>
            </w:r>
            <w:r>
              <w:rPr>
                <w:rStyle w:val="VerbatimChar"/>
              </w:rPr>
              <w:t xml:space="preserve">keyGenerator.js:15-33</w:t>
            </w:r>
            <w:r>
              <w:t xml:space="preserve"> </w:t>
            </w:r>
            <w:r>
              <w:t xml:space="preserve">·</w:t>
            </w:r>
            <w:r>
              <w:t xml:space="preserve"> </w:t>
            </w:r>
            <w:r>
              <w:rPr>
                <w:rStyle w:val="VerbatimChar"/>
              </w:rPr>
              <w:t xml:space="preserve">server.js:404-410</w:t>
            </w:r>
            <w:r>
              <w:t xml:space="preserve"> </w:t>
            </w:r>
            <w:r>
              <w:t xml:space="preserve">(v4 multibit fuzzy-commitment enrolment),</w:t>
            </w:r>
            <w:r>
              <w:t xml:space="preserve"> </w:t>
            </w:r>
            <w:r>
              <w:rPr>
                <w:rStyle w:val="VerbatimChar"/>
              </w:rPr>
              <w:t xml:space="preserve">:545-595</w:t>
            </w:r>
            <w:r>
              <w:t xml:space="preserve"> </w:t>
            </w:r>
            <w:r>
              <w:t xml:space="preserve">(</w:t>
            </w:r>
            <w:r>
              <w:rPr>
                <w:rStyle w:val="VerbatimChar"/>
              </w:rPr>
              <w:t xml:space="preserve">generateKeysFromSeed</w:t>
            </w:r>
            <w:r>
              <w:t xml:space="preserve">),</w:t>
            </w:r>
            <w:r>
              <w:t xml:space="preserve"> </w:t>
            </w:r>
            <w:r>
              <w:rPr>
                <w:rStyle w:val="VerbatimChar"/>
              </w:rPr>
              <w:t xml:space="preserve">:648-667</w:t>
            </w:r>
            <w:r>
              <w:t xml:space="preserve"> </w:t>
            </w:r>
            <w:r>
              <w:t xml:space="preserve">(the legacy branch, response tagged</w:t>
            </w:r>
            <w:r>
              <w:t xml:space="preserve"> </w:t>
            </w:r>
            <w:r>
              <w:rPr>
                <w:rStyle w:val="VerbatimChar"/>
              </w:rPr>
              <w:t xml:space="preserve">_legacy</w:t>
            </w:r>
            <w:r>
              <w:t xml:space="preserve">) ·</w:t>
            </w:r>
            <w:r>
              <w:t xml:space="preserve"> </w:t>
            </w:r>
            <w:r>
              <w:rPr>
                <w:rStyle w:val="VerbatimChar"/>
              </w:rPr>
              <w:t xml:space="preserve">stableSeed.js:816-818,860,874-882</w:t>
            </w:r>
            <w:r>
              <w:t xml:space="preserve"> </w:t>
            </w:r>
            <w:r>
              <w:t xml:space="preserve">·</w:t>
            </w:r>
            <w:r>
              <w:t xml:space="preserve"> </w:t>
            </w:r>
            <w:r>
              <w:rPr>
                <w:rStyle w:val="VerbatimChar"/>
              </w:rPr>
              <w:t xml:space="preserve">bchCommitment.js:37-40,42-49,52-60</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followed by an independent verification pass by a reviewer who did not raise the finding: twelve confirmations, no refutations, one down-score (§4.1).</w:t>
            </w:r>
            <w:r>
              <w:t xml:space="preserve"> </w:t>
            </w:r>
            <w:r>
              <w:rPr>
                <w:b/>
                <w:bCs/>
              </w:rPr>
              <w:t xml:space="preserve">This is the single largest correction of the whole verification pass</w:t>
            </w:r>
            <w:r>
              <w:t xml:space="preserve"> </w:t>
            </w:r>
            <w:r>
              <w:t xml:space="preserve">(§4.1.1). The verifier read the fuzzy-commitment mathematics the finder had not read, and established that on all three current paths</w:t>
            </w:r>
            <w:r>
              <w:t xml:space="preserve"> </w:t>
            </w:r>
            <w:r>
              <w:rPr>
                <w:rStyle w:val="VerbatimChar"/>
              </w:rPr>
              <w:t xml:space="preserve">seed = SHA256(K) XOR PBKDF2(password, salt, 10000, 32, 'sha256')</w:t>
            </w:r>
            <w:r>
              <w:t xml:space="preserve"> </w:t>
            </w:r>
            <w:r>
              <w:t xml:space="preserve">where</w:t>
            </w:r>
            <w:r>
              <w:t xml:space="preserve"> </w:t>
            </w:r>
            <w:r>
              <w:rPr>
                <w:b/>
                <w:bCs/>
              </w:rPr>
              <w:t xml:space="preserve">K is</w:t>
            </w:r>
            <w:r>
              <w:rPr>
                <w:b/>
                <w:bCs/>
              </w:rPr>
              <w:t xml:space="preserve"> </w:t>
            </w:r>
            <w:r>
              <w:rPr>
                <w:rStyle w:val="VerbatimChar"/>
                <w:b/>
                <w:bCs/>
              </w:rPr>
              <w:t xml:space="preserve">crypto.randomBytes</w:t>
            </w:r>
            <w:r>
              <w:rPr>
                <w:b/>
                <w:bCs/>
              </w:rPr>
              <w:t xml:space="preserve">, not the face</w:t>
            </w:r>
            <w:r>
              <w:t xml:space="preserve"> </w:t>
            </w:r>
            <w:r>
              <w:t xml:space="preserve">— so there</w:t>
            </w:r>
            <w:r>
              <w:t xml:space="preserve"> </w:t>
            </w:r>
            <w:r>
              <w:rPr>
                <w:i/>
                <w:iCs/>
              </w:rPr>
              <w:t xml:space="preserve">is</w:t>
            </w:r>
            <w:r>
              <w:t xml:space="preserve"> </w:t>
            </w:r>
            <w:r>
              <w:t xml:space="preserve">a key-derivation function with a work factor and independent entropy, and the key does not reduce to</w:t>
            </w:r>
            <w:r>
              <w:t xml:space="preserve"> </w:t>
            </w:r>
            <w:r>
              <w:rPr>
                <w:rStyle w:val="VerbatimChar"/>
              </w:rPr>
              <w:t xml:space="preserve">SHA-512(descriptor|password)</w:t>
            </w:r>
            <w:r>
              <w:t xml:space="preserve">. The cited</w:t>
            </w:r>
            <w:r>
              <w:t xml:space="preserve"> </w:t>
            </w:r>
            <w:r>
              <w:rPr>
                <w:rStyle w:val="VerbatimChar"/>
              </w:rPr>
              <w:t xml:space="preserve">deriveSeed</w:t>
            </w:r>
            <w:r>
              <w:t xml:space="preserve"> </w:t>
            </w:r>
            <w:r>
              <w:t xml:space="preserve">survives only in the legacy branch.</w:t>
            </w:r>
            <w:r>
              <w:t xml:space="preserve"> </w:t>
            </w:r>
            <w:r>
              <w:rPr>
                <w:b/>
                <w:bCs/>
              </w:rPr>
              <w:t xml:space="preserve">What decides High versus Critical was not testable here:</w:t>
            </w:r>
            <w:r>
              <w:t xml:space="preserve"> </w:t>
            </w:r>
            <w:r>
              <w:t xml:space="preserve">how many deployed records still use the legacy path is a live question the tenant hold blocks.</w:t>
            </w:r>
            <w:r>
              <w:t xml:space="preserve"> </w:t>
            </w:r>
            <w:r>
              <w:rPr>
                <w:b/>
                <w:bCs/>
              </w:rPr>
              <w:t xml:space="preserve">The rescore is proposed, not applied, and the row stands at Critical</w:t>
            </w:r>
            <w:r>
              <w:t xml:space="preserve"> </w:t>
            </w:r>
            <w:r>
              <w:t xml:space="preserve">(§4.2, open item 1).</w:t>
            </w:r>
          </w:p>
        </w:tc>
      </w:tr>
      <w:tr>
        <w:tc>
          <w:tcPr/>
          <w:p>
            <w:pPr>
              <w:pStyle w:val="Compact"/>
            </w:pPr>
            <w:r>
              <w:rPr>
                <w:b/>
                <w:bCs/>
              </w:rPr>
              <w:t xml:space="preserve">How to resolve</w:t>
            </w:r>
          </w:p>
        </w:tc>
        <w:tc>
          <w:tcPr/>
          <w:p>
            <w:pPr>
              <w:pStyle w:val="Compact"/>
            </w:pPr>
            <w:r>
              <w:rPr>
                <w:b/>
                <w:bCs/>
              </w:rPr>
              <w:t xml:space="preserve">Three defects, which is what this finding should become.</w:t>
            </w:r>
            <w:r>
              <w:t xml:space="preserve"> </w:t>
            </w:r>
            <w:r>
              <w:t xml:space="preserve">(1) The legacy enrolment path is still shipped and still behaves exactly as filed — replace the</w:t>
            </w:r>
            <w:r>
              <w:t xml:space="preserve"> </w:t>
            </w:r>
            <w:r>
              <w:rPr>
                <w:rStyle w:val="VerbatimChar"/>
              </w:rPr>
              <w:t xml:space="preserve">SHA-512</w:t>
            </w:r>
            <w:r>
              <w:t xml:space="preserve"> </w:t>
            </w:r>
            <w:r>
              <w:t xml:space="preserve">chain with a memory-hard KDF (Argon2id, or scrypt with N ≥ 2^17) and a per-enrolment random salt stored beside the commitment, and migrate or retire the legacy records.</w:t>
            </w:r>
            <w:r>
              <w:t xml:space="preserve"> </w:t>
            </w:r>
            <w:r>
              <w:rPr>
                <w:b/>
                <w:bCs/>
              </w:rPr>
              <w:t xml:space="preserve">How many deployed records are legacy is the live question that decides this row's band.</w:t>
            </w:r>
            <w:r>
              <w:t xml:space="preserve"> </w:t>
            </w:r>
            <w:r>
              <w:t xml:space="preserve">(2)</w:t>
            </w:r>
            <w:r>
              <w:t xml:space="preserve"> </w:t>
            </w:r>
            <w:r>
              <w:rPr>
                <w:rStyle w:val="VerbatimChar"/>
              </w:rPr>
              <w:t xml:space="preserve">derivePasswordHash</w:t>
            </w:r>
            <w:r>
              <w:t xml:space="preserve"> </w:t>
            </w:r>
            <w:r>
              <w:t xml:space="preserve">uses</w:t>
            </w:r>
            <w:r>
              <w:t xml:space="preserve"> </w:t>
            </w:r>
            <w:r>
              <w:rPr>
                <w:rStyle w:val="VerbatimChar"/>
                <w:b/>
                <w:bCs/>
              </w:rPr>
              <w:t xml:space="preserve">SHA256(password)</w:t>
            </w:r>
            <w:r>
              <w:rPr>
                <w:b/>
                <w:bCs/>
              </w:rPr>
              <w:t xml:space="preserve"> </w:t>
            </w:r>
            <w:r>
              <w:rPr>
                <w:b/>
                <w:bCs/>
              </w:rPr>
              <w:t xml:space="preserve">as the salt</w:t>
            </w:r>
            <w:r>
              <w:t xml:space="preserve"> </w:t>
            </w:r>
            <w:r>
              <w:t xml:space="preserve">(</w:t>
            </w:r>
            <w:r>
              <w:rPr>
                <w:rStyle w:val="VerbatimChar"/>
              </w:rPr>
              <w:t xml:space="preserve">stableSeed.js:816-818</w:t>
            </w:r>
            <w:r>
              <w:t xml:space="preserve">, duplicated at</w:t>
            </w:r>
            <w:r>
              <w:t xml:space="preserve"> </w:t>
            </w:r>
            <w:r>
              <w:rPr>
                <w:rStyle w:val="VerbatimChar"/>
              </w:rPr>
              <w:t xml:space="preserve">bchCommitment.js:37-40</w:t>
            </w:r>
            <w:r>
              <w:t xml:space="preserve">) — a password-derived salt is not a salt — and 10,000 PBKDF2-SHA256 iterations is far below current guidance; give it an independent random salt and raise the work factor. (3) An attacker holding a stored record</w:t>
            </w:r>
            <w:r>
              <w:t xml:space="preserve"> </w:t>
            </w:r>
            <w:r>
              <w:rPr>
                <w:b/>
                <w:bCs/>
              </w:rPr>
              <w:t xml:space="preserve">and</w:t>
            </w:r>
            <w:r>
              <w:t xml:space="preserve"> </w:t>
            </w:r>
            <w:r>
              <w:t xml:space="preserve">the public descriptor recovers</w:t>
            </w:r>
            <w:r>
              <w:t xml:space="preserve"> </w:t>
            </w:r>
            <w:r>
              <w:rPr>
                <w:rStyle w:val="VerbatimChar"/>
              </w:rPr>
              <w:t xml:space="preserve">K</w:t>
            </w:r>
            <w:r>
              <w:t xml:space="preserve"> </w:t>
            </w:r>
            <w:r>
              <w:t xml:space="preserve">by the scheme's own decode, after which the seed reduces to brute-forcing that weak PBKDF2 — so the work factor in (2) is load-bearing, not cosmetic.</w:t>
            </w:r>
            <w:r>
              <w:t xml:space="preserve"> </w:t>
            </w:r>
            <w:r>
              <w:rPr>
                <w:b/>
                <w:bCs/>
              </w:rPr>
              <w:t xml:space="preserve">Publish an explicit entropy budget for the seed phrase and enforce it at enrolment, and state in the product documentation that the biometric contributes</w:t>
            </w:r>
            <w:r>
              <w:rPr>
                <w:b/>
                <w:bCs/>
              </w:rPr>
              <w:t xml:space="preserve"> </w:t>
            </w:r>
            <w:r>
              <w:rPr>
                <w:b/>
                <w:bCs/>
                <w:i/>
                <w:iCs/>
              </w:rPr>
              <w:t xml:space="preserve">stability</w:t>
            </w:r>
            <w:r>
              <w:rPr>
                <w:b/>
                <w:bCs/>
              </w:rPr>
              <w:t xml:space="preserve">, not</w:t>
            </w:r>
            <w:r>
              <w:rPr>
                <w:b/>
                <w:bCs/>
              </w:rPr>
              <w:t xml:space="preserve"> </w:t>
            </w:r>
            <w:r>
              <w:rPr>
                <w:b/>
                <w:bCs/>
                <w:i/>
                <w:iCs/>
              </w:rPr>
              <w:t xml:space="preserve">secrecy</w:t>
            </w:r>
            <w:r>
              <w:rPr>
                <w:b/>
                <w:bCs/>
              </w:rPr>
              <w:t xml:space="preserve">.</w:t>
            </w:r>
            <w:r>
              <w:t xml:space="preserve"> </w:t>
            </w:r>
            <w:r>
              <w:rPr>
                <w:b/>
                <w:bCs/>
              </w:rPr>
              <w:t xml:space="preserve">A second reader is needed before the rescore is applied; everything they need is cited here.</w:t>
            </w:r>
            <w:r>
              <w:t xml:space="preserve"> </w:t>
            </w:r>
            <w:r>
              <w:rPr>
                <w:i/>
                <w:iCs/>
              </w:rPr>
              <w:t xml:space="preserve">(Recorded by the reviewer who raised the finding, in</w:t>
            </w:r>
            <w:r>
              <w:rPr>
                <w:i/>
                <w:iCs/>
              </w:rPr>
              <w:t xml:space="preserve"> </w:t>
            </w:r>
            <w:r>
              <w:rPr>
                <w:rStyle w:val="VerbatimChar"/>
                <w:i/>
                <w:iCs/>
              </w:rPr>
              <w:t xml:space="preserve">findings-seed-2026-09/mypki-main.md</w:t>
            </w:r>
            <w:r>
              <w:rPr>
                <w:i/>
                <w:iCs/>
              </w:rPr>
              <w:t xml:space="preserve">,</w:t>
            </w:r>
            <w:r>
              <w:rPr>
                <w:i/>
                <w:iCs/>
              </w:rPr>
              <w:t xml:space="preserve"> </w:t>
            </w:r>
            <w:r>
              <w:rPr>
                <w:rStyle w:val="VerbatimChar"/>
                <w:i/>
                <w:iCs/>
              </w:rPr>
              <w:t xml:space="preserve">MYPKI-01</w:t>
            </w:r>
            <w:r>
              <w:rPr>
                <w:i/>
                <w:iCs/>
              </w:rPr>
              <w:t xml:space="preserve">, and corrected in</w:t>
            </w:r>
            <w:r>
              <w:rPr>
                <w:i/>
                <w:iCs/>
              </w:rPr>
              <w:t xml:space="preserve"> </w:t>
            </w:r>
            <w:r>
              <w:rPr>
                <w:rStyle w:val="VerbatimChar"/>
                <w:i/>
                <w:iCs/>
              </w:rPr>
              <w:t xml:space="preserve">_Working/2026-09-08_ITEM4_COVERAGE_GAPS.md</w:t>
            </w:r>
            <w:r>
              <w:rPr>
                <w:i/>
                <w:iCs/>
              </w:rPr>
              <w:t xml:space="preserve">, GAP 2.)</w:t>
            </w:r>
          </w:p>
        </w:tc>
      </w:tr>
    </w:tbl>
    <w:p/>
    <w:p/>
    <w:p/>
    <w:bookmarkEnd w:id="38"/>
    <w:bookmarkStart w:id="39" w:name="X231a6fb917853ef5716c4a9722768a977644f4a"/>
    <w:p>
      <w:pPr>
        <w:pStyle w:val="Heading4"/>
      </w:pPr>
      <w:r>
        <w:t xml:space="preserve">Critical 14 — An Azure Cosmos DB primary master key is committed at HEAD inside a shipped desktop application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b/>
                <w:bCs/>
              </w:rPr>
              <w:t xml:space="preserve">Critical 14</w:t>
            </w:r>
          </w:p>
        </w:tc>
        <w:tc>
          <w:tcPr/>
          <w:p>
            <w:pPr>
              <w:pStyle w:val="Compact"/>
            </w:pPr>
            <w:r>
              <w:rPr>
                <w:b/>
                <w:bCs/>
              </w:rPr>
              <w:t xml:space="preserve">Critical</w:t>
            </w:r>
            <w:r>
              <w:t xml:space="preserve"> </w:t>
            </w:r>
            <w:r>
              <w:t xml:space="preserve">· component</w:t>
            </w:r>
            <w:r>
              <w:t xml:space="preserve"> </w:t>
            </w:r>
            <w:r>
              <w:rPr>
                <w:b/>
                <w:bCs/>
              </w:rPr>
              <w:t xml:space="preserve">SecurePDF</w:t>
            </w:r>
          </w:p>
        </w:tc>
      </w:tr>
      <w:tr>
        <w:tc>
          <w:tcPr/>
          <w:p>
            <w:pPr>
              <w:pStyle w:val="Compact"/>
            </w:pPr>
            <w:r>
              <w:rPr>
                <w:b/>
                <w:bCs/>
              </w:rPr>
              <w:t xml:space="preserve">The issue</w:t>
            </w:r>
          </w:p>
        </w:tc>
        <w:tc>
          <w:tcPr/>
          <w:p>
            <w:pPr>
              <w:pStyle w:val="Compact"/>
            </w:pPr>
            <w:r>
              <w:rPr>
                <w:b/>
                <w:bCs/>
              </w:rPr>
              <w:t xml:space="preserve">Azure Cosmos DB primary (master) key</w:t>
            </w:r>
            <w:r>
              <w:t xml:space="preserve"> </w:t>
            </w:r>
            <w:r>
              <w:t xml:space="preserve">committed at HEAD (</w:t>
            </w:r>
            <w:r>
              <w:rPr>
                <w:rStyle w:val="VerbatimChar"/>
              </w:rPr>
              <w:t xml:space="preserve">myPKI_Printer/app.config:5</w:t>
            </w:r>
            <w:r>
              <w:t xml:space="preserve">;</w:t>
            </w:r>
            <w:r>
              <w:t xml:space="preserve"> </w:t>
            </w:r>
            <w:r>
              <w:rPr>
                <w:b/>
                <w:bCs/>
              </w:rPr>
              <w:t xml:space="preserve">length deliberately not reproduced</w:t>
            </w:r>
            <w:r>
              <w:t xml:space="preserve">) with its endpoint, shipped inside a desktop application.</w:t>
            </w:r>
            <w:r>
              <w:t xml:space="preserve"> </w:t>
            </w:r>
            <w:r>
              <w:rPr>
                <w:b/>
                <w:bCs/>
              </w:rPr>
              <w:t xml:space="preserve">The blast radius is larger than "rotate".</w:t>
            </w:r>
            <w:r>
              <w:t xml:space="preserve"> </w:t>
            </w:r>
            <w:r>
              <w:t xml:space="preserve">That same container is the</w:t>
            </w:r>
            <w:r>
              <w:t xml:space="preserve"> </w:t>
            </w:r>
            <w:r>
              <w:rPr>
                <w:b/>
                <w:bCs/>
              </w:rPr>
              <w:t xml:space="preserve">unvalidated trust root for document encryption</w:t>
            </w:r>
            <w:r>
              <w:t xml:space="preserve">:</w:t>
            </w:r>
            <w:r>
              <w:t xml:space="preserve"> </w:t>
            </w:r>
            <w:r>
              <w:rPr>
                <w:rStyle w:val="VerbatimChar"/>
              </w:rPr>
              <w:t xml:space="preserve">spdf_encode</w:t>
            </w:r>
            <w:r>
              <w:t xml:space="preserve"> </w:t>
            </w:r>
            <w:r>
              <w:t xml:space="preserve">validates no recipient certificate, and the caller feeds it</w:t>
            </w:r>
            <w:r>
              <w:t xml:space="preserve"> </w:t>
            </w:r>
            <w:r>
              <w:rPr>
                <w:rStyle w:val="VerbatimChar"/>
              </w:rPr>
              <w:t xml:space="preserve">PublicKey</w:t>
            </w:r>
            <w:r>
              <w:t xml:space="preserve"> </w:t>
            </w:r>
            <w:r>
              <w:t xml:space="preserve">values read straight out of this database (see</w:t>
            </w:r>
            <w:r>
              <w:t xml:space="preserve"> </w:t>
            </w:r>
            <w:r>
              <w:rPr>
                <w:rStyle w:val="VerbatimChar"/>
              </w:rPr>
              <w:t xml:space="preserve">SPDF-D1</w:t>
            </w:r>
            <w:r>
              <w:t xml:space="preserve">, §3.5). Write access substitutes a recipient's certificate and silently reads every document afterwards encrypted for them.</w:t>
            </w:r>
            <w:r>
              <w:t xml:space="preserve"> </w:t>
            </w:r>
            <w:r>
              <w:rPr>
                <w:b/>
                <w:bCs/>
              </w:rPr>
              <w:t xml:space="preserve">Rotation alone does not fix it</w:t>
            </w:r>
            <w:r>
              <w:t xml:space="preserve"> </w:t>
            </w:r>
            <w:r>
              <w:t xml:space="preserve">— without certificate validation, any future write access to that store reproduces the attack.</w:t>
            </w:r>
          </w:p>
        </w:tc>
      </w:tr>
      <w:tr>
        <w:tc>
          <w:tcPr/>
          <w:p>
            <w:pPr>
              <w:pStyle w:val="Compact"/>
            </w:pPr>
            <w:r>
              <w:rPr>
                <w:b/>
                <w:bCs/>
              </w:rPr>
              <w:t xml:space="preserve">Suggested fix</w:t>
            </w:r>
          </w:p>
        </w:tc>
        <w:tc>
          <w:tcPr/>
          <w:p>
            <w:pPr>
              <w:pStyle w:val="Compact"/>
            </w:pPr>
            <w:r>
              <w:t xml:space="preserve">Rotate the Cosmos key and replace it with Entra authentication and data-plane RBAC — a desktop application should never hold an account master key — and, because rotation alone does not fix it, validate recipient certificates in the encoder as well (</w:t>
            </w:r>
            <w:r>
              <w:rPr>
                <w:rStyle w:val="VerbatimChar"/>
              </w:rPr>
              <w:t xml:space="preserve">SPDF-D1</w:t>
            </w:r>
            <w:r>
              <w:t xml:space="preserve">).</w:t>
            </w:r>
          </w:p>
        </w:tc>
      </w:tr>
      <w:tr>
        <w:tc>
          <w:tcPr/>
          <w:p>
            <w:pPr>
              <w:pStyle w:val="Compact"/>
            </w:pPr>
            <w:r>
              <w:rPr>
                <w:b/>
                <w:bCs/>
              </w:rPr>
              <w:t xml:space="preserve">What was tested</w:t>
            </w:r>
          </w:p>
        </w:tc>
        <w:tc>
          <w:tcPr/>
          <w:p>
            <w:pPr>
              <w:pStyle w:val="Compact"/>
            </w:pPr>
            <w:r>
              <w:t xml:space="preserve">The</w:t>
            </w:r>
            <w:r>
              <w:t xml:space="preserve"> </w:t>
            </w:r>
            <w:r>
              <w:rPr>
                <w:b/>
                <w:bCs/>
              </w:rPr>
              <w:t xml:space="preserve">SecurePDF</w:t>
            </w:r>
            <w:r>
              <w:t xml:space="preserve"> </w:t>
            </w:r>
            <w:r>
              <w:t xml:space="preserve">printer client, console and encoder, as provided in the source snapshot. The claim under test: that the committed value is an account master key rather than a scoped token, and that the same container is the source of the recipient public keys the encoder trusts. Artefacts read at the cited lines:</w:t>
            </w:r>
            <w:r>
              <w:t xml:space="preserve"> </w:t>
            </w:r>
            <w:r>
              <w:rPr>
                <w:rStyle w:val="VerbatimChar"/>
              </w:rPr>
              <w:t xml:space="preserve">myPKI_Printer/app.config:5</w:t>
            </w:r>
            <w:r>
              <w:t xml:space="preserve"> </w:t>
            </w:r>
            <w:r>
              <w:t xml:space="preserve">(credential class and location reported structurally;</w:t>
            </w:r>
            <w:r>
              <w:t xml:space="preserve"> </w:t>
            </w:r>
            <w:r>
              <w:rPr>
                <w:b/>
                <w:bCs/>
              </w:rPr>
              <w:t xml:space="preserve">no value, prefix or length reproduced</w:t>
            </w:r>
            <w:r>
              <w:t xml:space="preserve">) ·</w:t>
            </w:r>
            <w:r>
              <w:t xml:space="preserve"> </w:t>
            </w:r>
            <w:r>
              <w:rPr>
                <w:rStyle w:val="VerbatimChar"/>
              </w:rPr>
              <w:t xml:space="preserve">myPKI_Printer/RecipientSource.cs:15,18,45-66</w:t>
            </w:r>
            <w:r>
              <w:t xml:space="preserve"> </w:t>
            </w:r>
            <w:r>
              <w:t xml:space="preserve">·</w:t>
            </w:r>
            <w:r>
              <w:t xml:space="preserve"> </w:t>
            </w:r>
            <w:r>
              <w:rPr>
                <w:rStyle w:val="VerbatimChar"/>
              </w:rPr>
              <w:t xml:space="preserve">myPKI_Console/Program.cs:57-65,67-96</w:t>
            </w:r>
            <w:r>
              <w:t xml:space="preserve"> </w:t>
            </w:r>
            <w:r>
              <w:t xml:space="preserve">·</w:t>
            </w:r>
            <w:r>
              <w:t xml:space="preserve"> </w:t>
            </w:r>
            <w:r>
              <w:rPr>
                <w:rStyle w:val="VerbatimChar"/>
              </w:rPr>
              <w:t xml:space="preserve">myPKI_Printer/DemoForm.cs:76,152-157,169-190</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followed by an independent verification pass by a reviewer who did not raise the finding: nine confirmations, no refutations (§4.1). The link to the encoder's missing validation was established by the coverage-gap review on 2026-09-08 and re-derived at source on 2026-09-09, with a control that fires: certificate-validation vocabulary over every</w:t>
            </w:r>
            <w:r>
              <w:t xml:space="preserve"> </w:t>
            </w:r>
            <w:r>
              <w:rPr>
                <w:rStyle w:val="VerbatimChar"/>
              </w:rPr>
              <w:t xml:space="preserve">*.cs</w:t>
            </w:r>
            <w:r>
              <w:t xml:space="preserve"> </w:t>
            </w:r>
            <w:r>
              <w:t xml:space="preserve">in the component returns</w:t>
            </w:r>
            <w:r>
              <w:t xml:space="preserve"> </w:t>
            </w:r>
            <w:r>
              <w:rPr>
                <w:b/>
                <w:bCs/>
              </w:rPr>
              <w:t xml:space="preserve">zero</w:t>
            </w:r>
            <w:r>
              <w:t xml:space="preserve"> </w:t>
            </w:r>
            <w:r>
              <w:t xml:space="preserve">matches, against a positive control of thirteen certificate-handling hits in three projects (§3.5).</w:t>
            </w:r>
            <w:r>
              <w:t xml:space="preserve"> </w:t>
            </w:r>
            <w:r>
              <w:rPr>
                <w:b/>
                <w:bCs/>
              </w:rPr>
              <w:t xml:space="preserve">What was not tested:</w:t>
            </w:r>
            <w:r>
              <w:t xml:space="preserve"> </w:t>
            </w:r>
            <w:r>
              <w:t xml:space="preserve">whether the account is live, whether the key is current, and what the container actually holds — there was no Azure access under the holds.</w:t>
            </w:r>
          </w:p>
        </w:tc>
      </w:tr>
      <w:tr>
        <w:tc>
          <w:tcPr/>
          <w:p>
            <w:pPr>
              <w:pStyle w:val="Compact"/>
            </w:pPr>
            <w:r>
              <w:rPr>
                <w:b/>
                <w:bCs/>
              </w:rPr>
              <w:t xml:space="preserve">How to resolve</w:t>
            </w:r>
          </w:p>
        </w:tc>
        <w:tc>
          <w:tcPr/>
          <w:p>
            <w:pPr>
              <w:pStyle w:val="Compact"/>
            </w:pPr>
            <w:r>
              <w:t xml:space="preserve">(1)</w:t>
            </w:r>
            <w:r>
              <w:t xml:space="preserve"> </w:t>
            </w:r>
            <w:r>
              <w:rPr>
                <w:b/>
                <w:bCs/>
              </w:rPr>
              <w:t xml:space="preserve">Treat as compromised.</w:t>
            </w:r>
            <w:r>
              <w:t xml:space="preserve"> </w:t>
            </w:r>
            <w:r>
              <w:t xml:space="preserve">Rotate the Cosmos key — rotate the secondary, cut over, then rotate the primary — and purge it from git history, or accept and document that it remains there. (2) Replace it with</w:t>
            </w:r>
            <w:r>
              <w:t xml:space="preserve"> </w:t>
            </w:r>
            <w:r>
              <w:rPr>
                <w:b/>
                <w:bCs/>
              </w:rPr>
              <w:t xml:space="preserve">Entra ID authentication and data-plane RBAC roles</w:t>
            </w:r>
            <w:r>
              <w:t xml:space="preserve">, or at minimum a scoped resource token issued by a server the client authenticates to.</w:t>
            </w:r>
            <w:r>
              <w:t xml:space="preserve"> </w:t>
            </w:r>
            <w:r>
              <w:rPr>
                <w:b/>
                <w:bCs/>
              </w:rPr>
              <w:t xml:space="preserve">A desktop application should never hold an account master key.</w:t>
            </w:r>
            <w:r>
              <w:t xml:space="preserve"> </w:t>
            </w:r>
            <w:r>
              <w:t xml:space="preserve">(3) Add a gitleaks rule for</w:t>
            </w:r>
            <w:r>
              <w:t xml:space="preserve"> </w:t>
            </w:r>
            <w:r>
              <w:rPr>
                <w:rStyle w:val="VerbatimChar"/>
              </w:rPr>
              <w:t xml:space="preserve">.config</w:t>
            </w:r>
            <w:r>
              <w:t xml:space="preserve"> </w:t>
            </w:r>
            <w:r>
              <w:t xml:space="preserve">files: the repository's</w:t>
            </w:r>
            <w:r>
              <w:t xml:space="preserve"> </w:t>
            </w:r>
            <w:r>
              <w:rPr>
                <w:rStyle w:val="VerbatimChar"/>
              </w:rPr>
              <w:t xml:space="preserve">.github/workflows/gitleaks.yml</w:t>
            </w:r>
            <w:r>
              <w:t xml:space="preserve"> </w:t>
            </w:r>
            <w:r>
              <w:t xml:space="preserve">exists and did not stop this. (4)</w:t>
            </w:r>
            <w:r>
              <w:t xml:space="preserve"> </w:t>
            </w:r>
            <w:r>
              <w:rPr>
                <w:b/>
                <w:bCs/>
              </w:rPr>
              <w:t xml:space="preserve">Rotation alone does not fix the exposure</w:t>
            </w:r>
            <w:r>
              <w:t xml:space="preserve">, because the same store is the unvalidated trust root for encryption — apply</w:t>
            </w:r>
            <w:r>
              <w:t xml:space="preserve"> </w:t>
            </w:r>
            <w:r>
              <w:rPr>
                <w:rStyle w:val="VerbatimChar"/>
              </w:rPr>
              <w:t xml:space="preserve">SPDF-D1</w:t>
            </w:r>
            <w:r>
              <w:t xml:space="preserve">'s remediation, which is to validate recipient certificates in the encoder, and note that</w:t>
            </w:r>
            <w:r>
              <w:t xml:space="preserve"> </w:t>
            </w:r>
            <w:r>
              <w:rPr>
                <w:b/>
                <w:bCs/>
              </w:rPr>
              <w:t xml:space="preserve">that fix survives the other two.</w:t>
            </w:r>
            <w:r>
              <w:t xml:space="preserve"> </w:t>
            </w:r>
            <w:r>
              <w:rPr>
                <w:i/>
                <w:iCs/>
              </w:rPr>
              <w:t xml:space="preserve">(Recorded by the reviewer who raised the finding, in</w:t>
            </w:r>
            <w:r>
              <w:rPr>
                <w:i/>
                <w:iCs/>
              </w:rPr>
              <w:t xml:space="preserve"> </w:t>
            </w:r>
            <w:r>
              <w:rPr>
                <w:rStyle w:val="VerbatimChar"/>
                <w:i/>
                <w:iCs/>
              </w:rPr>
              <w:t xml:space="preserve">findings-seed-2026-09/securepdf-master.md</w:t>
            </w:r>
            <w:r>
              <w:rPr>
                <w:i/>
                <w:iCs/>
              </w:rPr>
              <w:t xml:space="preserve">,</w:t>
            </w:r>
            <w:r>
              <w:rPr>
                <w:i/>
                <w:iCs/>
              </w:rPr>
              <w:t xml:space="preserve"> </w:t>
            </w:r>
            <w:r>
              <w:rPr>
                <w:rStyle w:val="VerbatimChar"/>
                <w:i/>
                <w:iCs/>
              </w:rPr>
              <w:t xml:space="preserve">SPDF-01</w:t>
            </w:r>
            <w:r>
              <w:rPr>
                <w:i/>
                <w:iCs/>
              </w:rPr>
              <w:t xml:space="preserve">, and enlarged by</w:t>
            </w:r>
            <w:r>
              <w:rPr>
                <w:i/>
                <w:iCs/>
              </w:rPr>
              <w:t xml:space="preserve"> </w:t>
            </w:r>
            <w:r>
              <w:rPr>
                <w:rStyle w:val="VerbatimChar"/>
                <w:i/>
                <w:iCs/>
              </w:rPr>
              <w:t xml:space="preserve">SPDF-D1</w:t>
            </w:r>
            <w:r>
              <w:rPr>
                <w:i/>
                <w:iCs/>
              </w:rPr>
              <w:t xml:space="preserve"> </w:t>
            </w:r>
            <w:r>
              <w:rPr>
                <w:i/>
                <w:iCs/>
              </w:rPr>
              <w:t xml:space="preserve">at §3.5.)</w:t>
            </w:r>
          </w:p>
        </w:tc>
      </w:tr>
    </w:tbl>
    <w:p/>
    <w:p/>
    <w:p/>
    <w:bookmarkEnd w:id="39"/>
    <w:bookmarkStart w:id="40" w:name="Xc8b264f116b7482b7960aa11bafd92152886516"/>
    <w:p>
      <w:pPr>
        <w:pStyle w:val="Heading4"/>
      </w:pPr>
      <w:r>
        <w:t xml:space="preserve">Critical 15 — Ten accounts' passwords are upserted from plaintext in source on every boot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b/>
                <w:bCs/>
              </w:rPr>
              <w:t xml:space="preserve">Critical 15</w:t>
            </w:r>
          </w:p>
        </w:tc>
        <w:tc>
          <w:tcPr/>
          <w:p>
            <w:pPr>
              <w:pStyle w:val="Compact"/>
            </w:pPr>
            <w:r>
              <w:rPr>
                <w:b/>
                <w:bCs/>
              </w:rPr>
              <w:t xml:space="preserve">Critical</w:t>
            </w:r>
            <w:r>
              <w:t xml:space="preserve"> </w:t>
            </w:r>
            <w:r>
              <w:t xml:space="preserve">· component</w:t>
            </w:r>
            <w:r>
              <w:t xml:space="preserve"> </w:t>
            </w:r>
            <w:r>
              <w:rPr>
                <w:b/>
                <w:bCs/>
              </w:rPr>
              <w:t xml:space="preserve">Vision Sales Portal</w:t>
            </w:r>
            <w:r>
              <w:t xml:space="preserve"> </w:t>
            </w:r>
            <w:r>
              <w:rPr>
                <w:i/>
                <w:iCs/>
              </w:rPr>
              <w:t xml:space="preserve">(parked 2026-09-07)</w:t>
            </w:r>
          </w:p>
        </w:tc>
      </w:tr>
      <w:tr>
        <w:tc>
          <w:tcPr/>
          <w:p>
            <w:pPr>
              <w:pStyle w:val="Compact"/>
            </w:pPr>
            <w:r>
              <w:rPr>
                <w:b/>
                <w:bCs/>
              </w:rPr>
              <w:t xml:space="preserve">The issue</w:t>
            </w:r>
          </w:p>
        </w:tc>
        <w:tc>
          <w:tcPr/>
          <w:p>
            <w:pPr>
              <w:pStyle w:val="Compact"/>
            </w:pPr>
            <w:r>
              <w:rPr>
                <w:rStyle w:val="VerbatimChar"/>
                <w:i/>
                <w:iCs/>
              </w:rPr>
              <w:t xml:space="preserve">server/seed.js</w:t>
            </w:r>
            <w:r>
              <w:rPr>
                <w:i/>
                <w:iCs/>
              </w:rPr>
              <w:t xml:space="preserve"> </w:t>
            </w:r>
            <w:r>
              <w:rPr>
                <w:i/>
                <w:iCs/>
              </w:rPr>
              <w:t xml:space="preserve">upserts ten accounts' passwords — eight</w:t>
            </w:r>
            <w:r>
              <w:rPr>
                <w:i/>
                <w:iCs/>
              </w:rPr>
              <w:t xml:space="preserve"> </w:t>
            </w:r>
            <w:r>
              <w:rPr>
                <w:rStyle w:val="VerbatimChar"/>
                <w:i/>
                <w:iCs/>
              </w:rPr>
              <w:t xml:space="preserve">datasec_admin</w:t>
            </w:r>
            <w:r>
              <w:rPr>
                <w:i/>
                <w:iCs/>
              </w:rPr>
              <w:t xml:space="preserve">, six named individuals — from plaintext in source on</w:t>
            </w:r>
            <w:r>
              <w:rPr>
                <w:i/>
                <w:iCs/>
              </w:rPr>
              <w:t xml:space="preserve"> </w:t>
            </w:r>
            <w:r>
              <w:rPr>
                <w:b/>
                <w:bCs/>
                <w:i/>
                <w:iCs/>
              </w:rPr>
              <w:t xml:space="preserve">every boot</w:t>
            </w:r>
            <w:r>
              <w:rPr>
                <w:i/>
                <w:iCs/>
              </w:rPr>
              <w:t xml:space="preserve">. Imported as</w:t>
            </w:r>
            <w:r>
              <w:rPr>
                <w:i/>
                <w:iCs/>
              </w:rPr>
              <w:t xml:space="preserve"> </w:t>
            </w:r>
            <w:r>
              <w:rPr>
                <w:rStyle w:val="VerbatimChar"/>
                <w:i/>
                <w:iCs/>
              </w:rPr>
              <w:t xml:space="preserve">seedIfEmpty</w:t>
            </w:r>
            <w:r>
              <w:rPr>
                <w:i/>
                <w:iCs/>
              </w:rPr>
              <w:t xml:space="preserve"> </w:t>
            </w:r>
            <w:r>
              <w:rPr>
                <w:i/>
                <w:iCs/>
              </w:rPr>
              <w:t xml:space="preserve">but the SQL is</w:t>
            </w:r>
            <w:r>
              <w:rPr>
                <w:i/>
                <w:iCs/>
              </w:rPr>
              <w:t xml:space="preserve"> </w:t>
            </w:r>
            <w:r>
              <w:rPr>
                <w:rStyle w:val="VerbatimChar"/>
                <w:i/>
                <w:iCs/>
              </w:rPr>
              <w:t xml:space="preserve">ON CONFLICT … DO UPDATE SET password_hash</w:t>
            </w:r>
            <w:r>
              <w:rPr>
                <w:i/>
                <w:iCs/>
              </w:rPr>
              <w:t xml:space="preserve">; no</w:t>
            </w:r>
            <w:r>
              <w:rPr>
                <w:i/>
                <w:iCs/>
              </w:rPr>
              <w:t xml:space="preserve"> </w:t>
            </w:r>
            <w:r>
              <w:rPr>
                <w:rStyle w:val="VerbatimChar"/>
                <w:i/>
                <w:iCs/>
              </w:rPr>
              <w:t xml:space="preserve">NODE_ENV</w:t>
            </w:r>
            <w:r>
              <w:rPr>
                <w:i/>
                <w:iCs/>
              </w:rPr>
              <w:t xml:space="preserve"> </w:t>
            </w:r>
            <w:r>
              <w:rPr>
                <w:i/>
                <w:iCs/>
              </w:rPr>
              <w:t xml:space="preserve">guard, while the</w:t>
            </w:r>
            <w:r>
              <w:rPr>
                <w:i/>
                <w:iCs/>
              </w:rPr>
              <w:t xml:space="preserve"> </w:t>
            </w:r>
            <w:r>
              <w:rPr>
                <w:rStyle w:val="VerbatimChar"/>
                <w:i/>
                <w:iCs/>
              </w:rPr>
              <w:t xml:space="preserve">SESSION_SECRET</w:t>
            </w:r>
            <w:r>
              <w:rPr>
                <w:i/>
                <w:iCs/>
              </w:rPr>
              <w:t xml:space="preserve"> </w:t>
            </w:r>
            <w:r>
              <w:rPr>
                <w:i/>
                <w:iCs/>
              </w:rPr>
              <w:t xml:space="preserve">guard 140 lines earlier is production-aware. No password-change mechanism exists in the tree.</w:t>
            </w:r>
            <w:r>
              <w:t xml:space="preserve"> </w:t>
            </w:r>
            <w:r>
              <w:rPr>
                <w:b/>
                <w:bCs/>
              </w:rPr>
              <w:t xml:space="preserve">Pre-production per the client; the credentials still require rotation because they are in the repository.</w:t>
            </w:r>
          </w:p>
        </w:tc>
      </w:tr>
      <w:tr>
        <w:tc>
          <w:tcPr/>
          <w:p>
            <w:pPr>
              <w:pStyle w:val="Compact"/>
            </w:pPr>
            <w:r>
              <w:rPr>
                <w:b/>
                <w:bCs/>
              </w:rPr>
              <w:t xml:space="preserve">Suggested fix</w:t>
            </w:r>
          </w:p>
        </w:tc>
        <w:tc>
          <w:tcPr/>
          <w:p>
            <w:pPr>
              <w:pStyle w:val="Compact"/>
            </w:pPr>
            <w:r>
              <w:t xml:space="preserve">Change all ten passwords out of band now, then add the production guard that the</w:t>
            </w:r>
            <w:r>
              <w:t xml:space="preserve"> </w:t>
            </w:r>
            <w:r>
              <w:rPr>
                <w:rStyle w:val="VerbatimChar"/>
              </w:rPr>
              <w:t xml:space="preserve">SESSION_SECRET</w:t>
            </w:r>
            <w:r>
              <w:t xml:space="preserve"> </w:t>
            </w:r>
            <w:r>
              <w:t xml:space="preserve">check 140 lines earlier already demonstrates, and remove the plaintext passwords from source.</w:t>
            </w:r>
          </w:p>
        </w:tc>
      </w:tr>
      <w:tr>
        <w:tc>
          <w:tcPr/>
          <w:p>
            <w:pPr>
              <w:pStyle w:val="Compact"/>
            </w:pPr>
            <w:r>
              <w:rPr>
                <w:b/>
                <w:bCs/>
              </w:rPr>
              <w:t xml:space="preserve">What was tested</w:t>
            </w:r>
          </w:p>
        </w:tc>
        <w:tc>
          <w:tcPr/>
          <w:p>
            <w:pPr>
              <w:pStyle w:val="Compact"/>
            </w:pPr>
            <w:r>
              <w:t xml:space="preserve">The</w:t>
            </w:r>
            <w:r>
              <w:t xml:space="preserve"> </w:t>
            </w:r>
            <w:r>
              <w:rPr>
                <w:b/>
                <w:bCs/>
              </w:rPr>
              <w:t xml:space="preserve">Vision Sales Portal</w:t>
            </w:r>
            <w:r>
              <w:t xml:space="preserve"> </w:t>
            </w:r>
            <w:r>
              <w:t xml:space="preserve">server, as provided in the source snapshot.</w:t>
            </w:r>
            <w:r>
              <w:t xml:space="preserve"> </w:t>
            </w:r>
            <w:r>
              <w:rPr>
                <w:b/>
                <w:bCs/>
              </w:rPr>
              <w:t xml:space="preserve">No live system was contacted</w:t>
            </w:r>
            <w:r>
              <w:t xml:space="preserve">, including the live production instance — every conclusion here is drawn from source alone. The claim under test: that the seed runs on every boot rather than only when the table is empty, and that no environment guard prevents it. Artefacts read at the cited lines:</w:t>
            </w:r>
            <w:r>
              <w:t xml:space="preserve"> </w:t>
            </w:r>
            <w:r>
              <w:rPr>
                <w:rStyle w:val="VerbatimChar"/>
              </w:rPr>
              <w:t xml:space="preserve">server/seed.js</w:t>
            </w:r>
            <w:r>
              <w:t xml:space="preserve"> </w:t>
            </w:r>
            <w:r>
              <w:t xml:space="preserve">and its</w:t>
            </w:r>
            <w:r>
              <w:t xml:space="preserve"> </w:t>
            </w:r>
            <w:r>
              <w:rPr>
                <w:rStyle w:val="VerbatimChar"/>
              </w:rPr>
              <w:t xml:space="preserve">ON CONFLICT … DO UPDATE SET password_hash</w:t>
            </w:r>
            <w:r>
              <w:t xml:space="preserve"> </w:t>
            </w:r>
            <w:r>
              <w:t xml:space="preserve">clause (passwords reported structurally, never reproduced) ·</w:t>
            </w:r>
            <w:r>
              <w:t xml:space="preserve"> </w:t>
            </w:r>
            <w:r>
              <w:rPr>
                <w:rStyle w:val="VerbatimChar"/>
              </w:rPr>
              <w:t xml:space="preserve">scripts/create-azure-user.js</w:t>
            </w:r>
            <w:r>
              <w:t xml:space="preserve"> </w:t>
            </w:r>
            <w:r>
              <w:t xml:space="preserve">·</w:t>
            </w:r>
            <w:r>
              <w:t xml:space="preserve"> </w:t>
            </w:r>
            <w:r>
              <w:rPr>
                <w:rStyle w:val="VerbatimChar"/>
              </w:rPr>
              <w:t xml:space="preserve">index.js:27-35</w:t>
            </w:r>
            <w:r>
              <w:t xml:space="preserve">, the production-aware</w:t>
            </w:r>
            <w:r>
              <w:t xml:space="preserve"> </w:t>
            </w:r>
            <w:r>
              <w:rPr>
                <w:rStyle w:val="VerbatimChar"/>
              </w:rPr>
              <w:t xml:space="preserve">SESSION_SECRET</w:t>
            </w:r>
            <w:r>
              <w:t xml:space="preserve"> </w:t>
            </w:r>
            <w:r>
              <w:t xml:space="preserve">guard used as the internal control.</w:t>
            </w:r>
          </w:p>
        </w:tc>
      </w:tr>
      <w:tr>
        <w:tc>
          <w:tcPr/>
          <w:p>
            <w:pPr>
              <w:pStyle w:val="Compact"/>
            </w:pPr>
            <w:r>
              <w:rPr>
                <w:b/>
                <w:bCs/>
              </w:rPr>
              <w:t xml:space="preserve">How it was tested</w:t>
            </w:r>
          </w:p>
        </w:tc>
        <w:tc>
          <w:tcPr/>
          <w:p>
            <w:pPr>
              <w:pStyle w:val="Compact"/>
            </w:pPr>
            <w:r>
              <w:t xml:space="preserve">Static, read-only source review of the provided snapshot.</w:t>
            </w:r>
            <w:r>
              <w:t xml:space="preserve"> </w:t>
            </w:r>
            <w:r>
              <w:rPr>
                <w:b/>
                <w:bCs/>
              </w:rPr>
              <w:t xml:space="preserve">Verified at source by Wednesday.</w:t>
            </w:r>
            <w:r>
              <w:t xml:space="preserve"> </w:t>
            </w:r>
            <w:r>
              <w:t xml:space="preserve">The internal control is what makes the missing guard a measurement rather than an impression: the same file family contains a production-aware guard 140 lines earlier, so the pattern was understood by the authors and simply not applied here. The name</w:t>
            </w:r>
            <w:r>
              <w:t xml:space="preserve"> </w:t>
            </w:r>
            <w:r>
              <w:rPr>
                <w:rStyle w:val="VerbatimChar"/>
              </w:rPr>
              <w:t xml:space="preserve">seedIfEmpty</w:t>
            </w:r>
            <w:r>
              <w:t xml:space="preserve"> </w:t>
            </w:r>
            <w:r>
              <w:t xml:space="preserve">was not taken at face value — the SQL was read, and it upserts.</w:t>
            </w:r>
            <w:r>
              <w:t xml:space="preserve"> </w:t>
            </w:r>
            <w:r>
              <w:rPr>
                <w:b/>
                <w:bCs/>
              </w:rPr>
              <w:t xml:space="preserve">This component is parked, and its findings are recorded and counted in full and marked as parked throughout</w:t>
            </w:r>
            <w:r>
              <w:t xml:space="preserve"> </w:t>
            </w:r>
            <w:r>
              <w:t xml:space="preserve">(§1.5).</w:t>
            </w:r>
          </w:p>
        </w:tc>
      </w:tr>
      <w:tr>
        <w:tc>
          <w:tcPr/>
          <w:p>
            <w:pPr>
              <w:pStyle w:val="Compact"/>
            </w:pPr>
            <w:r>
              <w:rPr>
                <w:b/>
                <w:bCs/>
              </w:rPr>
              <w:t xml:space="preserve">How to resolve</w:t>
            </w:r>
          </w:p>
        </w:tc>
        <w:tc>
          <w:tcPr/>
          <w:p>
            <w:pPr>
              <w:pStyle w:val="Compact"/>
            </w:pPr>
            <w:r>
              <w:t xml:space="preserve">In priority order. (1)</w:t>
            </w:r>
            <w:r>
              <w:t xml:space="preserve"> </w:t>
            </w:r>
            <w:r>
              <w:rPr>
                <w:b/>
                <w:bCs/>
              </w:rPr>
              <w:t xml:space="preserve">Change all ten passwords on the production instance now, out of band, and treat every one as compromised.</w:t>
            </w:r>
            <w:r>
              <w:t xml:space="preserve"> </w:t>
            </w:r>
            <w:r>
              <w:t xml:space="preserve">(2) Add a</w:t>
            </w:r>
            <w:r>
              <w:t xml:space="preserve"> </w:t>
            </w:r>
            <w:r>
              <w:rPr>
                <w:rStyle w:val="VerbatimChar"/>
              </w:rPr>
              <w:t xml:space="preserve">NODE_ENV</w:t>
            </w:r>
            <w:r>
              <w:t xml:space="preserve"> </w:t>
            </w:r>
            <w:r>
              <w:t xml:space="preserve">or</w:t>
            </w:r>
            <w:r>
              <w:t xml:space="preserve"> </w:t>
            </w:r>
            <w:r>
              <w:rPr>
                <w:rStyle w:val="VerbatimChar"/>
              </w:rPr>
              <w:t xml:space="preserve">WEBSITE_SITE_NAME</w:t>
            </w:r>
            <w:r>
              <w:t xml:space="preserve"> </w:t>
            </w:r>
            <w:r>
              <w:t xml:space="preserve">guard so</w:t>
            </w:r>
            <w:r>
              <w:t xml:space="preserve"> </w:t>
            </w:r>
            <w:r>
              <w:rPr>
                <w:rStyle w:val="VerbatimChar"/>
              </w:rPr>
              <w:t xml:space="preserve">seedIfEmpty()</w:t>
            </w:r>
            <w:r>
              <w:t xml:space="preserve"> </w:t>
            </w:r>
            <w:r>
              <w:t xml:space="preserve">cannot run in production, mirroring the guard already at</w:t>
            </w:r>
            <w:r>
              <w:t xml:space="preserve"> </w:t>
            </w:r>
            <w:r>
              <w:rPr>
                <w:rStyle w:val="VerbatimChar"/>
              </w:rPr>
              <w:t xml:space="preserve">index.js:27-35</w:t>
            </w:r>
            <w:r>
              <w:t xml:space="preserve">. (3) Remove the plaintext passwords from</w:t>
            </w:r>
            <w:r>
              <w:t xml:space="preserve"> </w:t>
            </w:r>
            <w:r>
              <w:rPr>
                <w:rStyle w:val="VerbatimChar"/>
              </w:rPr>
              <w:t xml:space="preserve">server/seed.js</w:t>
            </w:r>
            <w:r>
              <w:t xml:space="preserve"> </w:t>
            </w:r>
            <w:r>
              <w:t xml:space="preserve">and</w:t>
            </w:r>
            <w:r>
              <w:t xml:space="preserve"> </w:t>
            </w:r>
            <w:r>
              <w:rPr>
                <w:rStyle w:val="VerbatimChar"/>
              </w:rPr>
              <w:t xml:space="preserve">scripts/create-azure-user.js</w:t>
            </w:r>
            <w:r>
              <w:t xml:space="preserve">; generate a random password per account at seed time and print it once, or require it from the environment. (4) Build a password-change endpoint and force a change at next login —</w:t>
            </w:r>
            <w:r>
              <w:t xml:space="preserve"> </w:t>
            </w:r>
            <w:r>
              <w:rPr>
                <w:b/>
                <w:bCs/>
              </w:rPr>
              <w:t xml:space="preserve">there is currently no password-change mechanism anywhere in the tree.</w:t>
            </w:r>
            <w:r>
              <w:t xml:space="preserve"> </w:t>
            </w:r>
            <w:r>
              <w:t xml:space="preserve">(5) Purge from git history, or accept and document. (6) Consider placing the portal behind an authenticating front door.</w:t>
            </w:r>
            <w:r>
              <w:t xml:space="preserve"> </w:t>
            </w:r>
            <w:r>
              <w:rPr>
                <w:b/>
                <w:bCs/>
              </w:rPr>
              <w:t xml:space="preserve">Being parked does not defer (1) or (5):</w:t>
            </w:r>
            <w:r>
              <w:t xml:space="preserve"> </w:t>
            </w:r>
            <w:r>
              <w:t xml:space="preserve">the credentials are in the repository whatever the deployment status.</w:t>
            </w:r>
            <w:r>
              <w:t xml:space="preserve"> </w:t>
            </w:r>
            <w:r>
              <w:rPr>
                <w:i/>
                <w:iCs/>
              </w:rPr>
              <w:t xml:space="preserve">(Recorded by the reviewer who raised the finding, in</w:t>
            </w:r>
            <w:r>
              <w:rPr>
                <w:i/>
                <w:iCs/>
              </w:rPr>
              <w:t xml:space="preserve"> </w:t>
            </w:r>
            <w:r>
              <w:rPr>
                <w:rStyle w:val="VerbatimChar"/>
                <w:i/>
                <w:iCs/>
              </w:rPr>
              <w:t xml:space="preserve">findings-seed-2026-09/vision-datasec-sales-portal-main.md</w:t>
            </w:r>
            <w:r>
              <w:rPr>
                <w:i/>
                <w:iCs/>
              </w:rPr>
              <w:t xml:space="preserve">,</w:t>
            </w:r>
            <w:r>
              <w:rPr>
                <w:i/>
                <w:iCs/>
              </w:rPr>
              <w:t xml:space="preserve"> </w:t>
            </w:r>
            <w:r>
              <w:rPr>
                <w:rStyle w:val="VerbatimChar"/>
                <w:i/>
                <w:iCs/>
              </w:rPr>
              <w:t xml:space="preserve">VSP-01</w:t>
            </w:r>
            <w:r>
              <w:rPr>
                <w:i/>
                <w:iCs/>
              </w:rPr>
              <w:t xml:space="preserve">.)</w:t>
            </w:r>
          </w:p>
        </w:tc>
      </w:tr>
    </w:tbl>
    <w:p/>
    <w:p/>
    <w:p/>
    <w:bookmarkEnd w:id="40"/>
    <w:bookmarkEnd w:id="41"/>
    <w:bookmarkStart w:id="42" w:name="X72a3d8518ccf5b26a9587b26cf70bd56743d35d"/>
    <w:p>
      <w:pPr>
        <w:pStyle w:val="Heading3"/>
      </w:pPr>
      <w:r>
        <w:t xml:space="preserve">3.3 Per-component tally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Component</w:t>
            </w:r>
          </w:p>
        </w:tc>
        <w:tc>
          <w:tcPr/>
          <w:p>
            <w:pPr>
              <w:pStyle w:val="Compact"/>
            </w:pPr>
            <w:r>
              <w:t xml:space="preserve">Product identity</w:t>
            </w:r>
          </w:p>
        </w:tc>
        <w:tc>
          <w:tcPr/>
          <w:p>
            <w:pPr>
              <w:pStyle w:val="Compact"/>
            </w:pPr>
            <w:r>
              <w:t xml:space="preserve">C</w:t>
            </w:r>
          </w:p>
        </w:tc>
        <w:tc>
          <w:tcPr/>
          <w:p>
            <w:pPr>
              <w:pStyle w:val="Compact"/>
            </w:pPr>
            <w:r>
              <w:t xml:space="preserve">H</w:t>
            </w:r>
          </w:p>
        </w:tc>
        <w:tc>
          <w:tcPr/>
          <w:p>
            <w:pPr>
              <w:pStyle w:val="Compact"/>
            </w:pPr>
            <w:r>
              <w:t xml:space="preserve">M</w:t>
            </w:r>
          </w:p>
        </w:tc>
        <w:tc>
          <w:tcPr/>
          <w:p>
            <w:pPr>
              <w:pStyle w:val="Compact"/>
            </w:pPr>
            <w:r>
              <w:t xml:space="preserve">L</w:t>
            </w:r>
          </w:p>
        </w:tc>
        <w:tc>
          <w:tcPr/>
          <w:p>
            <w:pPr>
              <w:pStyle w:val="Compact"/>
            </w:pPr>
            <w:r>
              <w:t xml:space="preserve">I</w:t>
            </w:r>
          </w:p>
        </w:tc>
        <w:tc>
          <w:tcPr/>
          <w:p>
            <w:pPr>
              <w:pStyle w:val="Compact"/>
            </w:pPr>
            <w:r>
              <w:t xml:space="preserve">Total</w:t>
            </w:r>
          </w:p>
        </w:tc>
      </w:tr>
      <w:tr>
        <w:tc>
          <w:tcPr/>
          <w:p>
            <w:pPr>
              <w:pStyle w:val="Compact"/>
            </w:pPr>
            <w:r>
              <w:t xml:space="preserve">CryptixWebPortal</w:t>
            </w:r>
          </w:p>
        </w:tc>
        <w:tc>
          <w:tcPr/>
          <w:p>
            <w:pPr>
              <w:pStyle w:val="Compact"/>
            </w:pPr>
            <w:r>
              <w:t xml:space="preserve">Datasec doc-exchange portal (TokenOne)</w:t>
            </w:r>
          </w:p>
        </w:tc>
        <w:tc>
          <w:tcPr/>
          <w:p>
            <w:pPr>
              <w:pStyle w:val="Compact"/>
            </w:pPr>
            <w:r>
              <w:rPr>
                <w:b/>
                <w:bCs/>
              </w:rPr>
              <w:t xml:space="preserve">4</w:t>
            </w:r>
          </w:p>
        </w:tc>
        <w:tc>
          <w:tcPr/>
          <w:p>
            <w:pPr>
              <w:pStyle w:val="Compact"/>
            </w:pPr>
            <w:r>
              <w:t xml:space="preserve">8</w:t>
            </w:r>
          </w:p>
        </w:tc>
        <w:tc>
          <w:tcPr/>
          <w:p>
            <w:pPr>
              <w:pStyle w:val="Compact"/>
            </w:pPr>
            <w:r>
              <w:t xml:space="preserve">10</w:t>
            </w:r>
          </w:p>
        </w:tc>
        <w:tc>
          <w:tcPr/>
          <w:p>
            <w:pPr>
              <w:pStyle w:val="Compact"/>
            </w:pPr>
            <w:r>
              <w:t xml:space="preserve">6</w:t>
            </w:r>
          </w:p>
        </w:tc>
        <w:tc>
          <w:tcPr/>
          <w:p>
            <w:pPr>
              <w:pStyle w:val="Compact"/>
            </w:pPr>
            <w:r>
              <w:t xml:space="preserve">2</w:t>
            </w:r>
          </w:p>
        </w:tc>
        <w:tc>
          <w:tcPr/>
          <w:p>
            <w:pPr>
              <w:pStyle w:val="Compact"/>
            </w:pPr>
            <w:r>
              <w:t xml:space="preserve">30</w:t>
            </w:r>
          </w:p>
        </w:tc>
      </w:tr>
      <w:tr>
        <w:tc>
          <w:tcPr/>
          <w:p>
            <w:pPr>
              <w:pStyle w:val="Compact"/>
            </w:pPr>
            <w:r>
              <w:t xml:space="preserve">OneTimePad</w:t>
            </w:r>
          </w:p>
        </w:tc>
        <w:tc>
          <w:tcPr/>
          <w:p>
            <w:pPr>
              <w:pStyle w:val="Compact"/>
            </w:pPr>
            <w:r>
              <w:rPr>
                <w:b/>
                <w:bCs/>
              </w:rPr>
              <w:t xml:space="preserve">brand: CypherKey</w:t>
            </w:r>
            <w:r>
              <w:t xml:space="preserve"> </w:t>
            </w:r>
            <w:r>
              <w:t xml:space="preserve">— passwordless IdP</w:t>
            </w:r>
          </w:p>
        </w:tc>
        <w:tc>
          <w:tcPr/>
          <w:p>
            <w:pPr>
              <w:pStyle w:val="Compact"/>
            </w:pPr>
            <w:r>
              <w:rPr>
                <w:b/>
                <w:bCs/>
              </w:rPr>
              <w:t xml:space="preserve">2</w:t>
            </w:r>
          </w:p>
        </w:tc>
        <w:tc>
          <w:tcPr/>
          <w:p>
            <w:pPr>
              <w:pStyle w:val="Compact"/>
            </w:pPr>
            <w:r>
              <w:t xml:space="preserve">7</w:t>
            </w:r>
          </w:p>
        </w:tc>
        <w:tc>
          <w:tcPr/>
          <w:p>
            <w:pPr>
              <w:pStyle w:val="Compact"/>
            </w:pPr>
            <w:r>
              <w:t xml:space="preserve">14</w:t>
            </w:r>
          </w:p>
        </w:tc>
        <w:tc>
          <w:tcPr/>
          <w:p>
            <w:pPr>
              <w:pStyle w:val="Compact"/>
            </w:pPr>
            <w:r>
              <w:t xml:space="preserve">10</w:t>
            </w:r>
          </w:p>
        </w:tc>
        <w:tc>
          <w:tcPr/>
          <w:p>
            <w:pPr>
              <w:pStyle w:val="Compact"/>
            </w:pPr>
            <w:r>
              <w:t xml:space="preserve">3</w:t>
            </w:r>
          </w:p>
        </w:tc>
        <w:tc>
          <w:tcPr/>
          <w:p>
            <w:pPr>
              <w:pStyle w:val="Compact"/>
            </w:pPr>
            <w:r>
              <w:t xml:space="preserve">36</w:t>
            </w:r>
          </w:p>
        </w:tc>
      </w:tr>
      <w:tr>
        <w:tc>
          <w:tcPr/>
          <w:p>
            <w:pPr>
              <w:pStyle w:val="Compact"/>
            </w:pPr>
            <w:r>
              <w:t xml:space="preserve">Reporting Dashboard AU (</w:t>
            </w:r>
            <w:r>
              <w:rPr>
                <w:b/>
                <w:bCs/>
              </w:rPr>
              <w:t xml:space="preserve">= NexusAI</w:t>
            </w:r>
            <w:r>
              <w:t xml:space="preserve">)</w:t>
            </w:r>
          </w:p>
        </w:tc>
        <w:tc>
          <w:tcPr/>
          <w:p>
            <w:pPr>
              <w:pStyle w:val="Compact"/>
            </w:pPr>
            <w:r>
              <w:t xml:space="preserve">reporting + Azure Marketplace</w:t>
            </w:r>
          </w:p>
        </w:tc>
        <w:tc>
          <w:tcPr/>
          <w:p>
            <w:pPr>
              <w:pStyle w:val="Compact"/>
            </w:pPr>
            <w:r>
              <w:rPr>
                <w:b/>
                <w:bCs/>
              </w:rPr>
              <w:t xml:space="preserve">1</w:t>
            </w:r>
          </w:p>
        </w:tc>
        <w:tc>
          <w:tcPr/>
          <w:p>
            <w:pPr>
              <w:pStyle w:val="Compact"/>
            </w:pPr>
            <w:r>
              <w:t xml:space="preserve">4</w:t>
            </w:r>
          </w:p>
        </w:tc>
        <w:tc>
          <w:tcPr/>
          <w:p>
            <w:pPr>
              <w:pStyle w:val="Compact"/>
            </w:pPr>
            <w:r>
              <w:t xml:space="preserve">6</w:t>
            </w:r>
          </w:p>
        </w:tc>
        <w:tc>
          <w:tcPr/>
          <w:p>
            <w:pPr>
              <w:pStyle w:val="Compact"/>
            </w:pPr>
            <w:r>
              <w:t xml:space="preserve">4</w:t>
            </w:r>
          </w:p>
        </w:tc>
        <w:tc>
          <w:tcPr/>
          <w:p>
            <w:pPr>
              <w:pStyle w:val="Compact"/>
            </w:pPr>
            <w:r>
              <w:t xml:space="preserve">2</w:t>
            </w:r>
          </w:p>
        </w:tc>
        <w:tc>
          <w:tcPr/>
          <w:p>
            <w:pPr>
              <w:pStyle w:val="Compact"/>
            </w:pPr>
            <w:r>
              <w:t xml:space="preserve">17</w:t>
            </w:r>
          </w:p>
        </w:tc>
      </w:tr>
      <w:tr>
        <w:tc>
          <w:tcPr/>
          <w:p>
            <w:pPr>
              <w:pStyle w:val="Compact"/>
            </w:pPr>
            <w:r>
              <w:t xml:space="preserve">myPKI</w:t>
            </w:r>
          </w:p>
        </w:tc>
        <w:tc>
          <w:tcPr/>
          <w:p>
            <w:pPr>
              <w:pStyle w:val="Compact"/>
            </w:pPr>
            <w:r>
              <w:t xml:space="preserve">PKI product</w:t>
            </w:r>
          </w:p>
        </w:tc>
        <w:tc>
          <w:tcPr/>
          <w:p>
            <w:pPr>
              <w:pStyle w:val="Compact"/>
            </w:pPr>
            <w:r>
              <w:rPr>
                <w:b/>
                <w:bCs/>
              </w:rPr>
              <w:t xml:space="preserve">1</w:t>
            </w:r>
          </w:p>
        </w:tc>
        <w:tc>
          <w:tcPr/>
          <w:p>
            <w:pPr>
              <w:pStyle w:val="Compact"/>
            </w:pPr>
            <w:r>
              <w:t xml:space="preserve">4</w:t>
            </w:r>
          </w:p>
        </w:tc>
        <w:tc>
          <w:tcPr/>
          <w:p>
            <w:pPr>
              <w:pStyle w:val="Compact"/>
            </w:pPr>
            <w:r>
              <w:t xml:space="preserve">4</w:t>
            </w:r>
          </w:p>
        </w:tc>
        <w:tc>
          <w:tcPr/>
          <w:p>
            <w:pPr>
              <w:pStyle w:val="Compact"/>
            </w:pPr>
            <w:r>
              <w:t xml:space="preserve">3</w:t>
            </w:r>
          </w:p>
        </w:tc>
        <w:tc>
          <w:tcPr/>
          <w:p>
            <w:pPr>
              <w:pStyle w:val="Compact"/>
            </w:pPr>
            <w:r>
              <w:t xml:space="preserve">1</w:t>
            </w:r>
          </w:p>
        </w:tc>
        <w:tc>
          <w:tcPr/>
          <w:p>
            <w:pPr>
              <w:pStyle w:val="Compact"/>
            </w:pPr>
            <w:r>
              <w:t xml:space="preserve">13</w:t>
            </w:r>
          </w:p>
        </w:tc>
      </w:tr>
      <w:tr>
        <w:tc>
          <w:tcPr/>
          <w:p>
            <w:pPr>
              <w:pStyle w:val="Compact"/>
            </w:pPr>
            <w:r>
              <w:t xml:space="preserve">SecurePDF</w:t>
            </w:r>
          </w:p>
        </w:tc>
        <w:tc>
          <w:tcPr/>
          <w:p>
            <w:pPr>
              <w:pStyle w:val="Compact"/>
            </w:pPr>
            <w:r>
              <w:t xml:space="preserve">PDF encryption (NOT signing — see §4)</w:t>
            </w:r>
          </w:p>
        </w:tc>
        <w:tc>
          <w:tcPr/>
          <w:p>
            <w:pPr>
              <w:pStyle w:val="Compact"/>
            </w:pPr>
            <w:r>
              <w:rPr>
                <w:b/>
                <w:bCs/>
              </w:rPr>
              <w:t xml:space="preserve">1</w:t>
            </w:r>
          </w:p>
        </w:tc>
        <w:tc>
          <w:tcPr/>
          <w:p>
            <w:pPr>
              <w:pStyle w:val="Compact"/>
            </w:pPr>
            <w:r>
              <w:t xml:space="preserve">1</w:t>
            </w:r>
          </w:p>
        </w:tc>
        <w:tc>
          <w:tcPr/>
          <w:p>
            <w:pPr>
              <w:pStyle w:val="Compact"/>
            </w:pPr>
            <w:r>
              <w:t xml:space="preserve">3</w:t>
            </w:r>
          </w:p>
        </w:tc>
        <w:tc>
          <w:tcPr/>
          <w:p>
            <w:pPr>
              <w:pStyle w:val="Compact"/>
            </w:pPr>
            <w:r>
              <w:t xml:space="preserve">2</w:t>
            </w:r>
          </w:p>
        </w:tc>
        <w:tc>
          <w:tcPr/>
          <w:p>
            <w:pPr>
              <w:pStyle w:val="Compact"/>
            </w:pPr>
            <w:r>
              <w:t xml:space="preserve">2</w:t>
            </w:r>
          </w:p>
        </w:tc>
        <w:tc>
          <w:tcPr/>
          <w:p>
            <w:pPr>
              <w:pStyle w:val="Compact"/>
            </w:pPr>
            <w:r>
              <w:t xml:space="preserve">9</w:t>
            </w:r>
          </w:p>
        </w:tc>
      </w:tr>
      <w:tr>
        <w:tc>
          <w:tcPr/>
          <w:p>
            <w:pPr>
              <w:pStyle w:val="Compact"/>
            </w:pPr>
            <w:r>
              <w:t xml:space="preserve">HPSM</w:t>
            </w:r>
          </w:p>
        </w:tc>
        <w:tc>
          <w:tcPr/>
          <w:p>
            <w:pPr>
              <w:pStyle w:val="Compact"/>
            </w:pPr>
            <w:r>
              <w:t xml:space="preserve">scaffold only —</w:t>
            </w:r>
            <w:r>
              <w:t xml:space="preserve"> </w:t>
            </w:r>
            <w:r>
              <w:rPr>
                <w:b/>
                <w:bCs/>
              </w:rPr>
              <w:t xml:space="preserve">nothing to assess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w:t>
            </w:r>
          </w:p>
        </w:tc>
        <w:tc>
          <w:tcPr/>
          <w:p>
            <w:pPr>
              <w:pStyle w:val="Compact"/>
            </w:pPr>
            <w:r>
              <w:t xml:space="preserve">1</w:t>
            </w:r>
          </w:p>
        </w:tc>
      </w:tr>
      <w:tr>
        <w:tc>
          <w:tcPr/>
          <w:p>
            <w:pPr>
              <w:pStyle w:val="Compact"/>
            </w:pPr>
            <w:r>
              <w:rPr>
                <w:i/>
                <w:iCs/>
              </w:rPr>
              <w:t xml:space="preserve">Vision Sales Portal</w:t>
            </w:r>
          </w:p>
        </w:tc>
        <w:tc>
          <w:tcPr/>
          <w:p>
            <w:pPr>
              <w:pStyle w:val="Compact"/>
            </w:pPr>
            <w:r>
              <w:rPr>
                <w:i/>
                <w:iCs/>
              </w:rPr>
              <w:t xml:space="preserve">PARKED 2026-09-07</w:t>
            </w:r>
          </w:p>
        </w:tc>
        <w:tc>
          <w:tcPr/>
          <w:p>
            <w:pPr>
              <w:pStyle w:val="Compact"/>
            </w:pPr>
            <w:r>
              <w:rPr>
                <w:i/>
                <w:iCs/>
              </w:rPr>
              <w:t xml:space="preserve">1</w:t>
            </w:r>
          </w:p>
        </w:tc>
        <w:tc>
          <w:tcPr/>
          <w:p>
            <w:pPr>
              <w:pStyle w:val="Compact"/>
            </w:pPr>
            <w:r>
              <w:rPr>
                <w:i/>
                <w:iCs/>
              </w:rPr>
              <w:t xml:space="preserve">1</w:t>
            </w:r>
          </w:p>
        </w:tc>
        <w:tc>
          <w:tcPr/>
          <w:p>
            <w:pPr>
              <w:pStyle w:val="Compact"/>
            </w:pPr>
            <w:r>
              <w:rPr>
                <w:i/>
                <w:iCs/>
              </w:rPr>
              <w:t xml:space="preserve">3</w:t>
            </w:r>
          </w:p>
        </w:tc>
        <w:tc>
          <w:tcPr/>
          <w:p>
            <w:pPr>
              <w:pStyle w:val="Compact"/>
            </w:pPr>
            <w:r>
              <w:rPr>
                <w:i/>
                <w:iCs/>
              </w:rPr>
              <w:t xml:space="preserve">2</w:t>
            </w:r>
          </w:p>
        </w:tc>
        <w:tc>
          <w:tcPr/>
          <w:p>
            <w:pPr>
              <w:pStyle w:val="Compact"/>
            </w:pPr>
            <w:r>
              <w:rPr>
                <w:i/>
                <w:iCs/>
              </w:rPr>
              <w:t xml:space="preserve">1</w:t>
            </w:r>
          </w:p>
        </w:tc>
        <w:tc>
          <w:tcPr/>
          <w:p>
            <w:pPr>
              <w:pStyle w:val="Compact"/>
            </w:pPr>
            <w:r>
              <w:rPr>
                <w:i/>
                <w:iCs/>
              </w:rPr>
              <w:t xml:space="preserve">17</w:t>
            </w:r>
          </w:p>
        </w:tc>
      </w:tr>
      <w:tr>
        <w:tc>
          <w:tcPr/>
          <w:p>
            <w:pPr>
              <w:pStyle w:val="Compact"/>
            </w:pPr>
            <w:r>
              <w:rPr>
                <w:i/>
                <w:iCs/>
              </w:rPr>
              <w:t xml:space="preserve">QuickQuote</w:t>
            </w:r>
          </w:p>
        </w:tc>
        <w:tc>
          <w:tcPr/>
          <w:p>
            <w:pPr>
              <w:pStyle w:val="Compact"/>
            </w:pPr>
            <w:r>
              <w:rPr>
                <w:i/>
                <w:iCs/>
              </w:rPr>
              <w:t xml:space="preserve">PARKED 2026-09-07</w:t>
            </w:r>
          </w:p>
        </w:tc>
        <w:tc>
          <w:tcPr/>
          <w:p>
            <w:pPr>
              <w:pStyle w:val="Compact"/>
            </w:pPr>
            <w:r>
              <w:rPr>
                <w:i/>
                <w:iCs/>
              </w:rPr>
              <w:t xml:space="preserve">—</w:t>
            </w:r>
          </w:p>
        </w:tc>
        <w:tc>
          <w:tcPr/>
          <w:p>
            <w:pPr>
              <w:pStyle w:val="Compact"/>
            </w:pPr>
            <w:r>
              <w:rPr>
                <w:i/>
                <w:iCs/>
              </w:rPr>
              <w:t xml:space="preserve">1</w:t>
            </w:r>
          </w:p>
        </w:tc>
        <w:tc>
          <w:tcPr/>
          <w:p>
            <w:pPr>
              <w:pStyle w:val="Compact"/>
            </w:pPr>
            <w:r>
              <w:rPr>
                <w:i/>
                <w:iCs/>
              </w:rPr>
              <w:t xml:space="preserve">3</w:t>
            </w:r>
          </w:p>
        </w:tc>
        <w:tc>
          <w:tcPr/>
          <w:p>
            <w:pPr>
              <w:pStyle w:val="Compact"/>
            </w:pPr>
            <w:r>
              <w:rPr>
                <w:i/>
                <w:iCs/>
              </w:rPr>
              <w:t xml:space="preserve">4</w:t>
            </w:r>
          </w:p>
        </w:tc>
        <w:tc>
          <w:tcPr/>
          <w:p>
            <w:pPr>
              <w:pStyle w:val="Compact"/>
            </w:pPr>
            <w:r>
              <w:rPr>
                <w:i/>
                <w:iCs/>
              </w:rPr>
              <w:t xml:space="preserve">1</w:t>
            </w:r>
          </w:p>
        </w:tc>
        <w:tc>
          <w:tcPr/>
          <w:p>
            <w:pPr>
              <w:pStyle w:val="Compact"/>
            </w:pPr>
            <w:r>
              <w:rPr>
                <w:i/>
                <w:iCs/>
              </w:rPr>
              <w:t xml:space="preserve">(both)</w:t>
            </w:r>
          </w:p>
        </w:tc>
      </w:tr>
    </w:tbl>
    <w:p>
      <w:pPr>
        <w:pStyle w:val="BodyText"/>
      </w:pPr>
      <w:r>
        <w:t xml:space="preserve">The parked pair is tallied jointly in the total column: Vision Sales Portal contributes eight</w:t>
      </w:r>
      <w:r>
        <w:t xml:space="preserve"> </w:t>
      </w:r>
      <w:r>
        <w:t xml:space="preserve">findings and QuickQuote nine, giving seventeen for the pair.</w:t>
      </w:r>
    </w:p>
    <w:p/>
    <w:p/>
    <w:p/>
    <w:bookmarkEnd w:id="42"/>
    <w:bookmarkStart w:id="49" w:name="Xdf72931f799d1d558b88245d1d12904795d2b28"/>
    <w:p>
      <w:pPr>
        <w:pStyle w:val="Heading3"/>
      </w:pPr>
      <w:r>
        <w:t xml:space="preserve">3.4 Delta review, Task-Dispatcher</w:t>
      </w:r>
    </w:p>
    <w:p>
      <w:pPr>
        <w:pStyle w:val="FirstParagraph"/>
      </w:pPr>
      <w:r>
        <w:t xml:space="preserve">Task-Dispatcher was one of the eight components delta-reviewed on 2026-09-07 before the session</w:t>
      </w:r>
      <w:r>
        <w:t xml:space="preserve"> </w:t>
      </w:r>
      <w:r>
        <w:t xml:space="preserve">limit. Those reviews produced findings that had been carried in working files and counted nowhere;</w:t>
      </w:r>
      <w:r>
        <w:t xml:space="preserve"> </w:t>
      </w:r>
      <w:r>
        <w:t xml:space="preserve">they were filed as counted rows on 2026-09-08 and</w:t>
      </w:r>
      <w:r>
        <w:t xml:space="preserve"> </w:t>
      </w:r>
      <w:r>
        <w:rPr>
          <w:b/>
          <w:bCs/>
        </w:rPr>
        <w:t xml:space="preserve">all have since been independently re-derived at</w:t>
      </w:r>
      <w:r>
        <w:rPr>
          <w:b/>
          <w:bCs/>
        </w:rPr>
        <w:t xml:space="preserve"> </w:t>
      </w:r>
      <w:r>
        <w:rPr>
          <w:b/>
          <w:bCs/>
        </w:rPr>
        <w:t xml:space="preserve">source</w:t>
      </w:r>
      <w:r>
        <w:t xml:space="preserve"> </w:t>
      </w:r>
      <w:r>
        <w:t xml:space="preserve">in round 2.</w:t>
      </w:r>
      <w:r>
        <w:t xml:space="preserve"> </w:t>
      </w:r>
      <w:r>
        <w:rPr>
          <w:b/>
          <w:bCs/>
        </w:rPr>
        <w:t xml:space="preserve">Severities below are not transcribed; they are re-derived, and the vector is</w:t>
      </w:r>
      <w:r>
        <w:rPr>
          <w:b/>
          <w:bCs/>
        </w:rPr>
        <w:t xml:space="preserve"> </w:t>
      </w:r>
      <w:r>
        <w:rPr>
          <w:b/>
          <w:bCs/>
        </w:rPr>
        <w:t xml:space="preserve">recorded beside the score wherever a verifier produced one.</w:t>
      </w:r>
    </w:p>
    <w:p>
      <w:pPr>
        <w:pStyle w:val="BodyText"/>
      </w:pPr>
      <w:r>
        <w:rPr>
          <w:b/>
          <w:bCs/>
        </w:rPr>
        <w:t xml:space="preserve">Summary of the findings in this section.</w:t>
      </w:r>
      <w:r>
        <w:t xml:space="preserve"> </w:t>
      </w:r>
      <w:r>
        <w:t xml:space="preserve">The full record for each — the issue, the suggested fix, and below them what was tested, how it was tested and how to resolve it — follows the table, one finding to a block.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Component</w:t>
            </w:r>
          </w:p>
        </w:tc>
        <w:tc>
          <w:tcPr/>
          <w:p>
            <w:pPr>
              <w:pStyle w:val="Compact"/>
            </w:pPr>
            <w:r>
              <w:t xml:space="preserve">Severity</w:t>
            </w:r>
          </w:p>
        </w:tc>
        <w:tc>
          <w:tcPr/>
          <w:p>
            <w:pPr>
              <w:pStyle w:val="Compact"/>
            </w:pPr>
            <w:r>
              <w:t xml:space="preserve">CVSS 3.1</w:t>
            </w:r>
          </w:p>
        </w:tc>
        <w:tc>
          <w:tcPr/>
          <w:p>
            <w:pPr>
              <w:pStyle w:val="Compact"/>
            </w:pPr>
            <w:r>
              <w:t xml:space="preserve">Finding</w:t>
            </w:r>
          </w:p>
        </w:tc>
      </w:tr>
      <w:tr>
        <w:tc>
          <w:tcPr/>
          <w:p>
            <w:pPr>
              <w:pStyle w:val="Compact"/>
            </w:pPr>
            <w:r>
              <w:t xml:space="preserve">TD-D1</w:t>
            </w:r>
          </w:p>
        </w:tc>
        <w:tc>
          <w:tcPr/>
          <w:p>
            <w:pPr>
              <w:pStyle w:val="Compact"/>
            </w:pPr>
            <w:r>
              <w:t xml:space="preserve">Task-Dispatcher</w:t>
            </w:r>
          </w:p>
        </w:tc>
        <w:tc>
          <w:tcPr/>
          <w:p>
            <w:pPr>
              <w:pStyle w:val="Compact"/>
            </w:pPr>
            <w:r>
              <w:t xml:space="preserve">Medium</w:t>
            </w:r>
            <w:r>
              <w:t xml:space="preserve"> </w:t>
            </w:r>
            <w:r>
              <w:rPr>
                <w:i/>
                <w:iCs/>
              </w:rPr>
              <w:t xml:space="preserve">(bucketed "env-adjusted")</w:t>
            </w:r>
          </w:p>
        </w:tc>
        <w:tc>
          <w:tcPr/>
          <w:p>
            <w:pPr>
              <w:pStyle w:val="Compact"/>
            </w:pPr>
            <w:r>
              <w:rPr>
                <w:b/>
                <w:bCs/>
              </w:rPr>
              <w:t xml:space="preserve">8.7 base</w:t>
            </w:r>
            <w:r>
              <w:t xml:space="preserve"> </w:t>
            </w:r>
            <w:r>
              <w:rPr>
                <w:rStyle w:val="VerbatimChar"/>
              </w:rPr>
              <w:t xml:space="preserve">CVSS:3.1/AV:L/AC:L/PR:L/UI:N/S:C/C:H/I:H/A:L</w:t>
            </w:r>
          </w:p>
        </w:tc>
        <w:tc>
          <w:tcPr/>
          <w:p>
            <w:pPr>
              <w:pStyle w:val="Compact"/>
            </w:pPr>
            <w:r>
              <w:t xml:space="preserve">The consumer side of the pipeline is also unauthenticated: the Cursor rule executes whatever answers on</w:t>
            </w:r>
            <w:r>
              <w:t xml:space="preserve"> </w:t>
            </w:r>
            <w:r>
              <w:rPr>
                <w:rStyle w:val="VerbatimChar"/>
              </w:rPr>
              <w:t xml:space="preserve">localhost:4901</w:t>
            </w:r>
            <w:r>
              <w:t xml:space="preserve">, so any local process that binds…</w:t>
            </w:r>
          </w:p>
        </w:tc>
      </w:tr>
      <w:tr>
        <w:tc>
          <w:tcPr/>
          <w:p>
            <w:pPr>
              <w:pStyle w:val="Compact"/>
            </w:pPr>
            <w:r>
              <w:t xml:space="preserve">TD-D2</w:t>
            </w:r>
          </w:p>
        </w:tc>
        <w:tc>
          <w:tcPr/>
          <w:p>
            <w:pPr>
              <w:pStyle w:val="Compact"/>
            </w:pPr>
            <w:r>
              <w:t xml:space="preserve">Task-Dispatcher</w:t>
            </w:r>
          </w:p>
        </w:tc>
        <w:tc>
          <w:tcPr/>
          <w:p>
            <w:pPr>
              <w:pStyle w:val="Compact"/>
            </w:pPr>
            <w:r>
              <w:t xml:space="preserve">Low</w:t>
            </w:r>
          </w:p>
        </w:tc>
        <w:tc>
          <w:tcPr/>
          <w:p>
            <w:pPr>
              <w:pStyle w:val="Compact"/>
            </w:pPr>
            <w:r>
              <w:rPr>
                <w:b/>
                <w:bCs/>
              </w:rPr>
              <w:t xml:space="preserve">3.5</w:t>
            </w:r>
            <w:r>
              <w:t xml:space="preserve"> </w:t>
            </w:r>
            <w:r>
              <w:rPr>
                <w:rStyle w:val="VerbatimChar"/>
              </w:rPr>
              <w:t xml:space="preserve">CVSS:3.1/AV:A/AC:L/PR:N/UI:R/S:U/C:N/I:L/A:N</w:t>
            </w:r>
          </w:p>
        </w:tc>
        <w:tc>
          <w:tcPr/>
          <w:p>
            <w:pPr>
              <w:pStyle w:val="Compact"/>
            </w:pPr>
            <w:r>
              <w:t xml:space="preserve">Unauthenticated HTTP callers can inject arbitrary Markdown into the operator's Telegram "approval channel"</w:t>
            </w:r>
          </w:p>
        </w:tc>
      </w:tr>
      <w:tr>
        <w:tc>
          <w:tcPr/>
          <w:p>
            <w:pPr>
              <w:pStyle w:val="Compact"/>
            </w:pPr>
            <w:r>
              <w:t xml:space="preserve">TD-D3</w:t>
            </w:r>
          </w:p>
        </w:tc>
        <w:tc>
          <w:tcPr/>
          <w:p>
            <w:pPr>
              <w:pStyle w:val="Compact"/>
            </w:pPr>
            <w:r>
              <w:t xml:space="preserve">Task-Dispatcher</w:t>
            </w:r>
          </w:p>
        </w:tc>
        <w:tc>
          <w:tcPr/>
          <w:p>
            <w:pPr>
              <w:pStyle w:val="Compact"/>
            </w:pPr>
            <w:r>
              <w:t xml:space="preserve">Low</w:t>
            </w:r>
            <w:r>
              <w:t xml:space="preserve"> </w:t>
            </w:r>
            <w:r>
              <w:rPr>
                <w:i/>
                <w:iCs/>
              </w:rPr>
              <w:t xml:space="preserve">(reason now recorded)</w:t>
            </w:r>
          </w:p>
        </w:tc>
        <w:tc>
          <w:tcPr/>
          <w:p>
            <w:pPr>
              <w:pStyle w:val="Compact"/>
            </w:pPr>
            <w:r>
              <w:rPr>
                <w:b/>
                <w:bCs/>
              </w:rPr>
              <w:t xml:space="preserve">4.2</w:t>
            </w:r>
            <w:r>
              <w:t xml:space="preserve"> </w:t>
            </w:r>
            <w:r>
              <w:rPr>
                <w:rStyle w:val="VerbatimChar"/>
              </w:rPr>
              <w:t xml:space="preserve">CVSS:3.1/AV:N/AC:H/PR:N/UI:R/S:U/C:N/I:L/A:L</w:t>
            </w:r>
            <w:r>
              <w:t xml:space="preserve"> </w:t>
            </w:r>
            <w:r>
              <w:rPr>
                <w:i/>
                <w:iCs/>
              </w:rPr>
              <w:t xml:space="preserve">(a Medium-band number, and the Low is deliberate)</w:t>
            </w:r>
          </w:p>
        </w:tc>
        <w:tc>
          <w:tcPr/>
          <w:p>
            <w:pPr>
              <w:pStyle w:val="Compact"/>
            </w:pPr>
            <w:r>
              <w:rPr>
                <w:rStyle w:val="VerbatimChar"/>
              </w:rPr>
              <w:t xml:space="preserve">callback_query</w:t>
            </w:r>
            <w:r>
              <w:t xml:space="preserve"> </w:t>
            </w:r>
            <w:r>
              <w:t xml:space="preserve">handler lacks the chat-id gate that the message handler applies</w:t>
            </w:r>
          </w:p>
        </w:tc>
      </w:tr>
      <w:tr>
        <w:tc>
          <w:tcPr/>
          <w:p>
            <w:pPr>
              <w:pStyle w:val="Compact"/>
            </w:pPr>
            <w:r>
              <w:t xml:space="preserve">TD-D4</w:t>
            </w:r>
          </w:p>
        </w:tc>
        <w:tc>
          <w:tcPr/>
          <w:p>
            <w:pPr>
              <w:pStyle w:val="Compact"/>
            </w:pPr>
            <w:r>
              <w:t xml:space="preserve">Task-Dispatcher</w:t>
            </w:r>
          </w:p>
        </w:tc>
        <w:tc>
          <w:tcPr/>
          <w:p>
            <w:pPr>
              <w:pStyle w:val="Compact"/>
            </w:pPr>
            <w:r>
              <w:t xml:space="preserve">Info</w:t>
            </w:r>
          </w:p>
        </w:tc>
        <w:tc>
          <w:tcPr/>
          <w:p>
            <w:pPr>
              <w:pStyle w:val="Compact"/>
            </w:pPr>
            <w:r>
              <w:t xml:space="preserve">—</w:t>
            </w:r>
          </w:p>
        </w:tc>
        <w:tc>
          <w:tcPr/>
          <w:p>
            <w:pPr>
              <w:pStyle w:val="Compact"/>
            </w:pPr>
            <w:r>
              <w:t xml:space="preserve">Informational:</w:t>
            </w:r>
            <w:r>
              <w:t xml:space="preserve"> </w:t>
            </w:r>
            <w:r>
              <w:rPr>
                <w:rStyle w:val="VerbatimChar"/>
              </w:rPr>
              <w:t xml:space="preserve">git add -A</w:t>
            </w:r>
            <w:r>
              <w:t xml:space="preserve"> </w:t>
            </w:r>
            <w:r>
              <w:t xml:space="preserve">by an autonomous agent on a developer working tree</w:t>
            </w:r>
          </w:p>
        </w:tc>
      </w:tr>
      <w:tr>
        <w:tc>
          <w:tcPr/>
          <w:p>
            <w:pPr>
              <w:pStyle w:val="Compact"/>
            </w:pPr>
            <w:r>
              <w:t xml:space="preserve">TD-D5</w:t>
            </w:r>
          </w:p>
        </w:tc>
        <w:tc>
          <w:tcPr/>
          <w:p>
            <w:pPr>
              <w:pStyle w:val="Compact"/>
            </w:pPr>
            <w:r>
              <w:t xml:space="preserve">Task-Dispatcher</w:t>
            </w:r>
          </w:p>
        </w:tc>
        <w:tc>
          <w:tcPr/>
          <w:p>
            <w:pPr>
              <w:pStyle w:val="Compact"/>
            </w:pPr>
            <w:r>
              <w:t xml:space="preserve">Info</w:t>
            </w:r>
          </w:p>
        </w:tc>
        <w:tc>
          <w:tcPr/>
          <w:p>
            <w:pPr>
              <w:pStyle w:val="Compact"/>
            </w:pPr>
            <w:r>
              <w:t xml:space="preserve">—</w:t>
            </w:r>
          </w:p>
        </w:tc>
        <w:tc>
          <w:tcPr/>
          <w:p>
            <w:pPr>
              <w:pStyle w:val="Compact"/>
            </w:pPr>
            <w:r>
              <w:t xml:space="preserve">Informational: precision on F-27's form-data claim</w:t>
            </w:r>
          </w:p>
        </w:tc>
      </w:tr>
      <w:tr>
        <w:tc>
          <w:tcPr/>
          <w:p>
            <w:pPr>
              <w:pStyle w:val="Compact"/>
            </w:pPr>
            <w:r>
              <w:t xml:space="preserve">TD-D6</w:t>
            </w:r>
          </w:p>
        </w:tc>
        <w:tc>
          <w:tcPr/>
          <w:p>
            <w:pPr>
              <w:pStyle w:val="Compact"/>
            </w:pPr>
            <w:r>
              <w:t xml:space="preserve">Task-Dispatcher</w:t>
            </w:r>
          </w:p>
        </w:tc>
        <w:tc>
          <w:tcPr/>
          <w:p>
            <w:pPr>
              <w:pStyle w:val="Compact"/>
            </w:pPr>
            <w:r>
              <w:t xml:space="preserve">Info</w:t>
            </w:r>
          </w:p>
        </w:tc>
        <w:tc>
          <w:tcPr/>
          <w:p>
            <w:pPr>
              <w:pStyle w:val="Compact"/>
            </w:pPr>
            <w:r>
              <w:t xml:space="preserve">—</w:t>
            </w:r>
          </w:p>
        </w:tc>
        <w:tc>
          <w:tcPr/>
          <w:p>
            <w:pPr>
              <w:pStyle w:val="Compact"/>
            </w:pPr>
            <w:r>
              <w:t xml:space="preserve">Informational: configuration observations</w:t>
            </w:r>
          </w:p>
        </w:tc>
      </w:tr>
    </w:tbl>
    <w:p/>
    <w:p/>
    <w:p/>
    <w:bookmarkStart w:id="43" w:name="X00b157075191457c5f41f5b1358a4c16bd38fd9"/>
    <w:p>
      <w:pPr>
        <w:pStyle w:val="Heading4"/>
      </w:pPr>
      <w:r>
        <w:t xml:space="preserve">TD-D1 — The consumer side of the pipeline is also unauthenticated: the Cursor rule executes whatever answers on</w:t>
      </w:r>
      <w:r>
        <w:t xml:space="preserve"> </w:t>
      </w:r>
      <w:r>
        <w:rPr>
          <w:rStyle w:val="VerbatimChar"/>
        </w:rPr>
        <w:t xml:space="preserve">localhost:4901</w:t>
      </w:r>
      <w:r>
        <w:t xml:space="preserve">, so any local process that binds the port feeds tasks into the autonomous deploy path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TD-D1</w:t>
            </w:r>
          </w:p>
        </w:tc>
        <w:tc>
          <w:tcPr/>
          <w:p>
            <w:pPr>
              <w:pStyle w:val="Compact"/>
            </w:pPr>
            <w:r>
              <w:rPr>
                <w:b/>
                <w:bCs/>
              </w:rPr>
              <w:t xml:space="preserve">Medium</w:t>
            </w:r>
            <w:r>
              <w:rPr>
                <w:b/>
                <w:bCs/>
              </w:rPr>
              <w:t xml:space="preserve"> </w:t>
            </w:r>
            <w:r>
              <w:rPr>
                <w:b/>
                <w:bCs/>
                <w:i/>
                <w:iCs/>
              </w:rPr>
              <w:t xml:space="preserve">(bucketed "env-adjusted")</w:t>
            </w:r>
            <w:r>
              <w:t xml:space="preserve"> </w:t>
            </w:r>
            <w:r>
              <w:t xml:space="preserve">· CVSS 3.1</w:t>
            </w:r>
            <w:r>
              <w:t xml:space="preserve"> </w:t>
            </w:r>
            <w:r>
              <w:rPr>
                <w:b/>
                <w:bCs/>
              </w:rPr>
              <w:t xml:space="preserve">8.7 base</w:t>
            </w:r>
            <w:r>
              <w:t xml:space="preserve"> </w:t>
            </w:r>
            <w:r>
              <w:rPr>
                <w:rStyle w:val="VerbatimChar"/>
              </w:rPr>
              <w:t xml:space="preserve">CVSS:3.1/AV:L/AC:L/PR:L/UI:N/S:C/C:H/I:H/A:L</w:t>
            </w:r>
            <w:r>
              <w:t xml:space="preserve"> </w:t>
            </w:r>
            <w:r>
              <w:t xml:space="preserve">· component</w:t>
            </w:r>
            <w:r>
              <w:t xml:space="preserve"> </w:t>
            </w:r>
            <w:r>
              <w:rPr>
                <w:b/>
                <w:bCs/>
              </w:rPr>
              <w:t xml:space="preserve">Task-Dispatcher</w:t>
            </w:r>
          </w:p>
        </w:tc>
      </w:tr>
      <w:tr>
        <w:tc>
          <w:tcPr/>
          <w:p>
            <w:pPr>
              <w:pStyle w:val="Compact"/>
            </w:pPr>
            <w:r>
              <w:rPr>
                <w:b/>
                <w:bCs/>
              </w:rPr>
              <w:t xml:space="preserve">The issue</w:t>
            </w:r>
          </w:p>
        </w:tc>
        <w:tc>
          <w:tcPr/>
          <w:p>
            <w:pPr>
              <w:pStyle w:val="Compact"/>
            </w:pPr>
            <w:r>
              <w:t xml:space="preserve">The consumer side of the pipeline is also unauthenticated: the Cursor rule executes whatever answers on</w:t>
            </w:r>
            <w:r>
              <w:t xml:space="preserve"> </w:t>
            </w:r>
            <w:r>
              <w:rPr>
                <w:rStyle w:val="VerbatimChar"/>
              </w:rPr>
              <w:t xml:space="preserve">localhost:4901</w:t>
            </w:r>
            <w:r>
              <w:t xml:space="preserve">, so any local process that binds the port feeds tasks into the autonomous deploy path</w:t>
            </w:r>
          </w:p>
        </w:tc>
      </w:tr>
      <w:tr>
        <w:tc>
          <w:tcPr/>
          <w:p>
            <w:pPr>
              <w:pStyle w:val="Compact"/>
            </w:pPr>
            <w:r>
              <w:rPr>
                <w:b/>
                <w:bCs/>
              </w:rPr>
              <w:t xml:space="preserve">Suggested fix</w:t>
            </w:r>
          </w:p>
        </w:tc>
        <w:tc>
          <w:tcPr/>
          <w:p>
            <w:pPr>
              <w:pStyle w:val="Compact"/>
            </w:pPr>
            <w:r>
              <w:t xml:space="preserve">Give the dispatcher a per-install shared secret that the rule must present, have the rule verify the responder before trusting it, and remove the session-start auto-run.</w:t>
            </w:r>
          </w:p>
        </w:tc>
      </w:tr>
      <w:tr>
        <w:tc>
          <w:tcPr/>
          <w:p>
            <w:pPr>
              <w:pStyle w:val="Compact"/>
            </w:pPr>
            <w:r>
              <w:rPr>
                <w:b/>
                <w:bCs/>
              </w:rPr>
              <w:t xml:space="preserve">What was tested</w:t>
            </w:r>
          </w:p>
        </w:tc>
        <w:tc>
          <w:tcPr/>
          <w:p>
            <w:pPr>
              <w:pStyle w:val="Compact"/>
            </w:pPr>
            <w:r>
              <w:t xml:space="preserve">The</w:t>
            </w:r>
            <w:r>
              <w:t xml:space="preserve"> </w:t>
            </w:r>
            <w:r>
              <w:rPr>
                <w:b/>
                <w:bCs/>
              </w:rPr>
              <w:t xml:space="preserve">Task-Dispatcher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delta-review-2026-09/task-dispatcher-main.md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Test record.</w:t>
            </w:r>
            <w:r>
              <w:t xml:space="preserve"> </w:t>
            </w:r>
            <w:r>
              <w:rPr>
                <w:i/>
                <w:iCs/>
              </w:rPr>
              <w:t xml:space="preserve">[2026-09-09:</w:t>
            </w:r>
            <w:r>
              <w:rPr>
                <w:i/>
                <w:iCs/>
              </w:rPr>
              <w:t xml:space="preserve"> </w:t>
            </w:r>
            <w:r>
              <w:rPr>
                <w:b/>
                <w:bCs/>
                <w:i/>
                <w:iCs/>
              </w:rPr>
              <w:t xml:space="preserve">confirmed outright — vector, arithmetic and bucket all correct.</w:t>
            </w:r>
            <w:r>
              <w:rPr>
                <w:i/>
                <w:iCs/>
              </w:rPr>
              <w:t xml:space="preserve"> </w:t>
            </w:r>
            <w:r>
              <w:rPr>
                <w:i/>
                <w:iCs/>
              </w:rPr>
              <w:t xml:space="preserve">The base 8.7 reproduces exactly and the Medium is a documented environmental adjustment from a High base, now recorded on the row instead of being invisible behind a</w:t>
            </w:r>
            <w:r>
              <w:rPr>
                <w:i/>
                <w:iCs/>
              </w:rPr>
              <w:t xml:space="preserve"> </w:t>
            </w:r>
            <w:r>
              <w:rPr>
                <w:rStyle w:val="VerbatimChar"/>
                <w:i/>
                <w:iCs/>
              </w:rPr>
              <w:t xml:space="preserve">—</w:t>
            </w:r>
            <w:r>
              <w:rPr>
                <w:i/>
                <w:iCs/>
              </w:rPr>
              <w:t xml:space="preserve">.]</w:t>
            </w:r>
          </w:p>
        </w:tc>
      </w:tr>
      <w:tr>
        <w:tc>
          <w:tcPr/>
          <w:p>
            <w:pPr>
              <w:pStyle w:val="Compact"/>
            </w:pPr>
            <w:r>
              <w:rPr>
                <w:b/>
                <w:bCs/>
              </w:rPr>
              <w:t xml:space="preserve">How to resolve</w:t>
            </w:r>
          </w:p>
        </w:tc>
        <w:tc>
          <w:tcPr/>
          <w:p>
            <w:pPr>
              <w:pStyle w:val="Compact"/>
            </w:pPr>
            <w:r>
              <w:t xml:space="preserve">(1) Give the dispatcher a per-install shared secret and have the rule send it (</w:t>
            </w:r>
            <w:r>
              <w:rPr>
                <w:rStyle w:val="VerbatimChar"/>
              </w:rPr>
              <w:t xml:space="preserve">Authorization: Bearer $TASK_DISPATCHER_TOKEN</w:t>
            </w:r>
            <w:r>
              <w:t xml:space="preserve"> </w:t>
            </w:r>
            <w:r>
              <w:t xml:space="preserve">from the developer's env) — the server must reject without it (this also closes F-31's server side). (2) Have the rule verify the responder: e.g.</w:t>
            </w:r>
            <w:r>
              <w:t xml:space="preserve"> </w:t>
            </w:r>
            <w:r>
              <w:rPr>
                <w:rStyle w:val="VerbatimChar"/>
              </w:rPr>
              <w:t xml:space="preserve">GET /api/health</w:t>
            </w:r>
            <w:r>
              <w:t xml:space="preserve"> </w:t>
            </w:r>
            <w:r>
              <w:t xml:space="preserve">must return a signed nonce or a known instance id stored outside the repo. (3) Remove</w:t>
            </w:r>
            <w:r>
              <w:t xml:space="preserve"> </w:t>
            </w:r>
            <w:r>
              <w:rPr>
                <w:rStyle w:val="VerbatimChar"/>
              </w:rPr>
              <w:t xml:space="preserve">alwaysApply</w:t>
            </w:r>
            <w:r>
              <w:t xml:space="preserve">/session-start auto-run; make task pickup an explicit, human-invoked action. (4) Keep the F-31 remediations (loopback bind is</w:t>
            </w:r>
            <w:r>
              <w:t xml:space="preserve"> </w:t>
            </w:r>
            <w:r>
              <w:rPr>
                <w:i/>
                <w:iCs/>
              </w:rPr>
              <w:t xml:space="preserve">not</w:t>
            </w:r>
            <w:r>
              <w:t xml:space="preserve"> </w:t>
            </w:r>
            <w:r>
              <w:t xml:space="preserve">sufficient against a local squatter — a token is).</w:t>
            </w:r>
            <w:r>
              <w:t xml:space="preserve"> </w:t>
            </w:r>
            <w:r>
              <w:rPr>
                <w:i/>
                <w:iCs/>
              </w:rPr>
              <w:t xml:space="preserve">(Recorded by the reviewer who raised the finding, in</w:t>
            </w:r>
            <w:r>
              <w:rPr>
                <w:i/>
                <w:iCs/>
              </w:rPr>
              <w:t xml:space="preserve"> </w:t>
            </w:r>
            <w:r>
              <w:rPr>
                <w:rStyle w:val="VerbatimChar"/>
                <w:i/>
                <w:iCs/>
              </w:rPr>
              <w:t xml:space="preserve">delta-review-2026-09/task-dispatcher-main.md</w:t>
            </w:r>
            <w:r>
              <w:rPr>
                <w:i/>
                <w:iCs/>
              </w:rPr>
              <w:t xml:space="preserve">.)</w:t>
            </w:r>
          </w:p>
        </w:tc>
      </w:tr>
    </w:tbl>
    <w:p/>
    <w:p/>
    <w:p/>
    <w:bookmarkEnd w:id="43"/>
    <w:bookmarkStart w:id="44" w:name="Xcb26ce6b54f291065cc708cfc8447d2e0f570c1"/>
    <w:p>
      <w:pPr>
        <w:pStyle w:val="Heading4"/>
      </w:pPr>
      <w:r>
        <w:t xml:space="preserve">TD-D2 — Unauthenticated HTTP callers can inject arbitrary Markdown into the operator's Telegram "approval channel"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TD-D2</w:t>
            </w:r>
          </w:p>
        </w:tc>
        <w:tc>
          <w:tcPr/>
          <w:p>
            <w:pPr>
              <w:pStyle w:val="Compact"/>
            </w:pPr>
            <w:r>
              <w:rPr>
                <w:b/>
                <w:bCs/>
              </w:rPr>
              <w:t xml:space="preserve">Low</w:t>
            </w:r>
            <w:r>
              <w:t xml:space="preserve"> </w:t>
            </w:r>
            <w:r>
              <w:t xml:space="preserve">· CVSS 3.1</w:t>
            </w:r>
            <w:r>
              <w:t xml:space="preserve"> </w:t>
            </w:r>
            <w:r>
              <w:rPr>
                <w:b/>
                <w:bCs/>
              </w:rPr>
              <w:t xml:space="preserve">3.5</w:t>
            </w:r>
            <w:r>
              <w:t xml:space="preserve"> </w:t>
            </w:r>
            <w:r>
              <w:rPr>
                <w:rStyle w:val="VerbatimChar"/>
              </w:rPr>
              <w:t xml:space="preserve">CVSS:3.1/AV:A/AC:L/PR:N/UI:R/S:U/C:N/I:L/A:N</w:t>
            </w:r>
            <w:r>
              <w:t xml:space="preserve"> </w:t>
            </w:r>
            <w:r>
              <w:t xml:space="preserve">· component</w:t>
            </w:r>
            <w:r>
              <w:t xml:space="preserve"> </w:t>
            </w:r>
            <w:r>
              <w:rPr>
                <w:b/>
                <w:bCs/>
              </w:rPr>
              <w:t xml:space="preserve">Task-Dispatcher</w:t>
            </w:r>
          </w:p>
        </w:tc>
      </w:tr>
      <w:tr>
        <w:tc>
          <w:tcPr/>
          <w:p>
            <w:pPr>
              <w:pStyle w:val="Compact"/>
            </w:pPr>
            <w:r>
              <w:rPr>
                <w:b/>
                <w:bCs/>
              </w:rPr>
              <w:t xml:space="preserve">The issue</w:t>
            </w:r>
          </w:p>
        </w:tc>
        <w:tc>
          <w:tcPr/>
          <w:p>
            <w:pPr>
              <w:pStyle w:val="Compact"/>
            </w:pPr>
            <w:r>
              <w:t xml:space="preserve">Unauthenticated HTTP callers can inject arbitrary Markdown into the operator's Telegram "approval channel"</w:t>
            </w:r>
          </w:p>
        </w:tc>
      </w:tr>
      <w:tr>
        <w:tc>
          <w:tcPr/>
          <w:p>
            <w:pPr>
              <w:pStyle w:val="Compact"/>
            </w:pPr>
            <w:r>
              <w:rPr>
                <w:b/>
                <w:bCs/>
              </w:rPr>
              <w:t xml:space="preserve">Suggested fix</w:t>
            </w:r>
          </w:p>
        </w:tc>
        <w:tc>
          <w:tcPr/>
          <w:p>
            <w:pPr>
              <w:pStyle w:val="Compact"/>
            </w:pPr>
            <w:r>
              <w:t xml:space="preserve">Authenticate the POST routes, escape or drop Markdown in relayed bodies, and include the task's original instruction hash so the operator can see what was executed.</w:t>
            </w:r>
          </w:p>
        </w:tc>
      </w:tr>
      <w:tr>
        <w:tc>
          <w:tcPr/>
          <w:p>
            <w:pPr>
              <w:pStyle w:val="Compact"/>
            </w:pPr>
            <w:r>
              <w:rPr>
                <w:b/>
                <w:bCs/>
              </w:rPr>
              <w:t xml:space="preserve">What was tested</w:t>
            </w:r>
          </w:p>
        </w:tc>
        <w:tc>
          <w:tcPr/>
          <w:p>
            <w:pPr>
              <w:pStyle w:val="Compact"/>
            </w:pPr>
            <w:r>
              <w:t xml:space="preserve">The</w:t>
            </w:r>
            <w:r>
              <w:t xml:space="preserve"> </w:t>
            </w:r>
            <w:r>
              <w:rPr>
                <w:b/>
                <w:bCs/>
              </w:rPr>
              <w:t xml:space="preserve">Task-Dispatcher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delta-review-2026-09/task-dispatcher-main.md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Test record.</w:t>
            </w:r>
            <w:r>
              <w:t xml:space="preserve"> </w:t>
            </w:r>
            <w:r>
              <w:rPr>
                <w:i/>
                <w:iCs/>
              </w:rPr>
              <w:t xml:space="preserve">[2026-09-09:</w:t>
            </w:r>
            <w:r>
              <w:rPr>
                <w:i/>
                <w:iCs/>
              </w:rPr>
              <w:t xml:space="preserve"> </w:t>
            </w:r>
            <w:r>
              <w:rPr>
                <w:b/>
                <w:bCs/>
                <w:i/>
                <w:iCs/>
              </w:rPr>
              <w:t xml:space="preserve">confirmed outright — vector and arithmetic exact.</w:t>
            </w:r>
            <w:r>
              <w:rPr>
                <w:i/>
                <w:iCs/>
              </w:rPr>
              <w:t xml:space="preserve">]</w:t>
            </w:r>
          </w:p>
        </w:tc>
      </w:tr>
      <w:tr>
        <w:tc>
          <w:tcPr/>
          <w:p>
            <w:pPr>
              <w:pStyle w:val="Compact"/>
            </w:pPr>
            <w:r>
              <w:rPr>
                <w:b/>
                <w:bCs/>
              </w:rPr>
              <w:t xml:space="preserve">How to resolve</w:t>
            </w:r>
          </w:p>
        </w:tc>
        <w:tc>
          <w:tcPr/>
          <w:p>
            <w:pPr>
              <w:pStyle w:val="Compact"/>
            </w:pPr>
            <w:r>
              <w:t xml:space="preserve">Auth on the POST routes (TD-D1/F-31); escape or drop Markdown in relayed bodies (</w:t>
            </w:r>
            <w:r>
              <w:rPr>
                <w:rStyle w:val="VerbatimChar"/>
              </w:rPr>
              <w:t xml:space="preserve">parse_mode</w:t>
            </w:r>
            <w:r>
              <w:t xml:space="preserve"> </w:t>
            </w:r>
            <w:r>
              <w:t xml:space="preserve">off for the result line, or MarkdownV2 with escaping); include the task's</w:t>
            </w:r>
            <w:r>
              <w:t xml:space="preserve"> </w:t>
            </w:r>
            <w:r>
              <w:rPr>
                <w:i/>
                <w:iCs/>
              </w:rPr>
              <w:t xml:space="preserve">original</w:t>
            </w:r>
            <w:r>
              <w:t xml:space="preserve"> </w:t>
            </w:r>
            <w:r>
              <w:t xml:space="preserve">instruction hash so the operator can see what was actually executed.</w:t>
            </w:r>
            <w:r>
              <w:t xml:space="preserve"> </w:t>
            </w:r>
            <w:r>
              <w:rPr>
                <w:i/>
                <w:iCs/>
              </w:rPr>
              <w:t xml:space="preserve">(Recorded by the reviewer who raised the finding, in</w:t>
            </w:r>
            <w:r>
              <w:rPr>
                <w:i/>
                <w:iCs/>
              </w:rPr>
              <w:t xml:space="preserve"> </w:t>
            </w:r>
            <w:r>
              <w:rPr>
                <w:rStyle w:val="VerbatimChar"/>
                <w:i/>
                <w:iCs/>
              </w:rPr>
              <w:t xml:space="preserve">delta-review-2026-09/task-dispatcher-main.md</w:t>
            </w:r>
            <w:r>
              <w:rPr>
                <w:i/>
                <w:iCs/>
              </w:rPr>
              <w:t xml:space="preserve">.)</w:t>
            </w:r>
          </w:p>
        </w:tc>
      </w:tr>
    </w:tbl>
    <w:p/>
    <w:p/>
    <w:p/>
    <w:bookmarkEnd w:id="44"/>
    <w:bookmarkStart w:id="45" w:name="Xbd0998762a0e6dae612737e92b346e0b14ff1c5"/>
    <w:p>
      <w:pPr>
        <w:pStyle w:val="Heading4"/>
      </w:pPr>
      <w:r>
        <w:t xml:space="preserve">TD-D3 —</w:t>
      </w:r>
      <w:r>
        <w:t xml:space="preserve"> </w:t>
      </w:r>
      <w:r>
        <w:rPr>
          <w:rStyle w:val="VerbatimChar"/>
        </w:rPr>
        <w:t xml:space="preserve">callback_query</w:t>
      </w:r>
      <w:r>
        <w:t xml:space="preserve"> </w:t>
      </w:r>
      <w:r>
        <w:t xml:space="preserve">handler lacks the chat-id gate that the message handler applies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TD-D3</w:t>
            </w:r>
          </w:p>
        </w:tc>
        <w:tc>
          <w:tcPr/>
          <w:p>
            <w:pPr>
              <w:pStyle w:val="Compact"/>
            </w:pPr>
            <w:r>
              <w:rPr>
                <w:b/>
                <w:bCs/>
              </w:rPr>
              <w:t xml:space="preserve">Low</w:t>
            </w:r>
            <w:r>
              <w:rPr>
                <w:b/>
                <w:bCs/>
              </w:rPr>
              <w:t xml:space="preserve"> </w:t>
            </w:r>
            <w:r>
              <w:rPr>
                <w:b/>
                <w:bCs/>
                <w:i/>
                <w:iCs/>
              </w:rPr>
              <w:t xml:space="preserve">(reason now recorded)</w:t>
            </w:r>
            <w:r>
              <w:t xml:space="preserve"> </w:t>
            </w:r>
            <w:r>
              <w:t xml:space="preserve">· CVSS 3.1</w:t>
            </w:r>
            <w:r>
              <w:t xml:space="preserve"> </w:t>
            </w:r>
            <w:r>
              <w:rPr>
                <w:b/>
                <w:bCs/>
              </w:rPr>
              <w:t xml:space="preserve">4.2</w:t>
            </w:r>
            <w:r>
              <w:t xml:space="preserve"> </w:t>
            </w:r>
            <w:r>
              <w:rPr>
                <w:rStyle w:val="VerbatimChar"/>
              </w:rPr>
              <w:t xml:space="preserve">CVSS:3.1/AV:N/AC:H/PR:N/UI:R/S:U/C:N/I:L/A:L</w:t>
            </w:r>
            <w:r>
              <w:t xml:space="preserve"> </w:t>
            </w:r>
            <w:r>
              <w:rPr>
                <w:i/>
                <w:iCs/>
              </w:rPr>
              <w:t xml:space="preserve">(a Medium-band number, and the Low is deliberate)</w:t>
            </w:r>
            <w:r>
              <w:t xml:space="preserve"> </w:t>
            </w:r>
            <w:r>
              <w:t xml:space="preserve">· component</w:t>
            </w:r>
            <w:r>
              <w:t xml:space="preserve"> </w:t>
            </w:r>
            <w:r>
              <w:rPr>
                <w:b/>
                <w:bCs/>
              </w:rPr>
              <w:t xml:space="preserve">Task-Dispatcher</w:t>
            </w:r>
          </w:p>
        </w:tc>
      </w:tr>
      <w:tr>
        <w:tc>
          <w:tcPr/>
          <w:p>
            <w:pPr>
              <w:pStyle w:val="Compact"/>
            </w:pPr>
            <w:r>
              <w:rPr>
                <w:b/>
                <w:bCs/>
              </w:rPr>
              <w:t xml:space="preserve">The issue</w:t>
            </w:r>
          </w:p>
        </w:tc>
        <w:tc>
          <w:tcPr/>
          <w:p>
            <w:pPr>
              <w:pStyle w:val="Compact"/>
            </w:pPr>
            <w:r>
              <w:rPr>
                <w:rStyle w:val="VerbatimChar"/>
              </w:rPr>
              <w:t xml:space="preserve">callback_query</w:t>
            </w:r>
            <w:r>
              <w:t xml:space="preserve"> </w:t>
            </w:r>
            <w:r>
              <w:t xml:space="preserve">handler lacks the chat-id gate that the message handler applies</w:t>
            </w:r>
          </w:p>
        </w:tc>
      </w:tr>
      <w:tr>
        <w:tc>
          <w:tcPr/>
          <w:p>
            <w:pPr>
              <w:pStyle w:val="Compact"/>
            </w:pPr>
            <w:r>
              <w:rPr>
                <w:b/>
                <w:bCs/>
              </w:rPr>
              <w:t xml:space="preserve">Suggested fix</w:t>
            </w:r>
          </w:p>
        </w:tc>
        <w:tc>
          <w:tcPr/>
          <w:p>
            <w:pPr>
              <w:pStyle w:val="Compact"/>
            </w:pPr>
            <w:r>
              <w:t xml:space="preserve">Apply the same</w:t>
            </w:r>
            <w:r>
              <w:t xml:space="preserve"> </w:t>
            </w:r>
            <w:r>
              <w:rPr>
                <w:rStyle w:val="VerbatimChar"/>
              </w:rPr>
              <w:t xml:space="preserve">chatId</w:t>
            </w:r>
            <w:r>
              <w:t xml:space="preserve"> </w:t>
            </w:r>
            <w:r>
              <w:t xml:space="preserve">gate at the top of the</w:t>
            </w:r>
            <w:r>
              <w:t xml:space="preserve"> </w:t>
            </w:r>
            <w:r>
              <w:rPr>
                <w:rStyle w:val="VerbatimChar"/>
              </w:rPr>
              <w:t xml:space="preserve">callback_query</w:t>
            </w:r>
            <w:r>
              <w:t xml:space="preserve"> </w:t>
            </w:r>
            <w:r>
              <w:t xml:space="preserve">handler, and check the sender against an operator allow-list.</w:t>
            </w:r>
          </w:p>
        </w:tc>
      </w:tr>
      <w:tr>
        <w:tc>
          <w:tcPr/>
          <w:p>
            <w:pPr>
              <w:pStyle w:val="Compact"/>
            </w:pPr>
            <w:r>
              <w:rPr>
                <w:b/>
                <w:bCs/>
              </w:rPr>
              <w:t xml:space="preserve">What was tested</w:t>
            </w:r>
          </w:p>
        </w:tc>
        <w:tc>
          <w:tcPr/>
          <w:p>
            <w:pPr>
              <w:pStyle w:val="Compact"/>
            </w:pPr>
            <w:r>
              <w:t xml:space="preserve">The</w:t>
            </w:r>
            <w:r>
              <w:t xml:space="preserve"> </w:t>
            </w:r>
            <w:r>
              <w:rPr>
                <w:b/>
                <w:bCs/>
              </w:rPr>
              <w:t xml:space="preserve">Task-Dispatcher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delta-review-2026-09/task-dispatcher-main.md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Test record.</w:t>
            </w:r>
            <w:r>
              <w:t xml:space="preserve"> </w:t>
            </w:r>
            <w:r>
              <w:rPr>
                <w:b/>
                <w:bCs/>
              </w:rPr>
              <w:t xml:space="preserve">[2026-09-09: confirmed, arithmetic corrected 3.7 to</w:t>
            </w:r>
            <w:r>
              <w:rPr>
                <w:b/>
                <w:bCs/>
              </w:rPr>
              <w:t xml:space="preserve"> </w:t>
            </w:r>
            <w:r>
              <w:rPr>
                <w:b/>
                <w:b/>
                <w:bCs/>
                <w:bCs/>
              </w:rPr>
              <w:t xml:space="preserve">4.2 — which CROSSES A BAND — and the Low is nonetheless RETAINED, with its reason now written on the row.</w:t>
            </w:r>
            <w:r>
              <w:rPr>
                <w:b/>
                <w:bCs/>
              </w:rPr>
              <w:t xml:space="preserve"> </w:t>
            </w:r>
            <w:r>
              <w:rPr>
                <w:b/>
                <w:bCs/>
              </w:rPr>
              <w:t xml:space="preserve">The asymmetry is cleanly measured:</w:t>
            </w:r>
            <w:r>
              <w:rPr>
                <w:b/>
                <w:bCs/>
              </w:rPr>
              <w:t xml:space="preserve"> </w:t>
            </w:r>
            <w:r>
              <w:rPr>
                <w:rStyle w:val="VerbatimChar"/>
                <w:b/>
                <w:bCs/>
              </w:rPr>
              <w:t xml:space="preserve">telegramBot.js:81</w:t>
            </w:r>
            <w:r>
              <w:rPr>
                <w:b/>
                <w:bCs/>
              </w:rPr>
              <w:t xml:space="preserve"> </w:t>
            </w:r>
            <w:r>
              <w:rPr>
                <w:b/>
                <w:bCs/>
              </w:rPr>
              <w:t xml:space="preserve">(message handler) has</w:t>
            </w:r>
            <w:r>
              <w:rPr>
                <w:b/>
                <w:bCs/>
              </w:rPr>
              <w:t xml:space="preserve"> </w:t>
            </w:r>
            <w:r>
              <w:rPr>
                <w:rStyle w:val="VerbatimChar"/>
                <w:b/>
                <w:bCs/>
              </w:rPr>
              <w:t xml:space="preserve">if (String(cid) !== String(chatId)) return;</w:t>
            </w:r>
            <w:r>
              <w:rPr>
                <w:b/>
                <w:bCs/>
              </w:rPr>
              <w:t xml:space="preserve"> </w:t>
            </w:r>
            <w:r>
              <w:rPr>
                <w:b/>
                <w:bCs/>
              </w:rPr>
              <w:t xml:space="preserve">and</w:t>
            </w:r>
            <w:r>
              <w:rPr>
                <w:b/>
                <w:bCs/>
              </w:rPr>
              <w:t xml:space="preserve"> </w:t>
            </w:r>
            <w:r>
              <w:rPr>
                <w:rStyle w:val="VerbatimChar"/>
                <w:b/>
                <w:bCs/>
              </w:rPr>
              <w:t xml:space="preserve">:153-154</w:t>
            </w:r>
            <w:r>
              <w:rPr>
                <w:b/>
                <w:bCs/>
              </w:rPr>
              <w:t xml:space="preserve"> </w:t>
            </w:r>
            <w:r>
              <w:rPr>
                <w:b/>
                <w:bCs/>
              </w:rPr>
              <w:t xml:space="preserve">(callback handler) goes</w:t>
            </w:r>
            <w:r>
              <w:rPr>
                <w:b/>
                <w:bCs/>
              </w:rPr>
              <w:t xml:space="preserve"> </w:t>
            </w:r>
            <w:r>
              <w:rPr>
                <w:b/>
                <w:b/>
                <w:bCs/>
                <w:bCs/>
              </w:rPr>
              <w:t xml:space="preserve">straight into the</w:t>
            </w:r>
            <w:r>
              <w:rPr>
                <w:b/>
                <w:b/>
                <w:bCs/>
                <w:bCs/>
              </w:rPr>
              <w:t xml:space="preserve"> </w:t>
            </w:r>
            <w:r>
              <w:rPr>
                <w:rStyle w:val="VerbatimChar"/>
                <w:b/>
                <w:b/>
                <w:bCs/>
                <w:bCs/>
              </w:rPr>
              <w:t xml:space="preserve">sp:</w:t>
            </w:r>
            <w:r>
              <w:rPr>
                <w:b/>
                <w:b/>
                <w:bCs/>
                <w:bCs/>
              </w:rPr>
              <w:t xml:space="preserve">/</w:t>
            </w:r>
            <w:r>
              <w:rPr>
                <w:rStyle w:val="VerbatimChar"/>
                <w:b/>
                <w:b/>
                <w:bCs/>
                <w:bCs/>
              </w:rPr>
              <w:t xml:space="preserve">ok:</w:t>
            </w:r>
            <w:r>
              <w:rPr>
                <w:b/>
                <w:b/>
                <w:bCs/>
                <w:bCs/>
              </w:rPr>
              <w:t xml:space="preserve">/</w:t>
            </w:r>
            <w:r>
              <w:rPr>
                <w:rStyle w:val="VerbatimChar"/>
                <w:b/>
                <w:b/>
                <w:bCs/>
                <w:bCs/>
              </w:rPr>
              <w:t xml:space="preserve">cl:</w:t>
            </w:r>
            <w:r>
              <w:rPr>
                <w:b/>
                <w:b/>
                <w:bCs/>
                <w:bCs/>
              </w:rPr>
              <w:t xml:space="preserve">/</w:t>
            </w:r>
            <w:r>
              <w:rPr>
                <w:rStyle w:val="VerbatimChar"/>
                <w:b/>
                <w:b/>
                <w:bCs/>
                <w:bCs/>
              </w:rPr>
              <w:t xml:space="preserve">cx:</w:t>
            </w:r>
            <w:r>
              <w:rPr>
                <w:b/>
                <w:b/>
                <w:bCs/>
                <w:bCs/>
              </w:rPr>
              <w:t xml:space="preserve">/</w:t>
            </w:r>
            <w:r>
              <w:rPr>
                <w:rStyle w:val="VerbatimChar"/>
                <w:b/>
                <w:b/>
                <w:bCs/>
                <w:bCs/>
              </w:rPr>
              <w:t xml:space="preserve">ct:</w:t>
            </w:r>
            <w:r>
              <w:rPr>
                <w:b/>
                <w:b/>
                <w:bCs/>
                <w:bCs/>
              </w:rPr>
              <w:t xml:space="preserve"> </w:t>
            </w:r>
            <w:r>
              <w:rPr>
                <w:b/>
                <w:b/>
                <w:bCs/>
                <w:bCs/>
              </w:rPr>
              <w:t xml:space="preserve">branches with no comparison at all</w:t>
            </w:r>
            <w:r>
              <w:rPr>
                <w:b/>
                <w:bCs/>
              </w:rPr>
              <w:t xml:space="preserve"> </w:t>
            </w:r>
            <w:r>
              <w:rPr>
                <w:b/>
                <w:bCs/>
              </w:rPr>
              <w:t xml:space="preserve">— the check is present next door, so its absence here is a measurement.</w:t>
            </w:r>
            <w:r>
              <w:rPr>
                <w:b/>
                <w:bCs/>
              </w:rPr>
              <w:t xml:space="preserve"> </w:t>
            </w:r>
            <w:r>
              <w:rPr>
                <w:b/>
                <w:b/>
                <w:bCs/>
                <w:bCs/>
              </w:rPr>
              <w:t xml:space="preserve">Two reasons the band stands: (1) the vector double-counts one precondition</w:t>
            </w:r>
            <w:r>
              <w:rPr>
                <w:b/>
                <w:bCs/>
              </w:rPr>
              <w:t xml:space="preserve"> </w:t>
            </w:r>
            <w:r>
              <w:rPr>
                <w:b/>
                <w:bCs/>
              </w:rPr>
              <w:t xml:space="preserve">—</w:t>
            </w:r>
            <w:r>
              <w:rPr>
                <w:b/>
                <w:bCs/>
              </w:rPr>
              <w:t xml:space="preserve"> </w:t>
            </w:r>
            <w:r>
              <w:rPr>
                <w:rStyle w:val="VerbatimChar"/>
                <w:b/>
                <w:bCs/>
              </w:rPr>
              <w:t xml:space="preserve">AC:H</w:t>
            </w:r>
            <w:r>
              <w:rPr>
                <w:b/>
                <w:bCs/>
              </w:rPr>
              <w:t xml:space="preserve"> </w:t>
            </w:r>
            <w:r>
              <w:rPr>
                <w:b/>
                <w:bCs/>
              </w:rPr>
              <w:t xml:space="preserve">and</w:t>
            </w:r>
            <w:r>
              <w:rPr>
                <w:b/>
                <w:bCs/>
              </w:rPr>
              <w:t xml:space="preserve"> </w:t>
            </w:r>
            <w:r>
              <w:rPr>
                <w:rStyle w:val="VerbatimChar"/>
                <w:b/>
                <w:bCs/>
              </w:rPr>
              <w:t xml:space="preserve">UI:R</w:t>
            </w:r>
            <w:r>
              <w:rPr>
                <w:b/>
                <w:bCs/>
              </w:rPr>
              <w:t xml:space="preserve"> </w:t>
            </w:r>
            <w:r>
              <w:rPr>
                <w:b/>
                <w:bCs/>
              </w:rPr>
              <w:t xml:space="preserve">both encode the single fact that the attacker can only see a bot message with an inline keyboard if it leaves the operator's chat, and removing either raises the score further (</w:t>
            </w:r>
            <w:r>
              <w:rPr>
                <w:rStyle w:val="VerbatimChar"/>
                <w:b/>
                <w:bCs/>
              </w:rPr>
              <w:t xml:space="preserve">UI:N</w:t>
            </w:r>
            <w:r>
              <w:rPr>
                <w:b/>
                <w:bCs/>
              </w:rPr>
              <w:t xml:space="preserve"> </w:t>
            </w:r>
            <w:r>
              <w:rPr>
                <w:b/>
                <w:bCs/>
              </w:rPr>
              <w:t xml:space="preserve">to 4.8), which shows 3.7 was understated twice over rather than that 4.8 is right;</w:t>
            </w:r>
            <w:r>
              <w:rPr>
                <w:b/>
                <w:bCs/>
              </w:rPr>
              <w:t xml:space="preserve"> </w:t>
            </w:r>
            <w:r>
              <w:rPr>
                <w:b/>
                <w:b/>
                <w:bCs/>
                <w:bCs/>
              </w:rPr>
              <w:t xml:space="preserve">(2) the real impact does not reach Medium in substance</w:t>
            </w:r>
            <w:r>
              <w:rPr>
                <w:b/>
                <w:bCs/>
              </w:rPr>
              <w:t xml:space="preserve"> </w:t>
            </w:r>
            <w:r>
              <w:rPr>
                <w:b/>
                <w:bCs/>
              </w:rPr>
              <w:t xml:space="preserve">— the reachable branch is</w:t>
            </w:r>
            <w:r>
              <w:rPr>
                <w:b/>
                <w:bCs/>
              </w:rPr>
              <w:t xml:space="preserve"> </w:t>
            </w:r>
            <w:r>
              <w:rPr>
                <w:rStyle w:val="VerbatimChar"/>
                <w:b/>
                <w:bCs/>
              </w:rPr>
              <w:t xml:space="preserve">ct:</w:t>
            </w:r>
            <w:r>
              <w:rPr>
                <w:b/>
                <w:bCs/>
              </w:rPr>
              <w:t xml:space="preserve">, cancelling a queued task the operator can simply re-queue.</w:t>
            </w:r>
            <w:r>
              <w:rPr>
                <w:b/>
                <w:bCs/>
              </w:rPr>
              <w:t xml:space="preserve"> </w:t>
            </w:r>
            <w:r>
              <w:rPr>
                <w:b/>
                <w:b/>
                <w:bCs/>
                <w:bCs/>
              </w:rPr>
              <w:t xml:space="preserve">The reviewer's judgement is better than either number, and a defence-in-depth gap correctly filed as Low should not be promoted by arithmetic alone.</w:t>
            </w:r>
            <w:r>
              <w:rPr>
                <w:b/>
                <w:bCs/>
              </w:rPr>
              <w:t xml:space="preserve"> </w:t>
            </w:r>
            <w:r>
              <w:rPr>
                <w:b/>
                <w:bCs/>
                <w:i/>
                <w:iCs/>
              </w:rPr>
              <w:t xml:space="preserve">(Contrast</w:t>
            </w:r>
            <w:r>
              <w:rPr>
                <w:b/>
                <w:bCs/>
                <w:i/>
                <w:iCs/>
              </w:rPr>
              <w:t xml:space="preserve"> </w:t>
            </w:r>
            <w:r>
              <w:rPr>
                <w:rStyle w:val="VerbatimChar"/>
                <w:b/>
                <w:bCs/>
                <w:i/>
                <w:iCs/>
              </w:rPr>
              <w:t xml:space="preserve">ADM-D5</w:t>
            </w:r>
            <w:r>
              <w:rPr>
                <w:b/>
                <w:bCs/>
                <w:i/>
                <w:iCs/>
              </w:rPr>
              <w:t xml:space="preserve">, where the same shape got the opposite recommendation because the substance differs: there an attacker corrupts an audit trail the operator relies on, and no qualifier exists anywhere.)</w:t>
            </w:r>
            <w:r>
              <w:rPr>
                <w:b/>
                <w:bCs/>
              </w:rPr>
              <w:t xml:space="preserve"> </w:t>
            </w:r>
            <w:r>
              <w:rPr>
                <w:b/>
                <w:b/>
                <w:bCs/>
                <w:bCs/>
              </w:rPr>
              <w:t xml:space="preserve">NOT TESTED: whether Telegram delivers a</w:t>
            </w:r>
            <w:r>
              <w:rPr>
                <w:b/>
                <w:b/>
                <w:bCs/>
                <w:bCs/>
              </w:rPr>
              <w:t xml:space="preserve"> </w:t>
            </w:r>
            <w:r>
              <w:rPr>
                <w:rStyle w:val="VerbatimChar"/>
                <w:b/>
                <w:b/>
                <w:bCs/>
                <w:bCs/>
              </w:rPr>
              <w:t xml:space="preserve">callback_query</w:t>
            </w:r>
            <w:r>
              <w:rPr>
                <w:b/>
                <w:b/>
                <w:bCs/>
                <w:bCs/>
              </w:rPr>
              <w:t xml:space="preserve"> </w:t>
            </w:r>
            <w:r>
              <w:rPr>
                <w:b/>
                <w:b/>
                <w:bCs/>
                <w:bCs/>
              </w:rPr>
              <w:t xml:space="preserve">from a forwarded message at all — the exploitability gate, and it is a live check that is held.</w:t>
            </w:r>
            <w:r>
              <w:rPr>
                <w:b/>
                <w:bCs/>
              </w:rPr>
              <w:t xml:space="preserve">]</w:t>
            </w:r>
          </w:p>
        </w:tc>
      </w:tr>
      <w:tr>
        <w:tc>
          <w:tcPr/>
          <w:p>
            <w:pPr>
              <w:pStyle w:val="Compact"/>
            </w:pPr>
            <w:r>
              <w:rPr>
                <w:b/>
                <w:bCs/>
              </w:rPr>
              <w:t xml:space="preserve">How to resolve</w:t>
            </w:r>
          </w:p>
        </w:tc>
        <w:tc>
          <w:tcPr/>
          <w:p>
            <w:pPr>
              <w:pStyle w:val="Compact"/>
            </w:pPr>
            <w:r>
              <w:t xml:space="preserve">Apply the same</w:t>
            </w:r>
            <w:r>
              <w:t xml:space="preserve"> </w:t>
            </w:r>
            <w:r>
              <w:rPr>
                <w:rStyle w:val="VerbatimChar"/>
              </w:rPr>
              <w:t xml:space="preserve">chatId</w:t>
            </w:r>
            <w:r>
              <w:t xml:space="preserve"> </w:t>
            </w:r>
            <w:r>
              <w:t xml:space="preserve">gate at the top of the</w:t>
            </w:r>
            <w:r>
              <w:t xml:space="preserve"> </w:t>
            </w:r>
            <w:r>
              <w:rPr>
                <w:rStyle w:val="VerbatimChar"/>
              </w:rPr>
              <w:t xml:space="preserve">callback_query</w:t>
            </w:r>
            <w:r>
              <w:t xml:space="preserve"> </w:t>
            </w:r>
            <w:r>
              <w:t xml:space="preserve">handler; additionally check</w:t>
            </w:r>
            <w:r>
              <w:t xml:space="preserve"> </w:t>
            </w:r>
            <w:r>
              <w:rPr>
                <w:rStyle w:val="VerbatimChar"/>
              </w:rPr>
              <w:t xml:space="preserve">cbq.from.id</w:t>
            </w:r>
            <w:r>
              <w:t xml:space="preserve"> </w:t>
            </w:r>
            <w:r>
              <w:t xml:space="preserve">against an operator allow-list.</w:t>
            </w:r>
            <w:r>
              <w:t xml:space="preserve"> </w:t>
            </w:r>
            <w:r>
              <w:rPr>
                <w:i/>
                <w:iCs/>
              </w:rPr>
              <w:t xml:space="preserve">(Recorded by the reviewer who raised the finding, in</w:t>
            </w:r>
            <w:r>
              <w:rPr>
                <w:i/>
                <w:iCs/>
              </w:rPr>
              <w:t xml:space="preserve"> </w:t>
            </w:r>
            <w:r>
              <w:rPr>
                <w:rStyle w:val="VerbatimChar"/>
                <w:i/>
                <w:iCs/>
              </w:rPr>
              <w:t xml:space="preserve">delta-review-2026-09/task-dispatcher-main.md</w:t>
            </w:r>
            <w:r>
              <w:rPr>
                <w:i/>
                <w:iCs/>
              </w:rPr>
              <w:t xml:space="preserve">.)</w:t>
            </w:r>
          </w:p>
        </w:tc>
      </w:tr>
    </w:tbl>
    <w:p/>
    <w:p/>
    <w:p/>
    <w:bookmarkEnd w:id="45"/>
    <w:bookmarkStart w:id="46" w:name="Xe961d56903abf9cd1a67116e7a76a314c9ae297"/>
    <w:p>
      <w:pPr>
        <w:pStyle w:val="Heading4"/>
      </w:pPr>
      <w:r>
        <w:t xml:space="preserve">TD-D4 — Informational:</w:t>
      </w:r>
      <w:r>
        <w:t xml:space="preserve"> </w:t>
      </w:r>
      <w:r>
        <w:rPr>
          <w:rStyle w:val="VerbatimChar"/>
        </w:rPr>
        <w:t xml:space="preserve">git add -A</w:t>
      </w:r>
      <w:r>
        <w:t xml:space="preserve"> </w:t>
      </w:r>
      <w:r>
        <w:t xml:space="preserve">by an autonomous agent on a developer working tree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TD-D4</w:t>
            </w:r>
          </w:p>
        </w:tc>
        <w:tc>
          <w:tcPr/>
          <w:p>
            <w:pPr>
              <w:pStyle w:val="Compact"/>
            </w:pPr>
            <w:r>
              <w:rPr>
                <w:b/>
                <w:bCs/>
              </w:rPr>
              <w:t xml:space="preserve">Info</w:t>
            </w:r>
            <w:r>
              <w:t xml:space="preserve"> </w:t>
            </w:r>
            <w:r>
              <w:t xml:space="preserve">· no CVSS score recorded · component</w:t>
            </w:r>
            <w:r>
              <w:t xml:space="preserve"> </w:t>
            </w:r>
            <w:r>
              <w:rPr>
                <w:b/>
                <w:bCs/>
              </w:rPr>
              <w:t xml:space="preserve">Task-Dispatcher</w:t>
            </w:r>
          </w:p>
        </w:tc>
      </w:tr>
      <w:tr>
        <w:tc>
          <w:tcPr/>
          <w:p>
            <w:pPr>
              <w:pStyle w:val="Compact"/>
            </w:pPr>
            <w:r>
              <w:rPr>
                <w:b/>
                <w:bCs/>
              </w:rPr>
              <w:t xml:space="preserve">The issue</w:t>
            </w:r>
          </w:p>
        </w:tc>
        <w:tc>
          <w:tcPr/>
          <w:p>
            <w:pPr>
              <w:pStyle w:val="Compact"/>
            </w:pPr>
            <w:r>
              <w:rPr>
                <w:rStyle w:val="VerbatimChar"/>
              </w:rPr>
              <w:t xml:space="preserve">git add -A</w:t>
            </w:r>
            <w:r>
              <w:t xml:space="preserve"> </w:t>
            </w:r>
            <w:r>
              <w:t xml:space="preserve">by an autonomous agent on a developer working tree.</w:t>
            </w:r>
          </w:p>
        </w:tc>
      </w:tr>
      <w:tr>
        <w:tc>
          <w:tcPr/>
          <w:p>
            <w:pPr>
              <w:pStyle w:val="Compact"/>
            </w:pPr>
            <w:r>
              <w:rPr>
                <w:b/>
                <w:bCs/>
              </w:rPr>
              <w:t xml:space="preserve">Suggested fix</w:t>
            </w:r>
          </w:p>
        </w:tc>
        <w:tc>
          <w:tcPr/>
          <w:p>
            <w:pPr>
              <w:pStyle w:val="Compact"/>
            </w:pPr>
            <w:r>
              <w:t xml:space="preserve">Run</w:t>
            </w:r>
            <w:r>
              <w:t xml:space="preserve"> </w:t>
            </w:r>
            <w:r>
              <w:rPr>
                <w:rStyle w:val="VerbatimChar"/>
              </w:rPr>
              <w:t xml:space="preserve">gitleaks</w:t>
            </w:r>
            <w:r>
              <w:t xml:space="preserve"> </w:t>
            </w:r>
            <w:r>
              <w:t xml:space="preserve">as a local pre-commit hook inside the rule — the repository already runs it in CI, so this closes the gap for free — and replace</w:t>
            </w:r>
            <w:r>
              <w:t xml:space="preserve"> </w:t>
            </w:r>
            <w:r>
              <w:rPr>
                <w:rStyle w:val="VerbatimChar"/>
              </w:rPr>
              <w:t xml:space="preserve">git add -A</w:t>
            </w:r>
            <w:r>
              <w:t xml:space="preserve"> </w:t>
            </w:r>
            <w:r>
              <w:t xml:space="preserve">with an explicit path list.</w:t>
            </w:r>
          </w:p>
        </w:tc>
      </w:tr>
      <w:tr>
        <w:tc>
          <w:tcPr/>
          <w:p>
            <w:pPr>
              <w:pStyle w:val="Compact"/>
            </w:pPr>
            <w:r>
              <w:rPr>
                <w:b/>
                <w:bCs/>
              </w:rPr>
              <w:t xml:space="preserve">What was tested</w:t>
            </w:r>
          </w:p>
        </w:tc>
        <w:tc>
          <w:tcPr/>
          <w:p>
            <w:pPr>
              <w:pStyle w:val="Compact"/>
            </w:pPr>
            <w:r>
              <w:t xml:space="preserve">The</w:t>
            </w:r>
            <w:r>
              <w:t xml:space="preserve"> </w:t>
            </w:r>
            <w:r>
              <w:rPr>
                <w:b/>
                <w:bCs/>
              </w:rPr>
              <w:t xml:space="preserve">Task-Dispatcher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delta-review-2026-09/task-dispatcher-main.md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Test record.</w:t>
            </w:r>
            <w:r>
              <w:t xml:space="preserve"> </w:t>
            </w:r>
            <w:r>
              <w:rPr>
                <w:i/>
                <w:iCs/>
              </w:rPr>
              <w:t xml:space="preserve">[2026-09-09: confirmed exactly (</w:t>
            </w:r>
            <w:r>
              <w:rPr>
                <w:rStyle w:val="VerbatimChar"/>
                <w:i/>
                <w:iCs/>
              </w:rPr>
              <w:t xml:space="preserve">check-tasks-workflow.mdc:111</w:t>
            </w:r>
            <w:r>
              <w:rPr>
                <w:i/>
                <w:iCs/>
              </w:rPr>
              <w:t xml:space="preserve">, run after every task and pushed to</w:t>
            </w:r>
            <w:r>
              <w:rPr>
                <w:i/>
                <w:iCs/>
              </w:rPr>
              <w:t xml:space="preserve"> </w:t>
            </w:r>
            <w:r>
              <w:rPr>
                <w:rStyle w:val="VerbatimChar"/>
                <w:i/>
                <w:iCs/>
              </w:rPr>
              <w:t xml:space="preserve">main</w:t>
            </w:r>
            <w:r>
              <w:rPr>
                <w:i/>
                <w:iCs/>
              </w:rPr>
              <w:t xml:space="preserve"> </w:t>
            </w:r>
            <w:r>
              <w:rPr>
                <w:i/>
                <w:iCs/>
              </w:rPr>
              <w:t xml:space="preserve">without review;</w:t>
            </w:r>
            <w:r>
              <w:rPr>
                <w:i/>
                <w:iCs/>
              </w:rPr>
              <w:t xml:space="preserve"> </w:t>
            </w:r>
            <w:r>
              <w:rPr>
                <w:rStyle w:val="VerbatimChar"/>
                <w:i/>
                <w:iCs/>
              </w:rPr>
              <w:t xml:space="preserve">:81</w:t>
            </w:r>
            <w:r>
              <w:rPr>
                <w:i/>
                <w:iCs/>
              </w:rPr>
              <w:t xml:space="preserve"> </w:t>
            </w:r>
            <w:r>
              <w:rPr>
                <w:rStyle w:val="VerbatimChar"/>
                <w:i/>
                <w:iCs/>
              </w:rPr>
              <w:t xml:space="preserve">az webapp up</w:t>
            </w:r>
            <w:r>
              <w:rPr>
                <w:i/>
                <w:iCs/>
              </w:rPr>
              <w:t xml:space="preserve"> </w:t>
            </w:r>
            <w:r>
              <w:rPr>
                <w:i/>
                <w:iCs/>
              </w:rPr>
              <w:t xml:space="preserve">in the same sequence).</w:t>
            </w:r>
            <w:r>
              <w:rPr>
                <w:i/>
                <w:iCs/>
              </w:rPr>
              <w:t xml:space="preserve"> </w:t>
            </w:r>
            <w:r>
              <w:rPr>
                <w:b/>
                <w:bCs/>
                <w:i/>
                <w:iCs/>
              </w:rPr>
              <w:t xml:space="preserve">Correctly Informational and no vector should be assigned</w:t>
            </w:r>
            <w:r>
              <w:rPr>
                <w:i/>
                <w:iCs/>
              </w:rPr>
              <w:t xml:space="preserve"> </w:t>
            </w:r>
            <w:r>
              <w:rPr>
                <w:i/>
                <w:iCs/>
              </w:rPr>
              <w:t xml:space="preserve">— there is no attacker and no impacted component in the CVSS sense; the harm is a developer's untracked credential file being swept into a push.</w:t>
            </w:r>
            <w:r>
              <w:rPr>
                <w:i/>
                <w:iCs/>
              </w:rPr>
              <w:t xml:space="preserve"> </w:t>
            </w:r>
            <w:r>
              <w:rPr>
                <w:b/>
                <w:bCs/>
                <w:i/>
                <w:iCs/>
              </w:rPr>
              <w:t xml:space="preserve">It is nonetheless the sharpest remediation in this component: the repo already runs gitleaks in CI, and running it as a local pre-commit hook inside the rule would close this for free.</w:t>
            </w:r>
            <w:r>
              <w:rPr>
                <w:i/>
                <w:iCs/>
              </w:rPr>
              <w:t xml:space="preserve">]</w:t>
            </w:r>
          </w:p>
        </w:tc>
      </w:tr>
      <w:tr>
        <w:tc>
          <w:tcPr/>
          <w:p>
            <w:pPr>
              <w:pStyle w:val="Compact"/>
            </w:pPr>
            <w:r>
              <w:rPr>
                <w:b/>
                <w:bCs/>
              </w:rPr>
              <w:t xml:space="preserve">How to resolve</w:t>
            </w:r>
          </w:p>
        </w:tc>
        <w:tc>
          <w:tcPr/>
          <w:p>
            <w:pPr>
              <w:pStyle w:val="Compact"/>
            </w:pPr>
            <w:r>
              <w:t xml:space="preserve">Replace</w:t>
            </w:r>
            <w:r>
              <w:t xml:space="preserve"> </w:t>
            </w:r>
            <w:r>
              <w:rPr>
                <w:rStyle w:val="VerbatimChar"/>
              </w:rPr>
              <w:t xml:space="preserve">git add -A</w:t>
            </w:r>
            <w:r>
              <w:t xml:space="preserve"> </w:t>
            </w:r>
            <w:r>
              <w:t xml:space="preserve">with an explicit path list, and run</w:t>
            </w:r>
            <w:r>
              <w:t xml:space="preserve"> </w:t>
            </w:r>
            <w:r>
              <w:rPr>
                <w:rStyle w:val="VerbatimChar"/>
              </w:rPr>
              <w:t xml:space="preserve">gitleaks</w:t>
            </w:r>
            <w:r>
              <w:t xml:space="preserve"> </w:t>
            </w:r>
            <w:r>
              <w:t xml:space="preserve">as a local pre-commit hook inside the rule. The repository already runs</w:t>
            </w:r>
            <w:r>
              <w:t xml:space="preserve"> </w:t>
            </w:r>
            <w:r>
              <w:rPr>
                <w:rStyle w:val="VerbatimChar"/>
              </w:rPr>
              <w:t xml:space="preserve">gitleaks</w:t>
            </w:r>
            <w:r>
              <w:t xml:space="preserve"> </w:t>
            </w:r>
            <w:r>
              <w:t xml:space="preserve">in CI, so the rule set exists and this costs nothing.</w:t>
            </w:r>
            <w:r>
              <w:t xml:space="preserve"> </w:t>
            </w:r>
            <w:r>
              <w:rPr>
                <w:b/>
                <w:bCs/>
              </w:rPr>
              <w:t xml:space="preserve">Correctly Informational and deliberately unscored</w:t>
            </w:r>
            <w:r>
              <w:t xml:space="preserve"> </w:t>
            </w:r>
            <w:r>
              <w:t xml:space="preserve">— there is no attacker and no impacted component in the CVSS sense; the harm is a developer's untracked credential file being swept into an automated push.</w:t>
            </w:r>
          </w:p>
        </w:tc>
      </w:tr>
    </w:tbl>
    <w:p/>
    <w:p/>
    <w:p/>
    <w:bookmarkEnd w:id="46"/>
    <w:bookmarkStart w:id="47" w:name="X8af512d2a4a0aebbe501bd4cb894bcd263b79c4"/>
    <w:p>
      <w:pPr>
        <w:pStyle w:val="Heading4"/>
      </w:pPr>
      <w:r>
        <w:t xml:space="preserve">TD-D5 — Informational: precision on F-27's form-data claim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TD-D5</w:t>
            </w:r>
          </w:p>
        </w:tc>
        <w:tc>
          <w:tcPr/>
          <w:p>
            <w:pPr>
              <w:pStyle w:val="Compact"/>
            </w:pPr>
            <w:r>
              <w:rPr>
                <w:b/>
                <w:bCs/>
              </w:rPr>
              <w:t xml:space="preserve">Info</w:t>
            </w:r>
            <w:r>
              <w:t xml:space="preserve"> </w:t>
            </w:r>
            <w:r>
              <w:t xml:space="preserve">· no CVSS score recorded · component</w:t>
            </w:r>
            <w:r>
              <w:t xml:space="preserve"> </w:t>
            </w:r>
            <w:r>
              <w:rPr>
                <w:b/>
                <w:bCs/>
              </w:rPr>
              <w:t xml:space="preserve">Task-Dispatcher</w:t>
            </w:r>
          </w:p>
        </w:tc>
      </w:tr>
      <w:tr>
        <w:tc>
          <w:tcPr/>
          <w:p>
            <w:pPr>
              <w:pStyle w:val="Compact"/>
            </w:pPr>
            <w:r>
              <w:rPr>
                <w:b/>
                <w:bCs/>
              </w:rPr>
              <w:t xml:space="preserve">The issue</w:t>
            </w:r>
          </w:p>
        </w:tc>
        <w:tc>
          <w:tcPr/>
          <w:p>
            <w:pPr>
              <w:pStyle w:val="Compact"/>
            </w:pPr>
            <w:r>
              <w:t xml:space="preserve">precision on F-27's form-data claim.</w:t>
            </w:r>
          </w:p>
        </w:tc>
      </w:tr>
      <w:tr>
        <w:tc>
          <w:tcPr/>
          <w:p>
            <w:pPr>
              <w:pStyle w:val="Compact"/>
            </w:pPr>
            <w:r>
              <w:rPr>
                <w:b/>
                <w:bCs/>
              </w:rPr>
              <w:t xml:space="preserve">Suggested fix</w:t>
            </w:r>
          </w:p>
        </w:tc>
        <w:tc>
          <w:tcPr/>
          <w:p>
            <w:pPr>
              <w:pStyle w:val="Compact"/>
            </w:pPr>
            <w:r>
              <w:t xml:space="preserve">Correct the register's wording to "not reachable by any code path", which is measured, rather than "not installed", which is not safe to assert while the vulnerable version is a peer dependency npm 7 and later installs by default.</w:t>
            </w:r>
          </w:p>
        </w:tc>
      </w:tr>
      <w:tr>
        <w:tc>
          <w:tcPr/>
          <w:p>
            <w:pPr>
              <w:pStyle w:val="Compact"/>
            </w:pPr>
            <w:r>
              <w:rPr>
                <w:b/>
                <w:bCs/>
              </w:rPr>
              <w:t xml:space="preserve">What was tested</w:t>
            </w:r>
          </w:p>
        </w:tc>
        <w:tc>
          <w:tcPr/>
          <w:p>
            <w:pPr>
              <w:pStyle w:val="Compact"/>
            </w:pPr>
            <w:r>
              <w:t xml:space="preserve">The</w:t>
            </w:r>
            <w:r>
              <w:t xml:space="preserve"> </w:t>
            </w:r>
            <w:r>
              <w:rPr>
                <w:b/>
                <w:bCs/>
              </w:rPr>
              <w:t xml:space="preserve">Task-Dispatcher</w:t>
            </w:r>
            <w:r>
              <w:t xml:space="preserve"> </w:t>
            </w:r>
            <w:r>
              <w:t xml:space="preserve">component, as provided in the source snapshot.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delta-review-2026-09/task-dispatcher-main.md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r>
              <w:t xml:space="preserve"> </w:t>
            </w:r>
            <w:r>
              <w:rPr>
                <w:b/>
                <w:bCs/>
              </w:rPr>
              <w:t xml:space="preserve">Test record.</w:t>
            </w:r>
            <w:r>
              <w:t xml:space="preserve"> </w:t>
            </w:r>
            <w:r>
              <w:rPr>
                <w:i/>
                <w:iCs/>
              </w:rPr>
              <w:t xml:space="preserve">[2026-09-09: confirmed — the lockfile was re-read rather than the summary accepted, and the reviewer is right on every point (</w:t>
            </w:r>
            <w:r>
              <w:rPr>
                <w:rStyle w:val="VerbatimChar"/>
                <w:i/>
                <w:iCs/>
              </w:rPr>
              <w:t xml:space="preserve">request</w:t>
            </w:r>
            <w:r>
              <w:rPr>
                <w:i/>
                <w:iCs/>
              </w:rPr>
              <w:t xml:space="preserve"> </w:t>
            </w:r>
            <w:r>
              <w:rPr>
                <w:i/>
                <w:iCs/>
              </w:rPr>
              <w:t xml:space="preserve">2.88.2</w:t>
            </w:r>
            <w:r>
              <w:rPr>
                <w:i/>
                <w:iCs/>
              </w:rPr>
              <w:t xml:space="preserve"> </w:t>
            </w:r>
            <w:r>
              <w:rPr>
                <w:b/>
                <w:bCs/>
                <w:i/>
                <w:iCs/>
              </w:rPr>
              <w:t xml:space="preserve">peer</w:t>
            </w:r>
            <w:r>
              <w:rPr>
                <w:i/>
                <w:iCs/>
              </w:rPr>
              <w:t xml:space="preserve">, its nested</w:t>
            </w:r>
            <w:r>
              <w:rPr>
                <w:i/>
                <w:iCs/>
              </w:rPr>
              <w:t xml:space="preserve"> </w:t>
            </w:r>
            <w:r>
              <w:rPr>
                <w:rStyle w:val="VerbatimChar"/>
                <w:i/>
                <w:iCs/>
              </w:rPr>
              <w:t xml:space="preserve">form-data</w:t>
            </w:r>
            <w:r>
              <w:rPr>
                <w:i/>
                <w:iCs/>
              </w:rPr>
              <w:t xml:space="preserve"> </w:t>
            </w:r>
            <w:r>
              <w:rPr>
                <w:b/>
                <w:bCs/>
                <w:i/>
                <w:iCs/>
              </w:rPr>
              <w:t xml:space="preserve">2.3.3 peer</w:t>
            </w:r>
            <w:r>
              <w:rPr>
                <w:i/>
                <w:iCs/>
              </w:rPr>
              <w:t xml:space="preserve">, top-level</w:t>
            </w:r>
            <w:r>
              <w:rPr>
                <w:i/>
                <w:iCs/>
              </w:rPr>
              <w:t xml:space="preserve"> </w:t>
            </w:r>
            <w:r>
              <w:rPr>
                <w:rStyle w:val="VerbatimChar"/>
                <w:i/>
                <w:iCs/>
              </w:rPr>
              <w:t xml:space="preserve">form-data</w:t>
            </w:r>
            <w:r>
              <w:rPr>
                <w:i/>
                <w:iCs/>
              </w:rPr>
              <w:t xml:space="preserve"> </w:t>
            </w:r>
            <w:r>
              <w:rPr>
                <w:i/>
                <w:iCs/>
              </w:rPr>
              <w:t xml:space="preserve">4.0.5,</w:t>
            </w:r>
            <w:r>
              <w:rPr>
                <w:i/>
                <w:iCs/>
              </w:rPr>
              <w:t xml:space="preserve"> </w:t>
            </w:r>
            <w:r>
              <w:rPr>
                <w:rStyle w:val="VerbatimChar"/>
                <w:i/>
                <w:iCs/>
              </w:rPr>
              <w:t xml:space="preserve">@cypress/request</w:t>
            </w:r>
            <w:r>
              <w:rPr>
                <w:i/>
                <w:iCs/>
              </w:rPr>
              <w:t xml:space="preserve"> </w:t>
            </w:r>
            <w:r>
              <w:rPr>
                <w:i/>
                <w:iCs/>
              </w:rPr>
              <w:t xml:space="preserve">3.0.10). Control fires:</w:t>
            </w:r>
            <w:r>
              <w:rPr>
                <w:i/>
                <w:iCs/>
              </w:rPr>
              <w:t xml:space="preserve"> </w:t>
            </w:r>
            <w:r>
              <w:rPr>
                <w:rStyle w:val="VerbatimChar"/>
                <w:i/>
                <w:iCs/>
              </w:rPr>
              <w:t xml:space="preserve">require('request')</w:t>
            </w:r>
            <w:r>
              <w:rPr>
                <w:i/>
                <w:iCs/>
              </w:rPr>
              <w:t xml:space="preserve"> </w:t>
            </w:r>
            <w:r>
              <w:rPr>
                <w:i/>
                <w:iCs/>
              </w:rPr>
              <w:t xml:space="preserve">across all</w:t>
            </w:r>
            <w:r>
              <w:rPr>
                <w:i/>
                <w:iCs/>
              </w:rPr>
              <w:t xml:space="preserve"> </w:t>
            </w:r>
            <w:r>
              <w:rPr>
                <w:rStyle w:val="VerbatimChar"/>
                <w:i/>
                <w:iCs/>
              </w:rPr>
              <w:t xml:space="preserve">*.js</w:t>
            </w:r>
            <w:r>
              <w:rPr>
                <w:i/>
                <w:iCs/>
              </w:rPr>
              <w:t xml:space="preserve"> </w:t>
            </w:r>
            <w:r>
              <w:rPr>
                <w:i/>
                <w:iCs/>
              </w:rPr>
              <w:t xml:space="preserve">returns</w:t>
            </w:r>
            <w:r>
              <w:rPr>
                <w:i/>
                <w:iCs/>
              </w:rPr>
              <w:t xml:space="preserve"> </w:t>
            </w:r>
            <w:r>
              <w:rPr>
                <w:b/>
                <w:bCs/>
                <w:i/>
                <w:iCs/>
              </w:rPr>
              <w:t xml:space="preserve">zero matches</w:t>
            </w:r>
            <w:r>
              <w:rPr>
                <w:i/>
                <w:iCs/>
              </w:rPr>
              <w:t xml:space="preserve">, positive control</w:t>
            </w:r>
            <w:r>
              <w:rPr>
                <w:i/>
                <w:iCs/>
              </w:rPr>
              <w:t xml:space="preserve"> </w:t>
            </w:r>
            <w:r>
              <w:rPr>
                <w:rStyle w:val="VerbatimChar"/>
                <w:i/>
                <w:iCs/>
              </w:rPr>
              <w:t xml:space="preserve">require(</w:t>
            </w:r>
            <w:r>
              <w:rPr>
                <w:i/>
                <w:iCs/>
              </w:rPr>
              <w:t xml:space="preserve"> </w:t>
            </w:r>
            <w:r>
              <w:rPr>
                <w:i/>
                <w:iCs/>
              </w:rPr>
              <w:t xml:space="preserve">returns 10 hits.</w:t>
            </w:r>
            <w:r>
              <w:rPr>
                <w:i/>
                <w:iCs/>
              </w:rPr>
              <w:t xml:space="preserve"> </w:t>
            </w:r>
            <w:r>
              <w:rPr>
                <w:b/>
                <w:bCs/>
                <w:i/>
                <w:iCs/>
              </w:rPr>
              <w:t xml:space="preserve">The vulnerable</w:t>
            </w:r>
            <w:r>
              <w:rPr>
                <w:b/>
                <w:bCs/>
                <w:i/>
                <w:iCs/>
              </w:rPr>
              <w:t xml:space="preserve"> </w:t>
            </w:r>
            <w:r>
              <w:rPr>
                <w:rStyle w:val="VerbatimChar"/>
                <w:b/>
                <w:bCs/>
                <w:i/>
                <w:iCs/>
              </w:rPr>
              <w:t xml:space="preserve">form-data</w:t>
            </w:r>
            <w:r>
              <w:rPr>
                <w:b/>
                <w:bCs/>
                <w:i/>
                <w:iCs/>
              </w:rPr>
              <w:t xml:space="preserve"> </w:t>
            </w:r>
            <w:r>
              <w:rPr>
                <w:b/>
                <w:bCs/>
                <w:i/>
                <w:iCs/>
              </w:rPr>
              <w:t xml:space="preserve">2.3.3 is a peer of</w:t>
            </w:r>
            <w:r>
              <w:rPr>
                <w:b/>
                <w:bCs/>
                <w:i/>
                <w:iCs/>
              </w:rPr>
              <w:t xml:space="preserve"> </w:t>
            </w:r>
            <w:r>
              <w:rPr>
                <w:rStyle w:val="VerbatimChar"/>
                <w:b/>
                <w:bCs/>
                <w:i/>
                <w:iCs/>
              </w:rPr>
              <w:t xml:space="preserve">request</w:t>
            </w:r>
            <w:r>
              <w:rPr>
                <w:b/>
                <w:bCs/>
                <w:i/>
                <w:iCs/>
              </w:rPr>
              <w:t xml:space="preserve">, which npm ≥ 7 installs by default, so "not installed" is not safe to assert while "not reachable by any code path" is measured and true — the register's wording should change accordingly.</w:t>
            </w:r>
            <w:r>
              <w:rPr>
                <w:i/>
                <w:iCs/>
              </w:rPr>
              <w:t xml:space="preserve"> </w:t>
            </w:r>
            <w:r>
              <w:rPr>
                <w:rStyle w:val="VerbatimChar"/>
                <w:i/>
                <w:iCs/>
              </w:rPr>
              <w:t xml:space="preserve">F-27</w:t>
            </w:r>
            <w:r>
              <w:rPr>
                <w:i/>
                <w:iCs/>
              </w:rPr>
              <w:t xml:space="preserve"> </w:t>
            </w:r>
            <w:r>
              <w:rPr>
                <w:i/>
                <w:iCs/>
              </w:rPr>
              <w:t xml:space="preserve">is a June row: measurement recorded, boundary respected, no re-score attempted.]</w:t>
            </w:r>
          </w:p>
        </w:tc>
      </w:tr>
      <w:tr>
        <w:tc>
          <w:tcPr/>
          <w:p>
            <w:pPr>
              <w:pStyle w:val="Compact"/>
            </w:pPr>
            <w:r>
              <w:rPr>
                <w:b/>
                <w:bCs/>
              </w:rPr>
              <w:t xml:space="preserve">How to resolve</w:t>
            </w:r>
          </w:p>
        </w:tc>
        <w:tc>
          <w:tcPr/>
          <w:p>
            <w:pPr>
              <w:pStyle w:val="Compact"/>
            </w:pPr>
            <w:r>
              <w:t xml:space="preserve">Change the register's wording from "not installed" to "not reachable by any code path". The distinction is not pedantic: the vulnerable</w:t>
            </w:r>
            <w:r>
              <w:t xml:space="preserve"> </w:t>
            </w:r>
            <w:r>
              <w:rPr>
                <w:rStyle w:val="VerbatimChar"/>
              </w:rPr>
              <w:t xml:space="preserve">form-data</w:t>
            </w:r>
            <w:r>
              <w:t xml:space="preserve"> </w:t>
            </w:r>
            <w:r>
              <w:t xml:space="preserve">2.3.3 is a peer dependency of</w:t>
            </w:r>
            <w:r>
              <w:t xml:space="preserve"> </w:t>
            </w:r>
            <w:r>
              <w:rPr>
                <w:rStyle w:val="VerbatimChar"/>
              </w:rPr>
              <w:t xml:space="preserve">request</w:t>
            </w:r>
            <w:r>
              <w:t xml:space="preserve">, which npm 7 and later installs by default, so "not installed" is not safe to assert, while "not reachable" is measured —</w:t>
            </w:r>
            <w:r>
              <w:t xml:space="preserve"> </w:t>
            </w:r>
            <w:r>
              <w:rPr>
                <w:rStyle w:val="VerbatimChar"/>
              </w:rPr>
              <w:t xml:space="preserve">require('request')</w:t>
            </w:r>
            <w:r>
              <w:t xml:space="preserve"> </w:t>
            </w:r>
            <w:r>
              <w:t xml:space="preserve">returns zero matches across all</w:t>
            </w:r>
            <w:r>
              <w:t xml:space="preserve"> </w:t>
            </w:r>
            <w:r>
              <w:rPr>
                <w:rStyle w:val="VerbatimChar"/>
              </w:rPr>
              <w:t xml:space="preserve">*.js</w:t>
            </w:r>
            <w:r>
              <w:t xml:space="preserve"> </w:t>
            </w:r>
            <w:r>
              <w:t xml:space="preserve">against a positive control of ten.</w:t>
            </w:r>
            <w:r>
              <w:t xml:space="preserve"> </w:t>
            </w:r>
            <w:r>
              <w:rPr>
                <w:rStyle w:val="VerbatimChar"/>
              </w:rPr>
              <w:t xml:space="preserve">F-27</w:t>
            </w:r>
            <w:r>
              <w:t xml:space="preserve"> </w:t>
            </w:r>
            <w:r>
              <w:t xml:space="preserve">is a June row and no re-score was attempted.</w:t>
            </w:r>
          </w:p>
        </w:tc>
      </w:tr>
    </w:tbl>
    <w:p/>
    <w:p/>
    <w:p/>
    <w:bookmarkEnd w:id="47"/>
    <w:bookmarkStart w:id="48" w:name="X9ad260172cb219f34afa4e4676b8ffdcbc9ec09"/>
    <w:p>
      <w:pPr>
        <w:pStyle w:val="Heading4"/>
      </w:pPr>
      <w:r>
        <w:t xml:space="preserve">TD-D6 — Informational: configuration observations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TD-D6</w:t>
            </w:r>
          </w:p>
        </w:tc>
        <w:tc>
          <w:tcPr/>
          <w:p>
            <w:pPr>
              <w:pStyle w:val="Compact"/>
            </w:pPr>
            <w:r>
              <w:rPr>
                <w:b/>
                <w:bCs/>
              </w:rPr>
              <w:t xml:space="preserve">Info</w:t>
            </w:r>
            <w:r>
              <w:t xml:space="preserve"> </w:t>
            </w:r>
            <w:r>
              <w:t xml:space="preserve">· no CVSS score recorded · component</w:t>
            </w:r>
            <w:r>
              <w:t xml:space="preserve"> </w:t>
            </w:r>
            <w:r>
              <w:rPr>
                <w:b/>
                <w:bCs/>
              </w:rPr>
              <w:t xml:space="preserve">Task-Dispatcher</w:t>
            </w:r>
          </w:p>
        </w:tc>
      </w:tr>
      <w:tr>
        <w:tc>
          <w:tcPr/>
          <w:p>
            <w:pPr>
              <w:pStyle w:val="Compact"/>
            </w:pPr>
            <w:r>
              <w:rPr>
                <w:b/>
                <w:bCs/>
              </w:rPr>
              <w:t xml:space="preserve">The issue</w:t>
            </w:r>
          </w:p>
        </w:tc>
        <w:tc>
          <w:tcPr/>
          <w:p>
            <w:pPr>
              <w:pStyle w:val="Compact"/>
            </w:pPr>
            <w:r>
              <w:t xml:space="preserve">configuration observations.</w:t>
            </w:r>
            <w:r>
              <w:t xml:space="preserve"> </w:t>
            </w:r>
            <w:r>
              <w:rPr>
                <w:i/>
                <w:iCs/>
              </w:rPr>
              <w:t xml:space="preserve">[2026-09-09: confirmed — all three sub-items exact.]</w:t>
            </w:r>
          </w:p>
        </w:tc>
      </w:tr>
      <w:tr>
        <w:tc>
          <w:tcPr/>
          <w:p>
            <w:pPr>
              <w:pStyle w:val="Compact"/>
            </w:pPr>
            <w:r>
              <w:rPr>
                <w:b/>
                <w:bCs/>
              </w:rPr>
              <w:t xml:space="preserve">Suggested fix</w:t>
            </w:r>
          </w:p>
        </w:tc>
        <w:tc>
          <w:tcPr/>
          <w:p>
            <w:pPr>
              <w:pStyle w:val="Compact"/>
            </w:pPr>
            <w:r>
              <w:t xml:space="preserve">Apply the three configuration corrections recorded in the delta file.</w:t>
            </w:r>
          </w:p>
        </w:tc>
      </w:tr>
      <w:tr>
        <w:tc>
          <w:tcPr/>
          <w:p>
            <w:pPr>
              <w:pStyle w:val="Compact"/>
            </w:pPr>
            <w:r>
              <w:rPr>
                <w:b/>
                <w:bCs/>
              </w:rPr>
              <w:t xml:space="preserve">What was tested</w:t>
            </w:r>
          </w:p>
        </w:tc>
        <w:tc>
          <w:tcPr/>
          <w:p>
            <w:pPr>
              <w:pStyle w:val="Compact"/>
            </w:pPr>
            <w:r>
              <w:t xml:space="preserve">The</w:t>
            </w:r>
            <w:r>
              <w:t xml:space="preserve"> </w:t>
            </w:r>
            <w:r>
              <w:rPr>
                <w:b/>
                <w:bCs/>
              </w:rPr>
              <w:t xml:space="preserve">Task-Dispatcher</w:t>
            </w:r>
            <w:r>
              <w:t xml:space="preserve"> </w:t>
            </w:r>
            <w:r>
              <w:t xml:space="preserve">component, as provided in the source snapshot. The claim under test:</w:t>
            </w:r>
            <w:r>
              <w:t xml:space="preserve"> </w:t>
            </w:r>
            <w:r>
              <w:rPr>
                <w:i/>
                <w:iCs/>
              </w:rPr>
              <w:t xml:space="preserve">Informational: configuration observations</w:t>
            </w:r>
            <w:r>
              <w:t xml:space="preserve">. The</w:t>
            </w:r>
            <w:r>
              <w:t xml:space="preserve"> </w:t>
            </w:r>
            <w:r>
              <w:rPr>
                <w:rStyle w:val="VerbatimChar"/>
              </w:rPr>
              <w:t xml:space="preserve">file:line</w:t>
            </w:r>
            <w:r>
              <w:t xml:space="preserve"> </w:t>
            </w:r>
            <w:r>
              <w:t xml:space="preserve">references cited in the issue and in the test record below were read at source; the full working record is</w:t>
            </w:r>
            <w:r>
              <w:t xml:space="preserve"> </w:t>
            </w:r>
            <w:r>
              <w:rPr>
                <w:rStyle w:val="VerbatimChar"/>
              </w:rPr>
              <w:t xml:space="preserve">delta-review-2026-09/task-dispatcher-main.md</w:t>
            </w:r>
            <w:r>
              <w:t xml:space="preserve">.</w:t>
            </w:r>
          </w:p>
        </w:tc>
      </w:tr>
      <w:tr>
        <w:tc>
          <w:tcPr/>
          <w:p>
            <w:pPr>
              <w:pStyle w:val="Compact"/>
            </w:pPr>
            <w:r>
              <w:rPr>
                <w:b/>
                <w:bCs/>
              </w:rPr>
              <w:t xml:space="preserve">How it was tested</w:t>
            </w:r>
          </w:p>
        </w:tc>
        <w:tc>
          <w:tcPr/>
          <w:p>
            <w:pPr>
              <w:pStyle w:val="Compact"/>
            </w:pPr>
            <w:r>
              <w:t xml:space="preserve">Static, read-only source review of the provided snapshot. Every row in this section was re-derived at source on 2026-09-08 by an independent verifier who did not write it, by opening the cited file and line, confirming the defect is present as described, and testing the stated basis of its severity.</w:t>
            </w:r>
            <w:r>
              <w:t xml:space="preserve"> </w:t>
            </w:r>
            <w:r>
              <w:rPr>
                <w:b/>
                <w:bCs/>
              </w:rPr>
              <w:t xml:space="preserve">No CVSS vector string is recorded for any row in this section, so what was verified is the severity band and its stated basis, not the arithmetic of the score.</w:t>
            </w:r>
          </w:p>
        </w:tc>
      </w:tr>
      <w:tr>
        <w:tc>
          <w:tcPr/>
          <w:p>
            <w:pPr>
              <w:pStyle w:val="Compact"/>
            </w:pPr>
            <w:r>
              <w:rPr>
                <w:b/>
                <w:bCs/>
              </w:rPr>
              <w:t xml:space="preserve">How to resolve</w:t>
            </w:r>
          </w:p>
        </w:tc>
        <w:tc>
          <w:tcPr/>
          <w:p>
            <w:pPr>
              <w:pStyle w:val="Compact"/>
            </w:pPr>
            <w:r>
              <w:t xml:space="preserve">Apply the three configuration corrections recorded in</w:t>
            </w:r>
            <w:r>
              <w:t xml:space="preserve"> </w:t>
            </w:r>
            <w:r>
              <w:rPr>
                <w:rStyle w:val="VerbatimChar"/>
              </w:rPr>
              <w:t xml:space="preserve">_Working/delta-review-2026-09/task-dispatcher-main.md</w:t>
            </w:r>
            <w:r>
              <w:t xml:space="preserve">, all three of which were confirmed exactly at verification on 2026-09-09.</w:t>
            </w:r>
          </w:p>
        </w:tc>
      </w:tr>
    </w:tbl>
    <w:p>
      <w:pPr>
        <w:pStyle w:val="BodyText"/>
      </w:pPr>
      <w:r>
        <w:rPr>
          <w:b/>
          <w:bCs/>
        </w:rPr>
        <w:t xml:space="preserve">Tally for this section: 1 Medium, 2 Low and 3 Informational, totalling 6 counted.</w:t>
      </w:r>
    </w:p>
    <w:p/>
    <w:p/>
    <w:p/>
    <w:bookmarkEnd w:id="48"/>
    <w:bookmarkEnd w:id="49"/>
    <w:bookmarkStart w:id="51" w:name="X048d4cdd70da904dfa8889ecf5a26b119144101"/>
    <w:p>
      <w:pPr>
        <w:pStyle w:val="Heading3"/>
      </w:pPr>
      <w:r>
        <w:t xml:space="preserve">3.5 Coverage-gap review</w:t>
      </w:r>
    </w:p>
    <w:p>
      <w:pPr>
        <w:pStyle w:val="FirstParagraph"/>
      </w:pPr>
      <w:r>
        <w:t xml:space="preserve">The coverage-gap work produced one new finding, by closing a gap that an earlier report had named.</w:t>
      </w:r>
    </w:p>
    <w:p>
      <w:pPr>
        <w:pStyle w:val="BodyText"/>
      </w:pPr>
      <w:r>
        <w:rPr>
          <w:b/>
          <w:bCs/>
        </w:rPr>
        <w:t xml:space="preserve">Summary of the findings in this section.</w:t>
      </w:r>
      <w:r>
        <w:t xml:space="preserve"> </w:t>
      </w:r>
      <w:r>
        <w:t xml:space="preserve">The full record for each — the issue, the suggested fix, and below them what was tested, how it was tested and how to resolve it — follows the table, one finding to a block.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Component</w:t>
            </w:r>
          </w:p>
        </w:tc>
        <w:tc>
          <w:tcPr/>
          <w:p>
            <w:pPr>
              <w:pStyle w:val="Compact"/>
            </w:pPr>
            <w:r>
              <w:t xml:space="preserve">Severity</w:t>
            </w:r>
          </w:p>
        </w:tc>
        <w:tc>
          <w:tcPr/>
          <w:p>
            <w:pPr>
              <w:pStyle w:val="Compact"/>
            </w:pPr>
            <w:r>
              <w:t xml:space="preserve">CVSS 3.1</w:t>
            </w:r>
          </w:p>
        </w:tc>
        <w:tc>
          <w:tcPr/>
          <w:p>
            <w:pPr>
              <w:pStyle w:val="Compact"/>
            </w:pPr>
            <w:r>
              <w:t xml:space="preserve">Finding</w:t>
            </w:r>
          </w:p>
        </w:tc>
      </w:tr>
      <w:tr>
        <w:tc>
          <w:tcPr/>
          <w:p>
            <w:pPr>
              <w:pStyle w:val="Compact"/>
            </w:pPr>
            <w:r>
              <w:t xml:space="preserve">SPDF-D1</w:t>
            </w:r>
          </w:p>
        </w:tc>
        <w:tc>
          <w:tcPr/>
          <w:p>
            <w:pPr>
              <w:pStyle w:val="Compact"/>
            </w:pPr>
            <w:r>
              <w:t xml:space="preserve">SecurePDF</w:t>
            </w:r>
          </w:p>
        </w:tc>
        <w:tc>
          <w:tcPr/>
          <w:p>
            <w:pPr>
              <w:pStyle w:val="Compact"/>
            </w:pPr>
            <w:r>
              <w:rPr>
                <w:b/>
                <w:bCs/>
              </w:rPr>
              <w:t xml:space="preserve">High</w:t>
            </w:r>
          </w:p>
        </w:tc>
        <w:tc>
          <w:tcPr/>
          <w:p>
            <w:pPr>
              <w:pStyle w:val="Compact"/>
            </w:pPr>
            <w:r>
              <w:rPr>
                <w:b/>
                <w:bCs/>
              </w:rPr>
              <w:t xml:space="preserve">7.1</w:t>
            </w:r>
            <w:r>
              <w:t xml:space="preserve"> </w:t>
            </w:r>
            <w:r>
              <w:rPr>
                <w:rStyle w:val="VerbatimChar"/>
              </w:rPr>
              <w:t xml:space="preserve">CVSS:3.1/AV:N/AC:L/PR:N/UI:R/S:U/C:H/I:N/A:L</w:t>
            </w:r>
            <w:r>
              <w:t xml:space="preserve"> </w:t>
            </w:r>
            <w:r>
              <w:rPr>
                <w:i/>
                <w:iCs/>
              </w:rPr>
              <w:t xml:space="preserve">holds by 0.1</w:t>
            </w:r>
          </w:p>
        </w:tc>
        <w:tc>
          <w:tcPr/>
          <w:p>
            <w:pPr>
              <w:pStyle w:val="Compact"/>
            </w:pPr>
            <w:r>
              <w:t xml:space="preserve">The encoder trusts any certificate it is handed, and the certificates come from the database whose master key is Critical #14.</w:t>
            </w:r>
            <w:r>
              <w:t xml:space="preserve"> </w:t>
            </w:r>
            <w:r>
              <w:rPr>
                <w:rStyle w:val="VerbatimChar"/>
              </w:rPr>
              <w:t xml:space="preserve">spdf_encode</w:t>
            </w:r>
            <w:r>
              <w:t xml:space="preserve"> </w:t>
            </w:r>
            <w:r>
              <w:t xml:space="preserve">performs no…</w:t>
            </w:r>
          </w:p>
        </w:tc>
      </w:tr>
    </w:tbl>
    <w:p/>
    <w:p/>
    <w:p/>
    <w:bookmarkStart w:id="50" w:name="Xa9832a3cbeac0de6a01b0c44f323aa0ef1b4bbb"/>
    <w:p>
      <w:pPr>
        <w:pStyle w:val="Heading4"/>
      </w:pPr>
      <w:r>
        <w:t xml:space="preserve">SPDF-D1 — The encoder trusts any certificate it is handed, and the certificates come from the database whose master key is Critical #14.</w:t>
      </w:r>
      <w:r>
        <w:t xml:space="preserve"> </w:t>
      </w:r>
      <w:r>
        <w:rPr>
          <w:rStyle w:val="VerbatimChar"/>
        </w:rPr>
        <w:t xml:space="preserve">spdf_encode</w:t>
      </w:r>
      <w:r>
        <w:t xml:space="preserve"> </w:t>
      </w:r>
      <w:r>
        <w:t xml:space="preserve">performs no chain validation, expiry check, key-usage check or identity binding on recipient certificates — it encrypts to whatever file it is given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r>
              <w:t xml:space="preserve"> </w:t>
            </w:r>
            <w:r>
              <w:rPr>
                <w:rStyle w:val="VerbatimChar"/>
              </w:rPr>
              <w:t xml:space="preserve">SPDF-D1</w:t>
            </w:r>
          </w:p>
        </w:tc>
        <w:tc>
          <w:tcPr/>
          <w:p>
            <w:pPr>
              <w:pStyle w:val="Compact"/>
            </w:pPr>
            <w:r>
              <w:rPr>
                <w:b/>
                <w:bCs/>
              </w:rPr>
              <w:t xml:space="preserve">High</w:t>
            </w:r>
            <w:r>
              <w:t xml:space="preserve"> </w:t>
            </w:r>
            <w:r>
              <w:t xml:space="preserve">· CVSS 3.1</w:t>
            </w:r>
            <w:r>
              <w:t xml:space="preserve"> </w:t>
            </w:r>
            <w:r>
              <w:rPr>
                <w:b/>
                <w:bCs/>
              </w:rPr>
              <w:t xml:space="preserve">7.1</w:t>
            </w:r>
            <w:r>
              <w:t xml:space="preserve"> </w:t>
            </w:r>
            <w:r>
              <w:rPr>
                <w:rStyle w:val="VerbatimChar"/>
              </w:rPr>
              <w:t xml:space="preserve">CVSS:3.1/AV:N/AC:L/PR:N/UI:R/S:U/C:H/I:N/A:L</w:t>
            </w:r>
            <w:r>
              <w:t xml:space="preserve"> </w:t>
            </w:r>
            <w:r>
              <w:rPr>
                <w:i/>
                <w:iCs/>
              </w:rPr>
              <w:t xml:space="preserve">holds by 0.1</w:t>
            </w:r>
            <w:r>
              <w:t xml:space="preserve"> </w:t>
            </w:r>
            <w:r>
              <w:t xml:space="preserve">· component</w:t>
            </w:r>
            <w:r>
              <w:t xml:space="preserve"> </w:t>
            </w:r>
            <w:r>
              <w:rPr>
                <w:b/>
                <w:bCs/>
              </w:rPr>
              <w:t xml:space="preserve">SecurePDF</w:t>
            </w:r>
          </w:p>
        </w:tc>
      </w:tr>
      <w:tr>
        <w:tc>
          <w:tcPr/>
          <w:p>
            <w:pPr>
              <w:pStyle w:val="Compact"/>
            </w:pPr>
            <w:r>
              <w:rPr>
                <w:b/>
                <w:bCs/>
              </w:rPr>
              <w:t xml:space="preserve">The issue</w:t>
            </w:r>
          </w:p>
        </w:tc>
        <w:tc>
          <w:tcPr/>
          <w:p>
            <w:pPr>
              <w:pStyle w:val="Compact"/>
            </w:pPr>
            <w:r>
              <w:rPr>
                <w:b/>
                <w:bCs/>
              </w:rPr>
              <w:t xml:space="preserve">The encoder trusts any certificate it is handed, and the certificates come from the database whose master key is Critical #14.</w:t>
            </w:r>
            <w:r>
              <w:t xml:space="preserve"> </w:t>
            </w:r>
            <w:r>
              <w:rPr>
                <w:rStyle w:val="VerbatimChar"/>
              </w:rPr>
              <w:t xml:space="preserve">spdf_encode</w:t>
            </w:r>
            <w:r>
              <w:t xml:space="preserve"> </w:t>
            </w:r>
            <w:r>
              <w:t xml:space="preserve">performs</w:t>
            </w:r>
            <w:r>
              <w:t xml:space="preserve"> </w:t>
            </w:r>
            <w:r>
              <w:rPr>
                <w:b/>
                <w:bCs/>
              </w:rPr>
              <w:t xml:space="preserve">no</w:t>
            </w:r>
            <w:r>
              <w:t xml:space="preserve"> </w:t>
            </w:r>
            <w:r>
              <w:t xml:space="preserve">chain validation, expiry check, key-usage check or identity binding on recipient certificates — it encrypts to whatever file it is given. The caller reads those certificates from a Cosmos container (</w:t>
            </w:r>
            <w:r>
              <w:rPr>
                <w:rStyle w:val="VerbatimChar"/>
              </w:rPr>
              <w:t xml:space="preserve">SELECT * FROM c</w:t>
            </w:r>
            <w:r>
              <w:t xml:space="preserve">) reached with the</w:t>
            </w:r>
            <w:r>
              <w:t xml:space="preserve"> </w:t>
            </w:r>
            <w:r>
              <w:rPr>
                <w:b/>
                <w:bCs/>
              </w:rPr>
              <w:t xml:space="preserve">committed primary (read-write) key</w:t>
            </w:r>
            <w:r>
              <w:t xml:space="preserve"> </w:t>
            </w:r>
            <w:r>
              <w:t xml:space="preserve">of Critical #14, and passes the record's</w:t>
            </w:r>
            <w:r>
              <w:t xml:space="preserve"> </w:t>
            </w:r>
            <w:r>
              <w:rPr>
                <w:rStyle w:val="VerbatimChar"/>
              </w:rPr>
              <w:t xml:space="preserve">PublicKey</w:t>
            </w:r>
            <w:r>
              <w:t xml:space="preserve"> </w:t>
            </w:r>
            <w:r>
              <w:t xml:space="preserve">straight through.</w:t>
            </w:r>
            <w:r>
              <w:t xml:space="preserve"> </w:t>
            </w:r>
            <w:r>
              <w:rPr>
                <w:b/>
                <w:bCs/>
              </w:rPr>
              <w:t xml:space="preserve">Write access to that store substitutes a recipient's certificate; every document encrypted for that recipient afterwards is readable by the attacker while the sender's UI still shows the legitimate name.</w:t>
            </w:r>
            <w:r>
              <w:t xml:space="preserve"> </w:t>
            </w:r>
            <w:r>
              <w:t xml:space="preserve">This</w:t>
            </w:r>
            <w:r>
              <w:t xml:space="preserve"> </w:t>
            </w:r>
            <w:r>
              <w:rPr>
                <w:b/>
                <w:bCs/>
              </w:rPr>
              <w:t xml:space="preserve">enlarges Critical #14</w:t>
            </w:r>
            <w:r>
              <w:t xml:space="preserve">: that finding is filed as credential exposure, but the same credential is the unvalidated trust root of the product's only security property —</w:t>
            </w:r>
            <w:r>
              <w:t xml:space="preserve"> </w:t>
            </w:r>
            <w:r>
              <w:rPr>
                <w:b/>
                <w:bCs/>
              </w:rPr>
              <w:t xml:space="preserve">rotation alone does not fix it.</w:t>
            </w:r>
            <w:r>
              <w:t xml:space="preserve"> </w:t>
            </w:r>
            <w:r>
              <w:rPr>
                <w:i/>
                <w:iCs/>
              </w:rPr>
              <w:t xml:space="preserve">Caveat, stated because it cuts against the finding:</w:t>
            </w:r>
            <w:r>
              <w:t xml:space="preserve"> </w:t>
            </w:r>
            <w:r>
              <w:rPr>
                <w:rStyle w:val="VerbatimChar"/>
              </w:rPr>
              <w:t xml:space="preserve">RecipientSource.cs:15</w:t>
            </w:r>
            <w:r>
              <w:t xml:space="preserve"> </w:t>
            </w:r>
            <w:r>
              <w:t xml:space="preserve">reads</w:t>
            </w:r>
            <w:r>
              <w:t xml:space="preserve"> </w:t>
            </w:r>
            <w:r>
              <w:rPr>
                <w:rStyle w:val="VerbatimChar"/>
              </w:rPr>
              <w:t xml:space="preserve">AppSettings["EndPointUri"]</w:t>
            </w:r>
            <w:r>
              <w:t xml:space="preserve"> </w:t>
            </w:r>
            <w:r>
              <w:t xml:space="preserve">while</w:t>
            </w:r>
            <w:r>
              <w:t xml:space="preserve"> </w:t>
            </w:r>
            <w:r>
              <w:rPr>
                <w:rStyle w:val="VerbatimChar"/>
              </w:rPr>
              <w:t xml:space="preserve">app.config</w:t>
            </w:r>
            <w:r>
              <w:t xml:space="preserve"> </w:t>
            </w:r>
            <w:r>
              <w:t xml:space="preserve">declares</w:t>
            </w:r>
            <w:r>
              <w:t xml:space="preserve"> </w:t>
            </w:r>
            <w:r>
              <w:rPr>
                <w:rStyle w:val="VerbatimChar"/>
              </w:rPr>
              <w:t xml:space="preserve">EndpointUri</w:t>
            </w:r>
            <w:r>
              <w:t xml:space="preserve">, so that lookup returns null and the DB path may not initialise as shipped in this snapshot; whether the deployed build carries the same typo is not knowable statically.</w:t>
            </w:r>
            <w:r>
              <w:t xml:space="preserve"> </w:t>
            </w:r>
            <w:r>
              <w:rPr>
                <w:b/>
                <w:bCs/>
              </w:rPr>
              <w:t xml:space="preserve">The encoder's missing validation is unconditional and stands regardless.</w:t>
            </w:r>
          </w:p>
        </w:tc>
      </w:tr>
      <w:tr>
        <w:tc>
          <w:tcPr/>
          <w:p>
            <w:pPr>
              <w:pStyle w:val="Compact"/>
            </w:pPr>
            <w:r>
              <w:rPr>
                <w:b/>
                <w:bCs/>
              </w:rPr>
              <w:t xml:space="preserve">Suggested fix</w:t>
            </w:r>
          </w:p>
        </w:tc>
        <w:tc>
          <w:tcPr/>
          <w:p>
            <w:pPr>
              <w:pStyle w:val="Compact"/>
            </w:pPr>
            <w:r>
              <w:t xml:space="preserve">Validate recipient certificates in the encoder — chain, validity dates, key usage, and binding to the recipient the sender selected — then rotate the Cosmos key and move it out of the application configuration file.</w:t>
            </w:r>
            <w:r>
              <w:t xml:space="preserve"> </w:t>
            </w:r>
            <w:r>
              <w:rPr>
                <w:b/>
                <w:bCs/>
              </w:rPr>
              <w:t xml:space="preserve">The first survives the other two.</w:t>
            </w:r>
          </w:p>
        </w:tc>
      </w:tr>
      <w:tr>
        <w:tc>
          <w:tcPr/>
          <w:p>
            <w:pPr>
              <w:pStyle w:val="Compact"/>
            </w:pPr>
            <w:r>
              <w:rPr>
                <w:b/>
                <w:bCs/>
              </w:rPr>
              <w:t xml:space="preserve">What was tested</w:t>
            </w:r>
          </w:p>
        </w:tc>
        <w:tc>
          <w:tcPr/>
          <w:p>
            <w:pPr>
              <w:pStyle w:val="Compact"/>
            </w:pPr>
            <w:r>
              <w:t xml:space="preserve">The</w:t>
            </w:r>
            <w:r>
              <w:t xml:space="preserve"> </w:t>
            </w:r>
            <w:r>
              <w:rPr>
                <w:b/>
                <w:bCs/>
              </w:rPr>
              <w:t xml:space="preserve">SecurePDF</w:t>
            </w:r>
            <w:r>
              <w:t xml:space="preserve"> </w:t>
            </w:r>
            <w:r>
              <w:t xml:space="preserve">component, as provided in the source snapshot. Artefacts read at the cited lines:</w:t>
            </w:r>
            <w:r>
              <w:t xml:space="preserve"> </w:t>
            </w:r>
            <w:r>
              <w:rPr>
                <w:rStyle w:val="VerbatimChar"/>
              </w:rPr>
              <w:t xml:space="preserve">myPKI_Console/Program.cs:57-65,67-96</w:t>
            </w:r>
            <w:r>
              <w:t xml:space="preserve"> </w:t>
            </w:r>
            <w:r>
              <w:t xml:space="preserve">·</w:t>
            </w:r>
            <w:r>
              <w:t xml:space="preserve"> </w:t>
            </w:r>
            <w:r>
              <w:rPr>
                <w:rStyle w:val="VerbatimChar"/>
              </w:rPr>
              <w:t xml:space="preserve">myPKI_Printer/DemoForm.cs:76,152-157,169-190</w:t>
            </w:r>
            <w:r>
              <w:t xml:space="preserve"> </w:t>
            </w:r>
            <w:r>
              <w:t xml:space="preserve">·</w:t>
            </w:r>
            <w:r>
              <w:t xml:space="preserve"> </w:t>
            </w:r>
            <w:r>
              <w:rPr>
                <w:rStyle w:val="VerbatimChar"/>
              </w:rPr>
              <w:t xml:space="preserve">myPKI_Printer/RecipientSource.cs:15,18,45-66</w:t>
            </w:r>
            <w:r>
              <w:t xml:space="preserve"> </w:t>
            </w:r>
            <w:r>
              <w:t xml:space="preserve">·</w:t>
            </w:r>
            <w:r>
              <w:t xml:space="preserve"> </w:t>
            </w:r>
            <w:r>
              <w:rPr>
                <w:rStyle w:val="VerbatimChar"/>
              </w:rPr>
              <w:t xml:space="preserve">myPKI_Printer/app.config</w:t>
            </w:r>
            <w:r>
              <w:t xml:space="preserve"> </w:t>
            </w:r>
            <w:r>
              <w:t xml:space="preserve">(settings named structurally; no value read out)</w:t>
            </w:r>
          </w:p>
        </w:tc>
      </w:tr>
      <w:tr>
        <w:tc>
          <w:tcPr/>
          <w:p>
            <w:pPr>
              <w:pStyle w:val="Compact"/>
            </w:pPr>
            <w:r>
              <w:rPr>
                <w:b/>
                <w:bCs/>
              </w:rPr>
              <w:t xml:space="preserve">How it was tested</w:t>
            </w:r>
          </w:p>
        </w:tc>
        <w:tc>
          <w:tcPr/>
          <w:p>
            <w:pPr>
              <w:pStyle w:val="Compact"/>
            </w:pPr>
            <w:r>
              <w:t xml:space="preserve">Static, read-only source review of the provided snapshot, by construction shape rather than by the word, with a positive control that found both known instances before any zero was believed, plus a constant-consumer sweep for the map-index syntax that the shape search cannot see.</w:t>
            </w:r>
            <w:r>
              <w:t xml:space="preserve"> </w:t>
            </w:r>
            <w:r>
              <w:rPr>
                <w:b/>
                <w:bCs/>
              </w:rPr>
              <w:t xml:space="preserve">No per-row test record was written for this row</w:t>
            </w:r>
            <w:r>
              <w:t xml:space="preserve">, so the section method above is the whole of what can be said about how it was tested. That is stated rather than filled in.</w:t>
            </w:r>
          </w:p>
        </w:tc>
      </w:tr>
      <w:tr>
        <w:tc>
          <w:tcPr/>
          <w:p>
            <w:pPr>
              <w:pStyle w:val="Compact"/>
            </w:pPr>
            <w:r>
              <w:rPr>
                <w:b/>
                <w:bCs/>
              </w:rPr>
              <w:t xml:space="preserve">How to resolve</w:t>
            </w:r>
          </w:p>
        </w:tc>
        <w:tc>
          <w:tcPr/>
          <w:p>
            <w:pPr>
              <w:pStyle w:val="Compact"/>
            </w:pPr>
            <w:r>
              <w:rPr>
                <w:b/>
                <w:bCs/>
              </w:rPr>
              <w:t xml:space="preserve">Remediation is one ticket, not three.</w:t>
            </w:r>
            <w:r>
              <w:t xml:space="preserve"> </w:t>
            </w:r>
            <w:r>
              <w:t xml:space="preserve">Validate recipient certificates in the encoder — chain, validity dates, key usage, and binding to the recipient the sender actually selected — rotate the Cosmos key, and move it out of the application configuration file.</w:t>
            </w:r>
            <w:r>
              <w:t xml:space="preserve"> </w:t>
            </w:r>
            <w:r>
              <w:rPr>
                <w:b/>
                <w:bCs/>
              </w:rPr>
              <w:t xml:space="preserve">The first survives the other two:</w:t>
            </w:r>
            <w:r>
              <w:t xml:space="preserve"> </w:t>
            </w:r>
            <w:r>
              <w:t xml:space="preserve">without certificate validation, any future write access to that store reproduces the attack, so rotation alone does not fix it.</w:t>
            </w:r>
            <w:r>
              <w:t xml:space="preserve"> </w:t>
            </w:r>
            <w:r>
              <w:rPr>
                <w:b/>
                <w:bCs/>
              </w:rPr>
              <w:t xml:space="preserve">Recorded, not filed, and simpler than this finding:</w:t>
            </w:r>
            <w:r>
              <w:t xml:space="preserve"> </w:t>
            </w:r>
            <w:r>
              <w:rPr>
                <w:rStyle w:val="VerbatimChar"/>
              </w:rPr>
              <w:t xml:space="preserve">DemoForm.cs:174</w:t>
            </w:r>
            <w:r>
              <w:t xml:space="preserve"> </w:t>
            </w:r>
            <w:r>
              <w:t xml:space="preserve">and</w:t>
            </w:r>
            <w:r>
              <w:t xml:space="preserve"> </w:t>
            </w:r>
            <w:r>
              <w:rPr>
                <w:rStyle w:val="VerbatimChar"/>
              </w:rPr>
              <w:t xml:space="preserve">SimpleForm.cs:77</w:t>
            </w:r>
            <w:r>
              <w:t xml:space="preserve"> </w:t>
            </w:r>
            <w:r>
              <w:t xml:space="preserve">set the encoder process file name to a bare name rather than a path, so anyone who can write an executable of that name into an earlier</w:t>
            </w:r>
            <w:r>
              <w:t xml:space="preserve"> </w:t>
            </w:r>
            <w:r>
              <w:rPr>
                <w:rStyle w:val="VerbatimChar"/>
              </w:rPr>
              <w:t xml:space="preserve">PATH</w:t>
            </w:r>
            <w:r>
              <w:t xml:space="preserve"> </w:t>
            </w:r>
            <w:r>
              <w:t xml:space="preserve">entry substitutes the encryption engine outright, with no database access at all. It is deliberately not filed because the install layout and the operator account's</w:t>
            </w:r>
            <w:r>
              <w:t xml:space="preserve"> </w:t>
            </w:r>
            <w:r>
              <w:rPr>
                <w:rStyle w:val="VerbatimChar"/>
              </w:rPr>
              <w:t xml:space="preserve">PATH</w:t>
            </w:r>
            <w:r>
              <w:t xml:space="preserve"> </w:t>
            </w:r>
            <w:r>
              <w:t xml:space="preserve">were not traced.</w:t>
            </w:r>
          </w:p>
        </w:tc>
      </w:tr>
    </w:tbl>
    <w:p>
      <w:pPr>
        <w:pStyle w:val="BodyText"/>
      </w:pPr>
      <w:r>
        <w:rPr>
          <w:b/>
          <w:bCs/>
        </w:rPr>
        <w:t xml:space="preserve">Status: independently re-derived at source on 2026-09-09, confirmed High, and it now carries a</w:t>
      </w:r>
      <w:r>
        <w:rPr>
          <w:b/>
          <w:bCs/>
        </w:rPr>
        <w:t xml:space="preserve"> </w:t>
      </w:r>
      <w:r>
        <w:rPr>
          <w:b/>
          <w:bCs/>
        </w:rPr>
        <w:t xml:space="preserve">vector.</w:t>
      </w:r>
      <w:r>
        <w:t xml:space="preserve"> </w:t>
      </w:r>
      <w:r>
        <w:t xml:space="preserve">The control fires, so the absence of validation is a measurement rather than an impression:</w:t>
      </w:r>
    </w:p>
    <w:p>
      <w:pPr>
        <w:pStyle w:val="SourceCode"/>
      </w:pPr>
      <w:r>
        <w:rPr>
          <w:rStyle w:val="VerbatimChar"/>
        </w:rPr>
        <w:t xml:space="preserve">search   X509Chain|ChainPolicy|Build(|Verify(|CheckValidity|NotAfter|</w:t>
      </w:r>
      <w:r>
        <w:br/>
      </w:r>
      <w:r>
        <w:rPr>
          <w:rStyle w:val="VerbatimChar"/>
        </w:rPr>
        <w:t xml:space="preserve">         NotBefore|KeyUsage|RevocationMode|IsValid|Validate</w:t>
      </w:r>
      <w:r>
        <w:br/>
      </w:r>
      <w:r>
        <w:rPr>
          <w:rStyle w:val="VerbatimChar"/>
        </w:rPr>
        <w:t xml:space="preserve">         over every *.cs in the component (deliberately over-broad)   -&gt;   0 matches</w:t>
      </w:r>
      <w:r>
        <w:br/>
      </w:r>
      <w:r>
        <w:br/>
      </w:r>
      <w:r>
        <w:rPr>
          <w:rStyle w:val="VerbatimChar"/>
        </w:rPr>
        <w:t xml:space="preserve">control  X509Certificate|X509CertificateParser|ReadCertificate|PublicKey</w:t>
      </w:r>
      <w:r>
        <w:br/>
      </w:r>
      <w:r>
        <w:rPr>
          <w:rStyle w:val="VerbatimChar"/>
        </w:rPr>
        <w:t xml:space="preserve">         over the same files                                          -&gt;  13 hits, 3 projects</w:t>
      </w:r>
    </w:p>
    <w:p>
      <w:pPr>
        <w:pStyle w:val="FirstParagraph"/>
      </w:pPr>
      <w:r>
        <w:t xml:space="preserve">There is no certificate validation anywhere in SecurePDF.</w:t>
      </w:r>
    </w:p>
    <w:p>
      <w:pPr>
        <w:pStyle w:val="BodyText"/>
      </w:pPr>
      <w:r>
        <w:rPr>
          <w:b/>
          <w:bCs/>
        </w:rPr>
        <w:t xml:space="preserve">Two metrics are lower than the finding's prose implies, and the verifier said so against their own</w:t>
      </w:r>
      <w:r>
        <w:rPr>
          <w:b/>
          <w:bCs/>
        </w:rPr>
        <w:t xml:space="preserve"> </w:t>
      </w:r>
      <w:r>
        <w:rPr>
          <w:b/>
          <w:bCs/>
        </w:rPr>
        <w:t xml:space="preserve">interest.</w:t>
      </w:r>
      <w:r>
        <w:t xml:space="preserve"> </w:t>
      </w:r>
      <w:r>
        <w:rPr>
          <w:rStyle w:val="VerbatimChar"/>
        </w:rPr>
        <w:t xml:space="preserve">UI:R</w:t>
      </w:r>
      <w:r>
        <w:t xml:space="preserve"> </w:t>
      </w:r>
      <w:r>
        <w:t xml:space="preserve">— poisoning the record yields nothing on its own; the attacker obtains plaintext</w:t>
      </w:r>
      <w:r>
        <w:t xml:space="preserve"> </w:t>
      </w:r>
      <w:r>
        <w:t xml:space="preserve">only when a sender operator afterwards selects that recipient and encrypts a document, which is an</w:t>
      </w:r>
      <w:r>
        <w:t xml:space="preserve"> </w:t>
      </w:r>
      <w:r>
        <w:t xml:space="preserve">action by a person other than the attacker, and</w:t>
      </w:r>
      <w:r>
        <w:t xml:space="preserve"> </w:t>
      </w:r>
      <w:r>
        <w:rPr>
          <w:rStyle w:val="VerbatimChar"/>
        </w:rPr>
        <w:t xml:space="preserve">UI:N</w:t>
      </w:r>
      <w:r>
        <w:t xml:space="preserve"> </w:t>
      </w:r>
      <w:r>
        <w:t xml:space="preserve">would give 8.2 and would be wrong.</w:t>
      </w:r>
      <w:r>
        <w:t xml:space="preserve"> </w:t>
      </w:r>
      <w:r>
        <w:rPr>
          <w:rStyle w:val="VerbatimChar"/>
        </w:rPr>
        <w:t xml:space="preserve">S:U</w:t>
      </w:r>
      <w:r>
        <w:t xml:space="preserve">, with</w:t>
      </w:r>
      <w:r>
        <w:t xml:space="preserve"> </w:t>
      </w:r>
      <w:r>
        <w:rPr>
          <w:rStyle w:val="VerbatimChar"/>
        </w:rPr>
        <w:t xml:space="preserve">S:C</w:t>
      </w:r>
      <w:r>
        <w:t xml:space="preserve"> </w:t>
      </w:r>
      <w:r>
        <w:t xml:space="preserve">considered and rejected deliberately — the encoder runs as the sender, on the sender's document,</w:t>
      </w:r>
      <w:r>
        <w:t xml:space="preserve"> </w:t>
      </w:r>
      <w:r>
        <w:t xml:space="preserve">and the recipient store is the</w:t>
      </w:r>
      <w:r>
        <w:t xml:space="preserve"> </w:t>
      </w:r>
      <w:r>
        <w:rPr>
          <w:i/>
          <w:iCs/>
        </w:rPr>
        <w:t xml:space="preserve">source</w:t>
      </w:r>
      <w:r>
        <w:t xml:space="preserve"> </w:t>
      </w:r>
      <w:r>
        <w:t xml:space="preserve">of the malicious input rather than a second authority that</w:t>
      </w:r>
      <w:r>
        <w:t xml:space="preserve"> </w:t>
      </w:r>
      <w:r>
        <w:t xml:space="preserve">suffers; using "the poisoned data comes from elsewhere"to justify</w:t>
      </w:r>
      <w:r>
        <w:t xml:space="preserve"> </w:t>
      </w:r>
      <w:r>
        <w:rPr>
          <w:rStyle w:val="VerbatimChar"/>
        </w:rPr>
        <w:t xml:space="preserve">S:C</w:t>
      </w:r>
      <w:r>
        <w:t xml:space="preserve"> </w:t>
      </w:r>
      <w:r>
        <w:t xml:space="preserve">would be a double count.</w:t>
      </w:r>
      <w:r>
        <w:t xml:space="preserve"> </w:t>
      </w:r>
      <w:r>
        <w:rPr>
          <w:rStyle w:val="VerbatimChar"/>
        </w:rPr>
        <w:t xml:space="preserve">A:L</w:t>
      </w:r>
      <w:r>
        <w:t xml:space="preserve"> </w:t>
      </w:r>
      <w:r>
        <w:t xml:space="preserve">because the recipient record carries one public-key field, so substitution is a</w:t>
      </w:r>
      <w:r>
        <w:t xml:space="preserve"> </w:t>
      </w:r>
      <w:r>
        <w:rPr>
          <w:i/>
          <w:iCs/>
        </w:rPr>
        <w:t xml:space="preserve">replacement</w:t>
      </w:r>
      <w:r>
        <w:t xml:space="preserve"> </w:t>
      </w:r>
      <w:r>
        <w:t xml:space="preserve">and the legitimate recipient can no longer open the document, bounded because the sender's own</w:t>
      </w:r>
      <w:r>
        <w:t xml:space="preserve"> </w:t>
      </w:r>
      <w:r>
        <w:t xml:space="preserve">certificate is always added.</w:t>
      </w:r>
    </w:p>
    <w:p>
      <w:pPr>
        <w:pStyle w:val="BodyText"/>
      </w:pPr>
      <w:r>
        <w:rPr>
          <w:b/>
          <w:bCs/>
        </w:rPr>
        <w:t xml:space="preserve">The band is true but fragile, and whoever publishes it should know why.</w:t>
      </w:r>
      <w:r>
        <w:t xml:space="preserve"> </w:t>
      </w:r>
      <w:r>
        <w:t xml:space="preserve">7.1 is 0.1 above the</w:t>
      </w:r>
      <w:r>
        <w:t xml:space="preserve"> </w:t>
      </w:r>
      <w:r>
        <w:t xml:space="preserve">Medium boundary, and</w:t>
      </w:r>
      <w:r>
        <w:t xml:space="preserve"> </w:t>
      </w:r>
      <w:r>
        <w:rPr>
          <w:rStyle w:val="VerbatimChar"/>
        </w:rPr>
        <w:t xml:space="preserve">A:L</w:t>
      </w:r>
      <w:r>
        <w:t xml:space="preserve"> </w:t>
      </w:r>
      <w:r>
        <w:t xml:space="preserve">is the only metric holding it there; with</w:t>
      </w:r>
      <w:r>
        <w:t xml:space="preserve"> </w:t>
      </w:r>
      <w:r>
        <w:rPr>
          <w:rStyle w:val="VerbatimChar"/>
        </w:rPr>
        <w:t xml:space="preserve">A:N</w:t>
      </w:r>
      <w:r>
        <w:t xml:space="preserve"> </w:t>
      </w:r>
      <w:r>
        <w:t xml:space="preserve">it is 6.5, a Medium. This</w:t>
      </w:r>
      <w:r>
        <w:t xml:space="preserve"> </w:t>
      </w:r>
      <w:r>
        <w:t xml:space="preserve">row is one defensible metric call away from changing band, which no reader of a bare "High" could</w:t>
      </w:r>
      <w:r>
        <w:t xml:space="preserve"> </w:t>
      </w:r>
      <w:r>
        <w:t xml:space="preserve">possibly tell.</w:t>
      </w:r>
      <w:r>
        <w:t xml:space="preserve"> </w:t>
      </w:r>
      <w:r>
        <w:rPr>
          <w:b/>
          <w:bCs/>
        </w:rPr>
        <w:t xml:space="preserve">It is the clearest single argument in this engagement for publishing vectors rather</w:t>
      </w:r>
      <w:r>
        <w:rPr>
          <w:b/>
          <w:bCs/>
        </w:rPr>
        <w:t xml:space="preserve"> </w:t>
      </w:r>
      <w:r>
        <w:rPr>
          <w:b/>
          <w:bCs/>
        </w:rPr>
        <w:t xml:space="preserve">than bands.</w:t>
      </w:r>
    </w:p>
    <w:p>
      <w:pPr>
        <w:pStyle w:val="BodyText"/>
      </w:pPr>
      <w:r>
        <w:rPr>
          <w:b/>
          <w:bCs/>
        </w:rPr>
        <w:t xml:space="preserve">The finding's own caveat — the one thing it offered as cutting against itself — very probably does</w:t>
      </w:r>
      <w:r>
        <w:rPr>
          <w:b/>
          <w:bCs/>
        </w:rPr>
        <w:t xml:space="preserve"> </w:t>
      </w:r>
      <w:r>
        <w:rPr>
          <w:b/>
          <w:bCs/>
        </w:rPr>
        <w:t xml:space="preserve">not hold, so the finding is stronger than filed.</w:t>
      </w:r>
      <w:r>
        <w:t xml:space="preserve"> </w:t>
      </w:r>
      <w:r>
        <w:t xml:space="preserve">The</w:t>
      </w:r>
      <w:r>
        <w:t xml:space="preserve"> </w:t>
      </w:r>
      <w:r>
        <w:rPr>
          <w:rStyle w:val="VerbatimChar"/>
        </w:rPr>
        <w:t xml:space="preserve">EndPointUri</w:t>
      </w:r>
      <w:r>
        <w:t xml:space="preserve"> </w:t>
      </w:r>
      <w:r>
        <w:t xml:space="preserve">/</w:t>
      </w:r>
      <w:r>
        <w:t xml:space="preserve"> </w:t>
      </w:r>
      <w:r>
        <w:rPr>
          <w:rStyle w:val="VerbatimChar"/>
        </w:rPr>
        <w:t xml:space="preserve">EndpointUri</w:t>
      </w:r>
      <w:r>
        <w:t xml:space="preserve"> </w:t>
      </w:r>
      <w:r>
        <w:t xml:space="preserve">case mismatch at</w:t>
      </w:r>
      <w:r>
        <w:t xml:space="preserve"> </w:t>
      </w:r>
      <w:r>
        <w:rPr>
          <w:rStyle w:val="VerbatimChar"/>
        </w:rPr>
        <w:t xml:space="preserve">RecipientSource.cs:15</w:t>
      </w:r>
      <w:r>
        <w:t xml:space="preserve"> </w:t>
      </w:r>
      <w:r>
        <w:t xml:space="preserve">is real,</w:t>
      </w:r>
      <w:r>
        <w:t xml:space="preserve"> </w:t>
      </w:r>
      <w:r>
        <w:rPr>
          <w:b/>
          <w:bCs/>
        </w:rPr>
        <w:t xml:space="preserve">but the lookup still resolves</w:t>
      </w:r>
      <w:r>
        <w:t xml:space="preserve">, because .NET application-settings</w:t>
      </w:r>
      <w:r>
        <w:t xml:space="preserve"> </w:t>
      </w:r>
      <w:r>
        <w:t xml:space="preserve">keys have always been case-insensitive.</w:t>
      </w:r>
      <w:r>
        <w:t xml:space="preserve"> </w:t>
      </w:r>
      <w:r>
        <w:rPr>
          <w:b/>
          <w:bCs/>
        </w:rPr>
        <w:t xml:space="preserve">Not tested, and marked rather than asserted closed:</w:t>
      </w:r>
      <w:r>
        <w:t xml:space="preserve"> </w:t>
      </w:r>
      <w:r>
        <w:t xml:space="preserve">there</w:t>
      </w:r>
      <w:r>
        <w:t xml:space="preserve"> </w:t>
      </w:r>
      <w:r>
        <w:t xml:space="preserve">is no .NET runtime on the review machine and a package restore is a network call under the holds. One</w:t>
      </w:r>
      <w:r>
        <w:t xml:space="preserve"> </w:t>
      </w:r>
      <w:r>
        <w:t xml:space="preserve">three-line program on any Windows machine converts the finding's only stated weakness into nothing.</w:t>
      </w:r>
    </w:p>
    <w:p>
      <w:pPr>
        <w:pStyle w:val="BodyText"/>
      </w:pPr>
      <w:r>
        <w:rPr>
          <w:b/>
          <w:bCs/>
        </w:rPr>
        <w:t xml:space="preserve">Recorded, not filed — a second defect in the same twenty lines, and it is simpler and stronger than</w:t>
      </w:r>
      <w:r>
        <w:rPr>
          <w:b/>
          <w:bCs/>
        </w:rPr>
        <w:t xml:space="preserve"> </w:t>
      </w:r>
      <w:r>
        <w:rPr>
          <w:rStyle w:val="VerbatimChar"/>
          <w:b/>
          <w:bCs/>
        </w:rPr>
        <w:t xml:space="preserve">SPDF-D1</w:t>
      </w:r>
      <w:r>
        <w:rPr>
          <w:b/>
          <w:bCs/>
        </w:rPr>
        <w:t xml:space="preserve"> </w:t>
      </w:r>
      <w:r>
        <w:rPr>
          <w:b/>
          <w:bCs/>
        </w:rPr>
        <w:t xml:space="preserve">itself.</w:t>
      </w:r>
      <w:r>
        <w:t xml:space="preserve"> </w:t>
      </w:r>
      <w:r>
        <w:rPr>
          <w:rStyle w:val="VerbatimChar"/>
        </w:rPr>
        <w:t xml:space="preserve">DemoForm.cs:174</w:t>
      </w:r>
      <w:r>
        <w:t xml:space="preserve"> </w:t>
      </w:r>
      <w:r>
        <w:t xml:space="preserve">and</w:t>
      </w:r>
      <w:r>
        <w:t xml:space="preserve"> </w:t>
      </w:r>
      <w:r>
        <w:rPr>
          <w:rStyle w:val="VerbatimChar"/>
        </w:rPr>
        <w:t xml:space="preserve">SimpleForm.cs:77</w:t>
      </w:r>
      <w:r>
        <w:t xml:space="preserve"> </w:t>
      </w:r>
      <w:r>
        <w:t xml:space="preserve">both set the encoder process file name to</w:t>
      </w:r>
      <w:r>
        <w:t xml:space="preserve"> </w:t>
      </w:r>
      <w:r>
        <w:t xml:space="preserve">a</w:t>
      </w:r>
      <w:r>
        <w:t xml:space="preserve"> </w:t>
      </w:r>
      <w:r>
        <w:rPr>
          <w:b/>
          <w:bCs/>
        </w:rPr>
        <w:t xml:space="preserve">bare name rather than a path</w:t>
      </w:r>
      <w:r>
        <w:t xml:space="preserve">, so resolution is left to the</w:t>
      </w:r>
      <w:r>
        <w:t xml:space="preserve"> </w:t>
      </w:r>
      <w:r>
        <w:rPr>
          <w:rStyle w:val="VerbatimChar"/>
        </w:rPr>
        <w:t xml:space="preserve">PATH</w:t>
      </w:r>
      <w:r>
        <w:t xml:space="preserve"> </w:t>
      </w:r>
      <w:r>
        <w:t xml:space="preserve">search, and anyone who can</w:t>
      </w:r>
      <w:r>
        <w:t xml:space="preserve"> </w:t>
      </w:r>
      <w:r>
        <w:t xml:space="preserve">write an executable of that name into an earlier</w:t>
      </w:r>
      <w:r>
        <w:t xml:space="preserve"> </w:t>
      </w:r>
      <w:r>
        <w:rPr>
          <w:rStyle w:val="VerbatimChar"/>
        </w:rPr>
        <w:t xml:space="preserve">PATH</w:t>
      </w:r>
      <w:r>
        <w:t xml:space="preserve"> </w:t>
      </w:r>
      <w:r>
        <w:t xml:space="preserve">entry</w:t>
      </w:r>
      <w:r>
        <w:t xml:space="preserve"> </w:t>
      </w:r>
      <w:r>
        <w:rPr>
          <w:b/>
          <w:bCs/>
        </w:rPr>
        <w:t xml:space="preserve">substitutes the encryption engine</w:t>
      </w:r>
      <w:r>
        <w:rPr>
          <w:b/>
          <w:bCs/>
        </w:rPr>
        <w:t xml:space="preserve"> </w:t>
      </w:r>
      <w:r>
        <w:rPr>
          <w:b/>
          <w:bCs/>
        </w:rPr>
        <w:t xml:space="preserve">outright, with no database access at all.</w:t>
      </w:r>
      <w:r>
        <w:t xml:space="preserve"> </w:t>
      </w:r>
      <w:r>
        <w:t xml:space="preserve">The deployed install layout and the operator account's</w:t>
      </w:r>
      <w:r>
        <w:t xml:space="preserve"> </w:t>
      </w:r>
      <w:r>
        <w:rPr>
          <w:rStyle w:val="VerbatimChar"/>
        </w:rPr>
        <w:t xml:space="preserve">PATH</w:t>
      </w:r>
      <w:r>
        <w:t xml:space="preserve"> </w:t>
      </w:r>
      <w:r>
        <w:t xml:space="preserve">were not traced, so it is deliberately</w:t>
      </w:r>
      <w:r>
        <w:t xml:space="preserve"> </w:t>
      </w:r>
      <w:r>
        <w:rPr>
          <w:b/>
          <w:bCs/>
        </w:rPr>
        <w:t xml:space="preserve">not filed</w:t>
      </w:r>
      <w:r>
        <w:t xml:space="preserve">. Two further executables in the same</w:t>
      </w:r>
      <w:r>
        <w:t xml:space="preserve"> </w:t>
      </w:r>
      <w:r>
        <w:t xml:space="preserve">product launch a fully caller-supplied file name — the same class, also untraced, also not filed.</w:t>
      </w:r>
    </w:p>
    <w:p>
      <w:pPr>
        <w:pStyle w:val="BodyText"/>
      </w:pPr>
      <w:r>
        <w:rPr>
          <w:b/>
          <w:bCs/>
        </w:rPr>
        <w:t xml:space="preserve">Remediation is one ticket, not three:</w:t>
      </w:r>
      <w:r>
        <w:t xml:space="preserve"> </w:t>
      </w:r>
      <w:r>
        <w:t xml:space="preserve">validate recipient certificates in the encoder — chain,</w:t>
      </w:r>
      <w:r>
        <w:t xml:space="preserve"> </w:t>
      </w:r>
      <w:r>
        <w:t xml:space="preserve">validity dates, key usage, and binding to the recipient the sender selected — rotate the Cosmos key,</w:t>
      </w:r>
      <w:r>
        <w:t xml:space="preserve"> </w:t>
      </w:r>
      <w:r>
        <w:t xml:space="preserve">and move it out of the application configuration file.</w:t>
      </w:r>
      <w:r>
        <w:t xml:space="preserve"> </w:t>
      </w:r>
      <w:r>
        <w:rPr>
          <w:b/>
          <w:bCs/>
        </w:rPr>
        <w:t xml:space="preserve">The first survives the other two.</w:t>
      </w:r>
    </w:p>
    <w:p/>
    <w:p/>
    <w:p/>
    <w:bookmarkEnd w:id="50"/>
    <w:bookmarkEnd w:id="51"/>
    <w:bookmarkStart w:id="52" w:name="Xa3592aeceda358a082ae7e405c983d473198da0"/>
    <w:p>
      <w:pPr>
        <w:pStyle w:val="Heading3"/>
      </w:pPr>
      <w:r>
        <w:t xml:space="preserve">3.6 Commercial and product-claim observations</w:t>
      </w:r>
    </w:p>
    <w:p>
      <w:pPr>
        <w:pStyle w:val="FirstParagraph"/>
      </w:pPr>
      <w:r>
        <w:t xml:space="preserve">These are recorded because they are product-claim questions before they are security questions. They</w:t>
      </w:r>
      <w:r>
        <w:t xml:space="preserve"> </w:t>
      </w:r>
      <w:r>
        <w:t xml:space="preserve">are not severity-scored and are not counted in any tally. Each is stated as the issue first and the</w:t>
      </w:r>
      <w:r>
        <w:t xml:space="preserve"> </w:t>
      </w:r>
      <w:r>
        <w:t xml:space="preserve">suggested action second, with the supporting measurement below it.</w:t>
      </w:r>
    </w:p>
    <w:p>
      <w:pPr>
        <w:pStyle w:val="BodyText"/>
      </w:pPr>
      <w:r>
        <w:rPr>
          <w:b/>
          <w:bCs/>
        </w:rPr>
        <w:t xml:space="preserve">1. SecurePDF does not sign anything.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The issue</w:t>
            </w:r>
          </w:p>
        </w:tc>
        <w:tc>
          <w:tcPr/>
          <w:p>
            <w:pPr>
              <w:pStyle w:val="Compact"/>
            </w:pPr>
            <w:r>
              <w:t xml:space="preserve">The product encrypts only, despite its name, and the sender's identity certificate path is declared and never loaded.</w:t>
            </w:r>
            <w:r>
              <w:t xml:space="preserve"> </w:t>
            </w:r>
            <w:r>
              <w:rPr>
                <w:b/>
                <w:bCs/>
              </w:rPr>
              <w:t xml:space="preserve">This is a product-claim question before it is a security one.</w:t>
            </w:r>
          </w:p>
        </w:tc>
      </w:tr>
      <w:tr>
        <w:tc>
          <w:tcPr/>
          <w:p>
            <w:pPr>
              <w:pStyle w:val="Compact"/>
            </w:pPr>
            <w:r>
              <w:rPr>
                <w:b/>
                <w:bCs/>
              </w:rPr>
              <w:t xml:space="preserve">Suggested action</w:t>
            </w:r>
          </w:p>
        </w:tc>
        <w:tc>
          <w:tcPr/>
          <w:p>
            <w:pPr>
              <w:pStyle w:val="Compact"/>
            </w:pPr>
            <w:r>
              <w:t xml:space="preserve">Correct the product claim, or implement signing. The claim is contradicted at source rather than merely unevidenced, which is what makes it a claim question.</w:t>
            </w:r>
          </w:p>
        </w:tc>
      </w:tr>
    </w:tbl>
    <w:p>
      <w:pPr>
        <w:pStyle w:val="BodyText"/>
      </w:pPr>
      <w:r>
        <w:t xml:space="preserve">The absence is a measurement, not an impression: the search and its positive control were run over</w:t>
      </w:r>
      <w:r>
        <w:t xml:space="preserve"> </w:t>
      </w:r>
      <w:r>
        <w:t xml:space="preserve">the same files, and the control fires.</w:t>
      </w:r>
    </w:p>
    <w:p>
      <w:pPr>
        <w:pStyle w:val="SourceCode"/>
      </w:pPr>
      <w:r>
        <w:rPr>
          <w:rStyle w:val="VerbatimChar"/>
        </w:rPr>
        <w:t xml:space="preserve">search   PdfSigner|SignDetached|signature|Verify|CheckValidity</w:t>
      </w:r>
      <w:r>
        <w:br/>
      </w:r>
      <w:r>
        <w:rPr>
          <w:rStyle w:val="VerbatimChar"/>
        </w:rPr>
        <w:t xml:space="preserve">         over all *.cs, *.csproj, *.config   -&gt;   0 hits</w:t>
      </w:r>
      <w:r>
        <w:br/>
      </w:r>
      <w:r>
        <w:rPr>
          <w:rStyle w:val="VerbatimChar"/>
        </w:rPr>
        <w:t xml:space="preserve">control  PdfDocument</w:t>
      </w:r>
      <w:r>
        <w:br/>
      </w:r>
      <w:r>
        <w:rPr>
          <w:rStyle w:val="VerbatimChar"/>
        </w:rPr>
        <w:t xml:space="preserve">         over the same files                 -&gt;  10 hits</w:t>
      </w:r>
    </w:p>
    <w:p>
      <w:pPr>
        <w:pStyle w:val="FirstParagraph"/>
      </w:pPr>
      <w:r>
        <w:rPr>
          <w:b/>
          <w:bCs/>
        </w:rPr>
        <w:t xml:space="preserve">2. HPSM has no code.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The issue</w:t>
            </w:r>
          </w:p>
        </w:tc>
        <w:tc>
          <w:tcPr/>
          <w:p>
            <w:pPr>
              <w:pStyle w:val="Compact"/>
            </w:pPr>
            <w:r>
              <w:t xml:space="preserve">The repository is a scaffold — two files, no application code. It is carried as "scaffold only, nothing to assess", deliberately</w:t>
            </w:r>
            <w:r>
              <w:t xml:space="preserve"> </w:t>
            </w:r>
            <w:r>
              <w:rPr>
                <w:b/>
                <w:bCs/>
              </w:rPr>
              <w:t xml:space="preserve">not</w:t>
            </w:r>
            <w:r>
              <w:t xml:space="preserve"> </w:t>
            </w:r>
            <w:r>
              <w:t xml:space="preserve">as a component with zero findings, which would read as a clean bill of health.</w:t>
            </w:r>
          </w:p>
        </w:tc>
      </w:tr>
      <w:tr>
        <w:tc>
          <w:tcPr/>
          <w:p>
            <w:pPr>
              <w:pStyle w:val="Compact"/>
            </w:pPr>
            <w:r>
              <w:rPr>
                <w:b/>
                <w:bCs/>
              </w:rPr>
              <w:t xml:space="preserve">Suggested action</w:t>
            </w:r>
          </w:p>
        </w:tc>
        <w:tc>
          <w:tcPr/>
          <w:p>
            <w:pPr>
              <w:pStyle w:val="Compact"/>
            </w:pPr>
            <w:r>
              <w:t xml:space="preserve">Keep it recorded as "scaffold only, nothing to assess", and do not let it be reported anywhere as a component with zero findings.</w:t>
            </w:r>
          </w:p>
        </w:tc>
      </w:tr>
    </w:tbl>
    <w:p>
      <w:pPr>
        <w:pStyle w:val="BodyText"/>
      </w:pPr>
      <w:r>
        <w:rPr>
          <w:b/>
          <w:bCs/>
        </w:rPr>
        <w:t xml:space="preserve">3. Two products are called CypherKey.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The issue</w:t>
            </w:r>
          </w:p>
        </w:tc>
        <w:tc>
          <w:tcPr/>
          <w:p>
            <w:pPr>
              <w:pStyle w:val="Compact"/>
            </w:pPr>
            <w:r>
              <w:t xml:space="preserve">The folder named</w:t>
            </w:r>
            <w:r>
              <w:t xml:space="preserve"> </w:t>
            </w:r>
            <w:r>
              <w:rPr>
                <w:rStyle w:val="VerbatimChar"/>
              </w:rPr>
              <w:t xml:space="preserve">CypherKey</w:t>
            </w:r>
            <w:r>
              <w:t xml:space="preserve"> </w:t>
            </w:r>
            <w:r>
              <w:t xml:space="preserve">is HPSA, while the folder named</w:t>
            </w:r>
            <w:r>
              <w:t xml:space="preserve"> </w:t>
            </w:r>
            <w:r>
              <w:rPr>
                <w:rStyle w:val="VerbatimChar"/>
              </w:rPr>
              <w:t xml:space="preserve">OneTimePad</w:t>
            </w:r>
            <w:r>
              <w:t xml:space="preserve"> </w:t>
            </w:r>
            <w:r>
              <w:t xml:space="preserve">is CypherKey. A finding labelled "CypherKey" is ambiguous between two authentication products. See §1.5.</w:t>
            </w:r>
          </w:p>
        </w:tc>
      </w:tr>
      <w:tr>
        <w:tc>
          <w:tcPr/>
          <w:p>
            <w:pPr>
              <w:pStyle w:val="Compact"/>
            </w:pPr>
            <w:r>
              <w:rPr>
                <w:b/>
                <w:bCs/>
              </w:rPr>
              <w:t xml:space="preserve">Suggested action</w:t>
            </w:r>
          </w:p>
        </w:tc>
        <w:tc>
          <w:tcPr/>
          <w:p>
            <w:pPr>
              <w:pStyle w:val="Compact"/>
            </w:pPr>
            <w:r>
              <w:t xml:space="preserve">Rename the folders to match the products, and until that is done require every finding, ticket and report to name the product identity rather than the folder name.</w:t>
            </w:r>
          </w:p>
        </w:tc>
      </w:tr>
    </w:tbl>
    <w:p>
      <w:r>
        <w:pict>
          <v:rect style="width:0;height:1.5pt" o:hralign="center" o:hrstd="t" o:hr="t"/>
        </w:pict>
      </w:r>
    </w:p>
    <w:p>
      <w:r>
        <w:br w:type="page"/>
      </w:r>
    </w:p>
    <w:bookmarkEnd w:id="52"/>
    <w:bookmarkEnd w:id="53"/>
    <w:bookmarkStart w:id="61" w:name="X2565cdd1c70bc07e88c127ab4409e38943f9818"/>
    <w:p>
      <w:pPr>
        <w:pStyle w:val="Heading2"/>
      </w:pPr>
      <w:r>
        <w:t xml:space="preserve">4. Verification Status and Open Items</w:t>
      </w:r>
    </w:p>
    <w:p/>
    <w:p/>
    <w:p/>
    <w:bookmarkStart w:id="57" w:name="X5e5e672c1c4f5ece2fb69b3d233d0dbcd4b5b1d"/>
    <w:p>
      <w:pPr>
        <w:pStyle w:val="Heading3"/>
      </w:pPr>
      <w:r>
        <w:t xml:space="preserve">4.1 The per-component verification pass</w:t>
      </w:r>
    </w:p>
    <w:p>
      <w:pPr>
        <w:pStyle w:val="FirstParagraph"/>
      </w:pPr>
      <w:r>
        <w:t xml:space="preserve">An independent verifier ran per component —</w:t>
      </w:r>
      <w:r>
        <w:t xml:space="preserve"> </w:t>
      </w:r>
      <w:r>
        <w:rPr>
          <w:b/>
          <w:bCs/>
        </w:rPr>
        <w:t xml:space="preserve">none of them the finder</w:t>
      </w:r>
      <w:r>
        <w:t xml:space="preserve"> </w:t>
      </w:r>
      <w:r>
        <w:t xml:space="preserve">— each instructed to try to</w:t>
      </w:r>
      <w:r>
        <w:t xml:space="preserve"> </w:t>
      </w:r>
      <w:r>
        <w:t xml:space="preserve">falsify every finding at source, with five verdicts (confirmed, refuted, downgraded, upgraded,</w:t>
      </w:r>
      <w:r>
        <w:t xml:space="preserve"> </w:t>
      </w:r>
      <w:r>
        <w:t xml:space="preserve">unverifiable) and a positive control required for every negative claim. All reports are written and</w:t>
      </w:r>
      <w:r>
        <w:t xml:space="preserve"> </w:t>
      </w:r>
      <w:r>
        <w:t xml:space="preserve">have been read. The table below covers this register's share of that pass.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Component</w:t>
            </w:r>
          </w:p>
        </w:tc>
        <w:tc>
          <w:tcPr/>
          <w:p>
            <w:pPr>
              <w:pStyle w:val="Compact"/>
            </w:pPr>
            <w:r>
              <w:t xml:space="preserve">CONF</w:t>
            </w:r>
          </w:p>
        </w:tc>
        <w:tc>
          <w:tcPr/>
          <w:p>
            <w:pPr>
              <w:pStyle w:val="Compact"/>
            </w:pPr>
            <w:r>
              <w:t xml:space="preserve">REF</w:t>
            </w:r>
          </w:p>
        </w:tc>
        <w:tc>
          <w:tcPr/>
          <w:p>
            <w:pPr>
              <w:pStyle w:val="Compact"/>
            </w:pPr>
            <w:r>
              <w:t xml:space="preserve">DOWN</w:t>
            </w:r>
          </w:p>
        </w:tc>
        <w:tc>
          <w:tcPr/>
          <w:p>
            <w:pPr>
              <w:pStyle w:val="Compact"/>
            </w:pPr>
            <w:r>
              <w:t xml:space="preserve">UP</w:t>
            </w:r>
          </w:p>
        </w:tc>
        <w:tc>
          <w:tcPr/>
          <w:p>
            <w:pPr>
              <w:pStyle w:val="Compact"/>
            </w:pPr>
            <w:r>
              <w:t xml:space="preserve">UNVERIF</w:t>
            </w:r>
          </w:p>
        </w:tc>
        <w:tc>
          <w:tcPr/>
          <w:p>
            <w:pPr>
              <w:pStyle w:val="Compact"/>
            </w:pPr>
            <w:r>
              <w:t xml:space="preserve">new</w:t>
            </w:r>
          </w:p>
        </w:tc>
      </w:tr>
      <w:tr>
        <w:tc>
          <w:tcPr/>
          <w:p>
            <w:pPr>
              <w:pStyle w:val="Compact"/>
            </w:pPr>
            <w:r>
              <w:t xml:space="preserve">OneTimePad</w:t>
            </w:r>
          </w:p>
        </w:tc>
        <w:tc>
          <w:tcPr/>
          <w:p>
            <w:pPr>
              <w:pStyle w:val="Compact"/>
            </w:pPr>
            <w:r>
              <w:t xml:space="preserve">32</w:t>
            </w:r>
          </w:p>
        </w:tc>
        <w:tc>
          <w:tcPr/>
          <w:p>
            <w:pPr>
              <w:pStyle w:val="Compact"/>
            </w:pPr>
            <w:r>
              <w:t xml:space="preserve">0</w:t>
            </w:r>
          </w:p>
        </w:tc>
        <w:tc>
          <w:tcPr/>
          <w:p>
            <w:pPr>
              <w:pStyle w:val="Compact"/>
            </w:pPr>
            <w:r>
              <w:t xml:space="preserve">3</w:t>
            </w:r>
          </w:p>
        </w:tc>
        <w:tc>
          <w:tcPr/>
          <w:p>
            <w:pPr>
              <w:pStyle w:val="Compact"/>
            </w:pPr>
            <w:r>
              <w:t xml:space="preserve">2</w:t>
            </w:r>
          </w:p>
        </w:tc>
        <w:tc>
          <w:tcPr/>
          <w:p>
            <w:pPr>
              <w:pStyle w:val="Compact"/>
            </w:pPr>
            <w:r>
              <w:t xml:space="preserve">—</w:t>
            </w:r>
          </w:p>
        </w:tc>
        <w:tc>
          <w:tcPr/>
          <w:p>
            <w:pPr>
              <w:pStyle w:val="Compact"/>
            </w:pPr>
            <w:r>
              <w:t xml:space="preserve">—</w:t>
            </w:r>
          </w:p>
        </w:tc>
      </w:tr>
      <w:tr>
        <w:tc>
          <w:tcPr/>
          <w:p>
            <w:pPr>
              <w:pStyle w:val="Compact"/>
            </w:pPr>
            <w:r>
              <w:t xml:space="preserve">CryptixWebPortal</w:t>
            </w:r>
          </w:p>
        </w:tc>
        <w:tc>
          <w:tcPr/>
          <w:p>
            <w:pPr>
              <w:pStyle w:val="Compact"/>
            </w:pPr>
            <w:r>
              <w:t xml:space="preserve">28</w:t>
            </w:r>
          </w:p>
        </w:tc>
        <w:tc>
          <w:tcPr/>
          <w:p>
            <w:pPr>
              <w:pStyle w:val="Compact"/>
            </w:pPr>
            <w:r>
              <w:t xml:space="preserve">0</w:t>
            </w:r>
          </w:p>
        </w:tc>
        <w:tc>
          <w:tcPr/>
          <w:p>
            <w:pPr>
              <w:pStyle w:val="Compact"/>
            </w:pPr>
            <w:r>
              <w:t xml:space="preserve">1</w:t>
            </w:r>
          </w:p>
        </w:tc>
        <w:tc>
          <w:tcPr/>
          <w:p>
            <w:pPr>
              <w:pStyle w:val="Compact"/>
            </w:pPr>
            <w:r>
              <w:t xml:space="preserve">—</w:t>
            </w:r>
          </w:p>
        </w:tc>
        <w:tc>
          <w:tcPr/>
          <w:p>
            <w:pPr>
              <w:pStyle w:val="Compact"/>
            </w:pPr>
            <w:r>
              <w:t xml:space="preserve">—</w:t>
            </w:r>
          </w:p>
        </w:tc>
        <w:tc>
          <w:tcPr/>
          <w:p>
            <w:pPr>
              <w:pStyle w:val="Compact"/>
            </w:pPr>
            <w:r>
              <w:t xml:space="preserve">3</w:t>
            </w:r>
          </w:p>
        </w:tc>
      </w:tr>
      <w:tr>
        <w:tc>
          <w:tcPr/>
          <w:p>
            <w:pPr>
              <w:pStyle w:val="Compact"/>
            </w:pPr>
            <w:r>
              <w:t xml:space="preserve">Reporting Dashboard (NexusAI)</w:t>
            </w:r>
          </w:p>
        </w:tc>
        <w:tc>
          <w:tcPr/>
          <w:p>
            <w:pPr>
              <w:pStyle w:val="Compact"/>
            </w:pPr>
            <w:r>
              <w:t xml:space="preserve">15</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w:t>
            </w:r>
          </w:p>
        </w:tc>
        <w:tc>
          <w:tcPr/>
          <w:p>
            <w:pPr>
              <w:pStyle w:val="Compact"/>
            </w:pPr>
            <w:r>
              <w:t xml:space="preserve">—</w:t>
            </w:r>
          </w:p>
        </w:tc>
      </w:tr>
      <w:tr>
        <w:tc>
          <w:tcPr/>
          <w:p>
            <w:pPr>
              <w:pStyle w:val="Compact"/>
            </w:pPr>
            <w:r>
              <w:t xml:space="preserve">myPKI</w:t>
            </w:r>
          </w:p>
        </w:tc>
        <w:tc>
          <w:tcPr/>
          <w:p>
            <w:pPr>
              <w:pStyle w:val="Compact"/>
            </w:pPr>
            <w:r>
              <w:t xml:space="preserve">12</w:t>
            </w:r>
          </w:p>
        </w:tc>
        <w:tc>
          <w:tcPr/>
          <w:p>
            <w:pPr>
              <w:pStyle w:val="Compact"/>
            </w:pPr>
            <w:r>
              <w:t xml:space="preserve">0</w:t>
            </w:r>
          </w:p>
        </w:tc>
        <w:tc>
          <w:tcPr/>
          <w:p>
            <w:pPr>
              <w:pStyle w:val="Compact"/>
            </w:pPr>
            <w:r>
              <w:t xml:space="preserve">1</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SecurePDF</w:t>
            </w:r>
          </w:p>
        </w:tc>
        <w:tc>
          <w:tcPr/>
          <w:p>
            <w:pPr>
              <w:pStyle w:val="Compact"/>
            </w:pPr>
            <w:r>
              <w:t xml:space="preserve">9</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TOTAL</w:t>
            </w:r>
          </w:p>
        </w:tc>
        <w:tc>
          <w:tcPr/>
          <w:p>
            <w:pPr>
              <w:pStyle w:val="Compact"/>
            </w:pPr>
            <w:r>
              <w:rPr>
                <w:b/>
                <w:bCs/>
              </w:rPr>
              <w:t xml:space="preserve">96</w:t>
            </w:r>
          </w:p>
        </w:tc>
        <w:tc>
          <w:tcPr/>
          <w:p>
            <w:pPr>
              <w:pStyle w:val="Compact"/>
            </w:pPr>
            <w:r>
              <w:t xml:space="preserve">—</w:t>
            </w:r>
          </w:p>
        </w:tc>
        <w:tc>
          <w:tcPr/>
          <w:p>
            <w:pPr>
              <w:pStyle w:val="Compact"/>
            </w:pPr>
            <w:r>
              <w:rPr>
                <w:b/>
                <w:bCs/>
              </w:rPr>
              <w:t xml:space="preserve">6</w:t>
            </w:r>
          </w:p>
        </w:tc>
        <w:tc>
          <w:tcPr/>
          <w:p>
            <w:pPr>
              <w:pStyle w:val="Compact"/>
            </w:pPr>
            <w:r>
              <w:rPr>
                <w:b/>
                <w:bCs/>
              </w:rPr>
              <w:t xml:space="preserve">3</w:t>
            </w:r>
          </w:p>
        </w:tc>
        <w:tc>
          <w:tcPr/>
          <w:p>
            <w:pPr>
              <w:pStyle w:val="Compact"/>
            </w:pPr>
            <w:r>
              <w:t xml:space="preserve">—</w:t>
            </w:r>
          </w:p>
        </w:tc>
        <w:tc>
          <w:tcPr/>
          <w:p>
            <w:pPr>
              <w:pStyle w:val="Compact"/>
            </w:pPr>
            <w:r>
              <w:rPr>
                <w:b/>
                <w:bCs/>
              </w:rPr>
              <w:t xml:space="preserve">3</w:t>
            </w:r>
          </w:p>
        </w:tc>
      </w:tr>
    </w:tbl>
    <w:p>
      <w:pPr>
        <w:pStyle w:val="BodyText"/>
      </w:pPr>
      <w:r>
        <w:rPr>
          <w:b/>
          <w:bCs/>
        </w:rPr>
        <w:t xml:space="preserve">Not one finding was refuted.</w:t>
      </w:r>
      <w:r>
        <w:t xml:space="preserve"> </w:t>
      </w:r>
      <w:r>
        <w:t xml:space="preserve">Across the full pass, 149 findings were re-derived at source by</w:t>
      </w:r>
      <w:r>
        <w:t xml:space="preserve"> </w:t>
      </w:r>
      <w:r>
        <w:t xml:space="preserve">someone who did not write them and was told to break them, and</w:t>
      </w:r>
      <w:r>
        <w:t xml:space="preserve"> </w:t>
      </w:r>
      <w:r>
        <w:rPr>
          <w:b/>
          <w:bCs/>
        </w:rPr>
        <w:t xml:space="preserve">none collapsed.</w:t>
      </w:r>
      <w:r>
        <w:t xml:space="preserve"> </w:t>
      </w:r>
      <w:r>
        <w:t xml:space="preserve">Twelve were</w:t>
      </w:r>
      <w:r>
        <w:t xml:space="preserve"> </w:t>
      </w:r>
      <w:r>
        <w:t xml:space="preserve">over-scored and were corrected downward; five were under-scored; three cannot be settled without a</w:t>
      </w:r>
      <w:r>
        <w:t xml:space="preserve"> </w:t>
      </w:r>
      <w:r>
        <w:t xml:space="preserve">live system.</w:t>
      </w:r>
      <w:r>
        <w:t xml:space="preserve"> </w:t>
      </w:r>
      <w:r>
        <w:rPr>
          <w:b/>
          <w:bCs/>
        </w:rPr>
        <w:t xml:space="preserve">The register is conservative, not inflated.</w:t>
      </w:r>
    </w:p>
    <w:p/>
    <w:p/>
    <w:p/>
    <w:bookmarkStart w:id="54" w:name="X336570f2d1077f4cbbf8dc95cda8c68b7cc82c1"/>
    <w:p>
      <w:pPr>
        <w:pStyle w:val="Heading4"/>
      </w:pPr>
      <w:r>
        <w:t xml:space="preserve">4.1.1 Movements in the Critical count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Movement</w:t>
            </w:r>
          </w:p>
        </w:tc>
        <w:tc>
          <w:tcPr/>
          <w:p>
            <w:pPr>
              <w:pStyle w:val="Compact"/>
            </w:pPr>
            <w:r>
              <w:t xml:space="preserve">Finding</w:t>
            </w:r>
          </w:p>
        </w:tc>
        <w:tc>
          <w:tcPr/>
          <w:p>
            <w:pPr>
              <w:pStyle w:val="Compact"/>
            </w:pPr>
            <w:r>
              <w:t xml:space="preserve">Basis</w:t>
            </w:r>
          </w:p>
        </w:tc>
      </w:tr>
      <w:tr>
        <w:tc>
          <w:tcPr/>
          <w:p>
            <w:pPr>
              <w:pStyle w:val="Compact"/>
            </w:pPr>
            <w:r>
              <w:rPr>
                <w:b/>
                <w:bCs/>
              </w:rPr>
              <w:t xml:space="preserve">OUT</w:t>
            </w:r>
          </w:p>
        </w:tc>
        <w:tc>
          <w:tcPr/>
          <w:p>
            <w:pPr>
              <w:pStyle w:val="Compact"/>
            </w:pPr>
            <w:r>
              <w:rPr>
                <w:b/>
                <w:bCs/>
              </w:rPr>
              <w:t xml:space="preserve">MYPKI-01</w:t>
            </w:r>
            <w:r>
              <w:t xml:space="preserve"> </w:t>
            </w:r>
            <w:r>
              <w:t xml:space="preserve">(Critical 9.3 to</w:t>
            </w:r>
            <w:r>
              <w:t xml:space="preserve"> </w:t>
            </w:r>
            <w:r>
              <w:rPr>
                <w:b/>
                <w:bCs/>
              </w:rPr>
              <w:t xml:space="preserve">High 8.0</w:t>
            </w:r>
            <w:r>
              <w:t xml:space="preserve">)</w:t>
            </w:r>
          </w:p>
        </w:tc>
        <w:tc>
          <w:tcPr/>
          <w:p>
            <w:pPr>
              <w:pStyle w:val="Compact"/>
            </w:pPr>
            <w:r>
              <w:t xml:space="preserve">The verifier read the fuzzy-commitment maths the finder had NOT read. The live enrolment path is</w:t>
            </w:r>
            <w:r>
              <w:t xml:space="preserve"> </w:t>
            </w:r>
            <w:r>
              <w:rPr>
                <w:rStyle w:val="VerbatimChar"/>
              </w:rPr>
              <w:t xml:space="preserve">SHA256(random 78-bit K) XOR PBKDF2-SHA256(pw, 10 000 iterations)</w:t>
            </w:r>
            <w:r>
              <w:t xml:space="preserve"> </w:t>
            </w:r>
            <w:r>
              <w:t xml:space="preserve">(</w:t>
            </w:r>
            <w:r>
              <w:rPr>
                <w:rStyle w:val="VerbatimChar"/>
              </w:rPr>
              <w:t xml:space="preserve">bchCommitment.js:37-4x</w:t>
            </w:r>
            <w:r>
              <w:t xml:space="preserve">) —</w:t>
            </w:r>
            <w:r>
              <w:t xml:space="preserve"> </w:t>
            </w:r>
            <w:r>
              <w:rPr>
                <w:b/>
                <w:bCs/>
              </w:rPr>
              <w:t xml:space="preserve">there IS a KDF and there IS independent entropy.</w:t>
            </w:r>
            <w:r>
              <w:t xml:space="preserve"> </w:t>
            </w:r>
            <w:r>
              <w:t xml:space="preserve">The finder's "no KDF, no stretching" is wrong for the live path. This is the single largest correction of the pass.</w:t>
            </w:r>
          </w:p>
        </w:tc>
      </w:tr>
    </w:tbl>
    <w:p/>
    <w:p/>
    <w:p/>
    <w:bookmarkEnd w:id="54"/>
    <w:bookmarkStart w:id="55" w:name="Xcee98ceda9761f7c2c32501a427bf4dcbe60f01"/>
    <w:p>
      <w:pPr>
        <w:pStyle w:val="Heading4"/>
      </w:pPr>
      <w:r>
        <w:t xml:space="preserve">4.1.2 Where verification made findings worse</w:t>
      </w:r>
    </w:p>
    <w:p>
      <w:pPr>
        <w:pStyle w:val="Compact"/>
        <w:numPr>
          <w:ilvl w:val="0"/>
          <w:numId w:val="1005"/>
        </w:numPr>
      </w:pPr>
      <w:r>
        <w:rPr>
          <w:b/>
          <w:bCs/>
        </w:rPr>
        <w:t xml:space="preserve">CRYPTIX-04</w:t>
      </w:r>
      <w:r>
        <w:t xml:space="preserve"> </w:t>
      </w:r>
      <w:r>
        <w:t xml:space="preserve">— the exposed key database holds</w:t>
      </w:r>
      <w:r>
        <w:t xml:space="preserve"> </w:t>
      </w:r>
      <w:r>
        <w:rPr>
          <w:b/>
          <w:bCs/>
        </w:rPr>
        <w:t xml:space="preserve">nineteen rows, not roughly eight</w:t>
      </w:r>
      <w:r>
        <w:t xml:space="preserve">.</w:t>
      </w:r>
    </w:p>
    <w:p>
      <w:pPr>
        <w:pStyle w:val="Compact"/>
        <w:numPr>
          <w:ilvl w:val="0"/>
          <w:numId w:val="1005"/>
        </w:numPr>
      </w:pPr>
      <w:r>
        <w:rPr>
          <w:b/>
          <w:bCs/>
        </w:rPr>
        <w:t xml:space="preserve">RD-01</w:t>
      </w:r>
      <w:r>
        <w:t xml:space="preserve"> </w:t>
      </w:r>
      <w:r>
        <w:t xml:space="preserve">— the fail-open behaviour is confirmed, but the finder's stated mechanism was wrong: the</w:t>
      </w:r>
      <w:r>
        <w:t xml:space="preserve"> </w:t>
      </w:r>
      <w:r>
        <w:t xml:space="preserve">second path is not the outer error handler.</w:t>
      </w:r>
      <w:r>
        <w:t xml:space="preserve"> </w:t>
      </w:r>
      <w:r>
        <w:rPr>
          <w:b/>
          <w:bCs/>
        </w:rPr>
        <w:t xml:space="preserve">A fix written against the report would have missed.</w:t>
      </w:r>
    </w:p>
    <w:p/>
    <w:p/>
    <w:p/>
    <w:bookmarkEnd w:id="55"/>
    <w:bookmarkStart w:id="56" w:name="X6ab10709ec12174f1fcb77fb70ea05de17d086e"/>
    <w:p>
      <w:pPr>
        <w:pStyle w:val="Heading4"/>
      </w:pPr>
      <w:r>
        <w:t xml:space="preserve">4.1.3 Corrections to the coordinating reviewer's own figures</w:t>
      </w:r>
    </w:p>
    <w:p>
      <w:pPr>
        <w:pStyle w:val="Compact"/>
        <w:numPr>
          <w:ilvl w:val="0"/>
          <w:numId w:val="1006"/>
        </w:numPr>
      </w:pPr>
      <w:r>
        <w:t xml:space="preserve">The stated eighteen findings for NexusAI</w:t>
      </w:r>
      <w:r>
        <w:t xml:space="preserve"> </w:t>
      </w:r>
      <w:r>
        <w:rPr>
          <w:b/>
          <w:bCs/>
        </w:rPr>
        <w:t xml:space="preserve">is seventeen</w:t>
      </w:r>
      <w:r>
        <w:t xml:space="preserve">, corrected by the project's own count.</w:t>
      </w:r>
      <w:r>
        <w:t xml:space="preserve"> </w:t>
      </w:r>
      <w:r>
        <w:t xml:space="preserve">This is the same failure as several findings in this register — an instrument whose scope did not</w:t>
      </w:r>
      <w:r>
        <w:t xml:space="preserve"> </w:t>
      </w:r>
      <w:r>
        <w:t xml:space="preserve">match the question.</w:t>
      </w:r>
    </w:p>
    <w:p/>
    <w:p/>
    <w:p/>
    <w:bookmarkEnd w:id="56"/>
    <w:bookmarkEnd w:id="57"/>
    <w:bookmarkStart w:id="58" w:name="Xe9d78b9ad6668693c03372e27deef5e50306d5d"/>
    <w:p>
      <w:pPr>
        <w:pStyle w:val="Heading3"/>
      </w:pPr>
      <w:r>
        <w:t xml:space="preserve">4.2 Open items</w:t>
      </w:r>
    </w:p>
    <w:p>
      <w:pPr>
        <w:pStyle w:val="FirstParagraph"/>
      </w:pPr>
      <w:r>
        <w:rPr>
          <w:b/>
          <w:bCs/>
        </w:rPr>
        <w:t xml:space="preserve">Action.</w:t>
      </w:r>
      <w:r>
        <w:t xml:space="preserve"> </w:t>
      </w:r>
      <w:r>
        <w:t xml:space="preserve">Commission a second reader for the myPKI rescore. Everything they need is cited on the row at §3.2.</w:t>
      </w:r>
      <w:r>
        <w:t xml:space="preserve"> </w:t>
      </w:r>
      <w:r>
        <w:rPr>
          <w:b/>
          <w:bCs/>
        </w:rPr>
        <w:t xml:space="preserve">The rescore is not applied and the row stands at Critical until they have read it.</w:t>
      </w:r>
    </w:p>
    <w:p>
      <w:pPr>
        <w:pStyle w:val="BodyText"/>
      </w:pPr>
      <w:r>
        <w:rPr>
          <w:b/>
          <w:bCs/>
        </w:rPr>
        <w:t xml:space="preserve">Open item 1 — the myPKI Critical carries a proposed rescore that has not been applied.</w:t>
      </w:r>
      <w:r>
        <w:t xml:space="preserve"> </w:t>
      </w:r>
      <w:r>
        <w:t xml:space="preserve">Set out in</w:t>
      </w:r>
      <w:r>
        <w:t xml:space="preserve"> </w:t>
      </w:r>
      <w:r>
        <w:t xml:space="preserve">full on the row at §3.2. A single verifier should not move a published Critical downward unreviewed;</w:t>
      </w:r>
      <w:r>
        <w:t xml:space="preserve"> </w:t>
      </w:r>
      <w:r>
        <w:rPr>
          <w:b/>
          <w:bCs/>
        </w:rPr>
        <w:t xml:space="preserve">a second reader is needed, and everything they need is cited on the row.</w:t>
      </w:r>
      <w:r>
        <w:t xml:space="preserve"> </w:t>
      </w:r>
      <w:r>
        <w:t xml:space="preserve">What decides High versus</w:t>
      </w:r>
      <w:r>
        <w:t xml:space="preserve"> </w:t>
      </w:r>
      <w:r>
        <w:t xml:space="preserve">Critical is a live question the holds currently block:</w:t>
      </w:r>
      <w:r>
        <w:t xml:space="preserve"> </w:t>
      </w:r>
      <w:r>
        <w:rPr>
          <w:b/>
          <w:bCs/>
        </w:rPr>
        <w:t xml:space="preserve">how many deployed records still use the</w:t>
      </w:r>
      <w:r>
        <w:rPr>
          <w:b/>
          <w:bCs/>
        </w:rPr>
        <w:t xml:space="preserve"> </w:t>
      </w:r>
      <w:r>
        <w:rPr>
          <w:b/>
          <w:bCs/>
        </w:rPr>
        <w:t xml:space="preserve">legacy enrolment path.</w:t>
      </w:r>
    </w:p>
    <w:p>
      <w:pPr>
        <w:pStyle w:val="BodyText"/>
      </w:pPr>
      <w:r>
        <w:rPr>
          <w:b/>
          <w:bCs/>
        </w:rPr>
        <w:t xml:space="preserve">Action.</w:t>
      </w:r>
      <w:r>
        <w:t xml:space="preserve"> </w:t>
      </w:r>
      <w:r>
        <w:t xml:space="preserve">Run the two live checks — whether the CypherKey demonstration deployment exposes</w:t>
      </w:r>
      <w:r>
        <w:t xml:space="preserve"> </w:t>
      </w:r>
      <w:r>
        <w:rPr>
          <w:rStyle w:val="VerbatimChar"/>
        </w:rPr>
        <w:t xml:space="preserve">/setup</w:t>
      </w:r>
      <w:r>
        <w:t xml:space="preserve"> </w:t>
      </w:r>
      <w:r>
        <w:t xml:space="preserve">unauthenticated, and whether Entra genuinely pins the EAM subject — and record both results on their rows. Until the second is answered,</w:t>
      </w:r>
      <w:r>
        <w:t xml:space="preserve"> </w:t>
      </w:r>
      <w:r>
        <w:rPr>
          <w:rStyle w:val="VerbatimChar"/>
        </w:rPr>
        <w:t xml:space="preserve">OTP-01</w:t>
      </w:r>
      <w:r>
        <w:t xml:space="preserve">'s only stated safeguard is a code comment.</w:t>
      </w:r>
    </w:p>
    <w:p>
      <w:pPr>
        <w:pStyle w:val="BodyText"/>
      </w:pPr>
      <w:r>
        <w:rPr>
          <w:b/>
          <w:bCs/>
        </w:rPr>
        <w:t xml:space="preserve">Open item 2 — two findings need one live check each.</w:t>
      </w:r>
      <w:r>
        <w:t xml:space="preserve"> </w:t>
      </w:r>
      <w:r>
        <w:t xml:space="preserve">Whether the CypherKey demonstration</w:t>
      </w:r>
      <w:r>
        <w:t xml:space="preserve"> </w:t>
      </w:r>
      <w:r>
        <w:t xml:space="preserve">deployment actually exposes</w:t>
      </w:r>
      <w:r>
        <w:t xml:space="preserve"> </w:t>
      </w:r>
      <w:r>
        <w:rPr>
          <w:rStyle w:val="VerbatimChar"/>
        </w:rPr>
        <w:t xml:space="preserve">/setup</w:t>
      </w:r>
      <w:r>
        <w:t xml:space="preserve"> </w:t>
      </w:r>
      <w:r>
        <w:t xml:space="preserve">unauthenticated, and whether Entra genuinely pins the EAM</w:t>
      </w:r>
      <w:r>
        <w:t xml:space="preserve"> </w:t>
      </w:r>
      <w:r>
        <w:t xml:space="preserve">subject. Until the second is answered, OTP-01's only stated safeguard remains a code comment.</w:t>
      </w:r>
    </w:p>
    <w:p>
      <w:pPr>
        <w:pStyle w:val="BodyText"/>
      </w:pPr>
      <w:r>
        <w:rPr>
          <w:b/>
          <w:bCs/>
        </w:rPr>
        <w:t xml:space="preserve">Action.</w:t>
      </w:r>
      <w:r>
        <w:t xml:space="preserve"> </w:t>
      </w:r>
      <w:r>
        <w:t xml:space="preserve">Treat the credentials cited in the June register as disclosed and rotate on that basis. This is a client action rather than a register edit, and the full item is recorded in the companion HP Authentication Suite register.</w:t>
      </w:r>
    </w:p>
    <w:p>
      <w:pPr>
        <w:pStyle w:val="BodyText"/>
      </w:pPr>
      <w:r>
        <w:rPr>
          <w:b/>
          <w:bCs/>
        </w:rPr>
        <w:t xml:space="preserve">Open item 3 — handling of the June register. This is not a scoring matter and it is the most urgent</w:t>
      </w:r>
      <w:r>
        <w:rPr>
          <w:b/>
          <w:bCs/>
        </w:rPr>
        <w:t xml:space="preserve"> </w:t>
      </w:r>
      <w:r>
        <w:rPr>
          <w:b/>
          <w:bCs/>
        </w:rPr>
        <w:t xml:space="preserve">item any reviewer raised.</w:t>
      </w:r>
      <w:r>
        <w:t xml:space="preserve"> </w:t>
      </w:r>
      <w:r>
        <w:rPr>
          <w:rStyle w:val="VerbatimChar"/>
        </w:rPr>
        <w:t xml:space="preserve">Deliverables/03_Findings_Register.md</w:t>
      </w:r>
      <w:r>
        <w:t xml:space="preserve">, a signed-off, customer-facing</w:t>
      </w:r>
      <w:r>
        <w:t xml:space="preserve"> </w:t>
      </w:r>
      <w:r>
        <w:t xml:space="preserve">deliverable that is also rendered to</w:t>
      </w:r>
      <w:r>
        <w:t xml:space="preserve"> </w:t>
      </w:r>
      <w:r>
        <w:rPr>
          <w:rStyle w:val="VerbatimChar"/>
        </w:rPr>
        <w:t xml:space="preserve">.docx</w:t>
      </w:r>
      <w:r>
        <w:t xml:space="preserve">,</w:t>
      </w:r>
      <w:r>
        <w:t xml:space="preserve"> </w:t>
      </w:r>
      <w:r>
        <w:rPr>
          <w:b/>
          <w:bCs/>
        </w:rPr>
        <w:t xml:space="preserve">prints secret values verbatim</w:t>
      </w:r>
      <w:r>
        <w:t xml:space="preserve"> </w:t>
      </w:r>
      <w:r>
        <w:t xml:space="preserve">— eight distinct</w:t>
      </w:r>
      <w:r>
        <w:t xml:space="preserve"> </w:t>
      </w:r>
      <w:r>
        <w:t xml:space="preserve">lines inside the Evidence blocks of two findings.</w:t>
      </w:r>
      <w:r>
        <w:t xml:space="preserve"> </w:t>
      </w:r>
      <w:r>
        <w:rPr>
          <w:b/>
          <w:bCs/>
        </w:rPr>
        <w:t xml:space="preserve">No value, prefix, length or redacted head is</w:t>
      </w:r>
      <w:r>
        <w:rPr>
          <w:b/>
          <w:bCs/>
        </w:rPr>
        <w:t xml:space="preserve"> </w:t>
      </w:r>
      <w:r>
        <w:rPr>
          <w:b/>
          <w:bCs/>
        </w:rPr>
        <w:t xml:space="preserve">reproduced here.</w:t>
      </w:r>
      <w:r>
        <w:t xml:space="preserve"> </w:t>
      </w:r>
      <w:r>
        <w:t xml:space="preserve">That register belongs to the HP Authentication Suite engagement and the full item</w:t>
      </w:r>
      <w:r>
        <w:t xml:space="preserve"> </w:t>
      </w:r>
      <w:r>
        <w:t xml:space="preserve">is recorded in the companion register; it is noted here because the recommended handling — treat the</w:t>
      </w:r>
      <w:r>
        <w:t xml:space="preserve"> </w:t>
      </w:r>
      <w:r>
        <w:t xml:space="preserve">cited credentials as disclosed and rotate on that basis — is a client action rather than a register</w:t>
      </w:r>
      <w:r>
        <w:t xml:space="preserve"> </w:t>
      </w:r>
      <w:r>
        <w:t xml:space="preserve">edit, and because it establishes the standard this register holds itself to:</w:t>
      </w:r>
      <w:r>
        <w:t xml:space="preserve"> </w:t>
      </w:r>
      <w:r>
        <w:rPr>
          <w:b/>
          <w:bCs/>
        </w:rPr>
        <w:t xml:space="preserve">secrets are reported</w:t>
      </w:r>
      <w:r>
        <w:rPr>
          <w:b/>
          <w:bCs/>
        </w:rPr>
        <w:t xml:space="preserve"> </w:t>
      </w:r>
      <w:r>
        <w:rPr>
          <w:b/>
          <w:bCs/>
        </w:rPr>
        <w:t xml:space="preserve">structurally, never by value.</w:t>
      </w:r>
    </w:p>
    <w:p/>
    <w:p/>
    <w:p/>
    <w:bookmarkEnd w:id="58"/>
    <w:bookmarkStart w:id="59" w:name="X7806e35dab77ce238c6ce2bf8632cb2236f25e3"/>
    <w:p>
      <w:pPr>
        <w:pStyle w:val="Heading3"/>
      </w:pPr>
      <w:r>
        <w:t xml:space="preserve">4.3 What is not done</w:t>
      </w:r>
    </w:p>
    <w:p>
      <w:pPr>
        <w:pStyle w:val="Compact"/>
        <w:numPr>
          <w:ilvl w:val="0"/>
          <w:numId w:val="1007"/>
        </w:numPr>
      </w:pPr>
      <w:r>
        <w:rPr>
          <w:b/>
          <w:bCs/>
        </w:rPr>
        <w:t xml:space="preserve">Nothing has been re-scored against a live environment.</w:t>
      </w:r>
      <w:r>
        <w:t xml:space="preserve"> </w:t>
      </w:r>
      <w:r>
        <w:t xml:space="preserve">Every environmental CVSS adjustment on</w:t>
      </w:r>
      <w:r>
        <w:t xml:space="preserve"> </w:t>
      </w:r>
      <w:r>
        <w:t xml:space="preserve">the reachability-dependent findings still needs the deferred live GitHub, Azure and Entra pass.</w:t>
      </w:r>
    </w:p>
    <w:p>
      <w:pPr>
        <w:pStyle w:val="Compact"/>
        <w:numPr>
          <w:ilvl w:val="0"/>
          <w:numId w:val="1007"/>
        </w:numPr>
      </w:pPr>
      <w:r>
        <w:rPr>
          <w:b/>
          <w:bCs/>
        </w:rPr>
        <w:t xml:space="preserve">The two live checks at open item 2 are the named next action.</w:t>
      </w:r>
    </w:p>
    <w:p>
      <w:pPr>
        <w:pStyle w:val="Compact"/>
        <w:numPr>
          <w:ilvl w:val="0"/>
          <w:numId w:val="1007"/>
        </w:numPr>
      </w:pPr>
      <w:r>
        <w:rPr>
          <w:b/>
          <w:bCs/>
        </w:rPr>
        <w:t xml:space="preserve">No dependency-CVE delta is offered.</w:t>
      </w:r>
      <w:r>
        <w:t xml:space="preserve"> </w:t>
      </w:r>
      <w:r>
        <w:t xml:space="preserve">June ran</w:t>
      </w:r>
      <w:r>
        <w:t xml:space="preserve"> </w:t>
      </w:r>
      <w:r>
        <w:rPr>
          <w:rStyle w:val="VerbatimChar"/>
        </w:rPr>
        <w:t xml:space="preserve">trivy</w:t>
      </w:r>
      <w:r>
        <w:t xml:space="preserve"> </w:t>
      </w:r>
      <w:r>
        <w:t xml:space="preserve">0.71 over nineteen components; this run</w:t>
      </w:r>
      <w:r>
        <w:t xml:space="preserve"> </w:t>
      </w:r>
      <w:r>
        <w:t xml:space="preserve">ran 0.74 over thirty-two. Two variables moved at once, the database and the population, and the</w:t>
      </w:r>
      <w:r>
        <w:t xml:space="preserve"> </w:t>
      </w:r>
      <w:r>
        <w:t xml:space="preserve">population grew roughly fivefold. Neither number is a trend.</w:t>
      </w:r>
      <w:r>
        <w:t xml:space="preserve"> </w:t>
      </w:r>
      <w:r>
        <w:rPr>
          <w:b/>
          <w:bCs/>
        </w:rPr>
        <w:t xml:space="preserve">For the eight components in this</w:t>
      </w:r>
      <w:r>
        <w:rPr>
          <w:b/>
          <w:bCs/>
        </w:rPr>
        <w:t xml:space="preserve"> </w:t>
      </w:r>
      <w:r>
        <w:rPr>
          <w:b/>
          <w:bCs/>
        </w:rPr>
        <w:t xml:space="preserve">register the question does not arise: this is their first assessment, so there is no baseline to</w:t>
      </w:r>
      <w:r>
        <w:rPr>
          <w:b/>
          <w:bCs/>
        </w:rPr>
        <w:t xml:space="preserve"> </w:t>
      </w:r>
      <w:r>
        <w:rPr>
          <w:b/>
          <w:bCs/>
        </w:rPr>
        <w:t xml:space="preserve">delta against.</w:t>
      </w:r>
    </w:p>
    <w:p>
      <w:pPr>
        <w:pStyle w:val="Compact"/>
        <w:numPr>
          <w:ilvl w:val="0"/>
          <w:numId w:val="1007"/>
        </w:numPr>
      </w:pPr>
      <w:r>
        <w:rPr>
          <w:b/>
          <w:bCs/>
        </w:rPr>
        <w:t xml:space="preserve">The myPKI rescore at open item 1 needs a second reader.</w:t>
      </w:r>
    </w:p>
    <w:p/>
    <w:p/>
    <w:p/>
    <w:bookmarkEnd w:id="59"/>
    <w:bookmarkStart w:id="60" w:name="X111a18b47734bed804c3f2a639488d646f744eb"/>
    <w:p>
      <w:pPr>
        <w:pStyle w:val="Heading3"/>
      </w:pPr>
      <w:r>
        <w:t xml:space="preserve">4.4 What was verified personally at source</w:t>
      </w:r>
    </w:p>
    <w:p>
      <w:pPr>
        <w:pStyle w:val="FirstParagraph"/>
      </w:pPr>
      <w:r>
        <w:t xml:space="preserve">Not the whole population. The following were read at their cited</w:t>
      </w:r>
      <w:r>
        <w:t xml:space="preserve"> </w:t>
      </w:r>
      <w:r>
        <w:rPr>
          <w:rStyle w:val="VerbatimChar"/>
        </w:rPr>
        <w:t xml:space="preserve">file:line</w:t>
      </w:r>
      <w:r>
        <w:t xml:space="preserve">, reading the code rather</w:t>
      </w:r>
      <w:r>
        <w:t xml:space="preserve"> </w:t>
      </w:r>
      <w:r>
        <w:t xml:space="preserve">than the reviewer's summary: the NexusAI fail-open authentication guard; the Vision seed upsert; the</w:t>
      </w:r>
      <w:r>
        <w:t xml:space="preserve"> </w:t>
      </w:r>
      <w:r>
        <w:t xml:space="preserve">CypherKey EAM subject path and its two correct counterparts; and the product-identity map that</w:t>
      </w:r>
      <w:r>
        <w:t xml:space="preserve"> </w:t>
      </w:r>
      <w:r>
        <w:t xml:space="preserve">resolves the CypherKey naming collision.</w:t>
      </w:r>
    </w:p>
    <w:p>
      <w:r>
        <w:pict>
          <v:rect style="width:0;height:1.5pt" o:hralign="center" o:hrstd="t" o:hr="t"/>
        </w:pict>
      </w:r>
    </w:p>
    <w:p>
      <w:r>
        <w:br w:type="page"/>
      </w:r>
    </w:p>
    <w:bookmarkEnd w:id="60"/>
    <w:bookmarkEnd w:id="61"/>
    <w:bookmarkStart w:id="62" w:name="X7721be68407a11a24c4285b331d248da842f2ad"/>
    <w:p>
      <w:pPr>
        <w:pStyle w:val="Heading2"/>
      </w:pPr>
      <w:r>
        <w:t xml:space="preserve">5. Assurance Observations</w:t>
      </w:r>
    </w:p>
    <w:p>
      <w:pPr>
        <w:pStyle w:val="FirstParagraph"/>
      </w:pPr>
      <w:r>
        <w:t xml:space="preserve">Several design elements hold up under review. They are recorded so that the register is not</w:t>
      </w:r>
      <w:r>
        <w:t xml:space="preserve"> </w:t>
      </w:r>
      <w:r>
        <w:t xml:space="preserve">discounted wholesale, and they do</w:t>
      </w:r>
      <w:r>
        <w:t xml:space="preserve"> </w:t>
      </w:r>
      <w:r>
        <w:rPr>
          <w:b/>
          <w:bCs/>
        </w:rPr>
        <w:t xml:space="preserve">not</w:t>
      </w:r>
      <w:r>
        <w:t xml:space="preserve"> </w:t>
      </w:r>
      <w:r>
        <w:t xml:space="preserve">offset the Critical and High findings.</w:t>
      </w:r>
    </w:p>
    <w:p>
      <w:pPr>
        <w:pStyle w:val="Compact"/>
        <w:numPr>
          <w:ilvl w:val="0"/>
          <w:numId w:val="1008"/>
        </w:numPr>
      </w:pPr>
      <w:r>
        <w:rPr>
          <w:b/>
          <w:bCs/>
        </w:rPr>
        <w:t xml:space="preserve">CypherKey's verification core is well built.</w:t>
      </w:r>
      <w:r>
        <w:t xml:space="preserve"> </w:t>
      </w:r>
      <w:r>
        <w:t xml:space="preserve">Constant-time comparison, consume-on-selection,</w:t>
      </w:r>
      <w:r>
        <w:t xml:space="preserve"> </w:t>
      </w:r>
      <w:r>
        <w:t xml:space="preserve">serialisable transactions with</w:t>
      </w:r>
      <w:r>
        <w:t xml:space="preserve"> </w:t>
      </w:r>
      <w:r>
        <w:rPr>
          <w:rStyle w:val="VerbatimChar"/>
        </w:rPr>
        <w:t xml:space="preserve">FOR UPDATE SKIP LOCKED</w:t>
      </w:r>
      <w:r>
        <w:t xml:space="preserve"> </w:t>
      </w:r>
      <w:r>
        <w:t xml:space="preserve">and the reasoning written down, unbiased</w:t>
      </w:r>
      <w:r>
        <w:t xml:space="preserve"> </w:t>
      </w:r>
      <w:r>
        <w:t xml:space="preserve">rejection-sampled randomness, four fail-closed startup guards, and device proof with the token</w:t>
      </w:r>
      <w:r>
        <w:t xml:space="preserve"> </w:t>
      </w:r>
      <w:r>
        <w:t xml:space="preserve">identifier consumed last.</w:t>
      </w:r>
    </w:p>
    <w:p>
      <w:pPr>
        <w:pStyle w:val="Compact"/>
        <w:numPr>
          <w:ilvl w:val="0"/>
          <w:numId w:val="1008"/>
        </w:numPr>
      </w:pPr>
      <w:r>
        <w:rPr>
          <w:b/>
          <w:bCs/>
        </w:rPr>
        <w:t xml:space="preserve">NexusAI's CI secret gate is the most rigorous in the estate.</w:t>
      </w:r>
      <w:r>
        <w:t xml:space="preserve"> </w:t>
      </w:r>
      <w:r>
        <w:t xml:space="preserve">It carries a custom rule that fires</w:t>
      </w:r>
      <w:r>
        <w:t xml:space="preserve"> </w:t>
      </w:r>
      <w:r>
        <w:t xml:space="preserve">on a specific historic secret, plus a</w:t>
      </w:r>
      <w:r>
        <w:t xml:space="preserve"> </w:t>
      </w:r>
      <w:r>
        <w:rPr>
          <w:b/>
          <w:bCs/>
        </w:rPr>
        <w:t xml:space="preserve">canary step that asserts by rule identifier that the scanner</w:t>
      </w:r>
      <w:r>
        <w:rPr>
          <w:b/>
          <w:bCs/>
        </w:rPr>
        <w:t xml:space="preserve"> </w:t>
      </w:r>
      <w:r>
        <w:rPr>
          <w:b/>
          <w:bCs/>
        </w:rPr>
        <w:t xml:space="preserve">can still fire</w:t>
      </w:r>
      <w:r>
        <w:t xml:space="preserve"> </w:t>
      </w:r>
      <w:r>
        <w:t xml:space="preserve">before a clean result is trusted. An earlier draft wrongly speculated that this was</w:t>
      </w:r>
      <w:r>
        <w:t xml:space="preserve"> </w:t>
      </w:r>
      <w:r>
        <w:t xml:space="preserve">an allow-list blinding the scanner;</w:t>
      </w:r>
      <w:r>
        <w:t xml:space="preserve"> </w:t>
      </w:r>
      <w:r>
        <w:rPr>
          <w:b/>
          <w:bCs/>
        </w:rPr>
        <w:t xml:space="preserve">it is the opposite.</w:t>
      </w:r>
    </w:p>
    <w:p>
      <w:pPr>
        <w:pStyle w:val="Compact"/>
        <w:numPr>
          <w:ilvl w:val="0"/>
          <w:numId w:val="1008"/>
        </w:numPr>
      </w:pPr>
      <w:r>
        <w:rPr>
          <w:b/>
          <w:bCs/>
        </w:rPr>
        <w:t xml:space="preserve">QuickQuote's margin-protection build step holds up under review</w:t>
      </w:r>
      <w:r>
        <w:t xml:space="preserve"> </w:t>
      </w:r>
      <w:r>
        <w:rPr>
          <w:i/>
          <w:iCs/>
        </w:rPr>
        <w:t xml:space="preserve">(parked)</w:t>
      </w:r>
      <w:r>
        <w:t xml:space="preserve">. The property it</w:t>
      </w:r>
      <w:r>
        <w:t xml:space="preserve"> </w:t>
      </w:r>
      <w:r>
        <w:t xml:space="preserve">carries — that a simple-mode session must never receive the margin tooling or the advanced markup —</w:t>
      </w:r>
      <w:r>
        <w:t xml:space="preserve"> </w:t>
      </w:r>
      <w:r>
        <w:t xml:space="preserve">is enforced at build time</w:t>
      </w:r>
      <w:r>
        <w:t xml:space="preserve"> </w:t>
      </w:r>
      <w:r>
        <w:rPr>
          <w:b/>
          <w:bCs/>
        </w:rPr>
        <w:t xml:space="preserve">and</w:t>
      </w:r>
      <w:r>
        <w:t xml:space="preserve"> </w:t>
      </w:r>
      <w:r>
        <w:t xml:space="preserve">independently at the server, which is where build-time properties</w:t>
      </w:r>
      <w:r>
        <w:t xml:space="preserve"> </w:t>
      </w:r>
      <w:r>
        <w:t xml:space="preserve">usually die. The strip throws on a missing or inverted sentinel pair rather than shipping a partial</w:t>
      </w:r>
      <w:r>
        <w:t xml:space="preserve"> </w:t>
      </w:r>
      <w:r>
        <w:t xml:space="preserve">result, and runs a leak check that</w:t>
      </w:r>
      <w:r>
        <w:t xml:space="preserve"> </w:t>
      </w:r>
      <w:r>
        <w:rPr>
          <w:b/>
          <w:bCs/>
        </w:rPr>
        <w:t xml:space="preserve">refuses to write</w:t>
      </w:r>
      <w:r>
        <w:t xml:space="preserve"> </w:t>
      </w:r>
      <w:r>
        <w:t xml:space="preserve">if any advanced token or control identifier</w:t>
      </w:r>
      <w:r>
        <w:t xml:space="preserve"> </w:t>
      </w:r>
      <w:r>
        <w:t xml:space="preserve">survives into the public HTML. The server then gates the module on both authentication and the</w:t>
      </w:r>
      <w:r>
        <w:t xml:space="preserve"> </w:t>
      </w:r>
      <w:r>
        <w:t xml:space="preserve">session's advanced flag, rate-limits the unlock, takes the advanced flag for PDF rendering from the</w:t>
      </w:r>
      <w:r>
        <w:t xml:space="preserve"> </w:t>
      </w:r>
      <w:r>
        <w:t xml:space="preserve">session and says why —</w:t>
      </w:r>
      <w:r>
        <w:t xml:space="preserve"> </w:t>
      </w:r>
      <w:r>
        <w:rPr>
          <w:i/>
          <w:iCs/>
        </w:rPr>
        <w:t xml:space="preserve">"the client decides what state to send, the SERVER decides whether this</w:t>
      </w:r>
      <w:r>
        <w:rPr>
          <w:i/>
          <w:iCs/>
        </w:rPr>
        <w:t xml:space="preserve"> </w:t>
      </w:r>
      <w:r>
        <w:rPr>
          <w:i/>
          <w:iCs/>
        </w:rPr>
        <w:t xml:space="preserve">session is entitled"</w:t>
      </w:r>
      <w:r>
        <w:t xml:space="preserve"> </w:t>
      </w:r>
      <w:r>
        <w:t xml:space="preserve">— and mounts</w:t>
      </w:r>
      <w:r>
        <w:t xml:space="preserve"> </w:t>
      </w:r>
      <w:r>
        <w:rPr>
          <w:b/>
          <w:bCs/>
        </w:rPr>
        <w:t xml:space="preserve">no static directory at all</w:t>
      </w:r>
      <w:r>
        <w:t xml:space="preserve">, so the private directory is not</w:t>
      </w:r>
      <w:r>
        <w:t xml:space="preserve"> </w:t>
      </w:r>
      <w:r>
        <w:t xml:space="preserve">reachable by URL.</w:t>
      </w:r>
      <w:r>
        <w:t xml:space="preserve"> </w:t>
      </w:r>
      <w:r>
        <w:rPr>
          <w:b/>
          <w:bCs/>
        </w:rPr>
        <w:t xml:space="preserve">Reviewed and clean; nothing filed.</w:t>
      </w:r>
    </w:p>
    <w:p>
      <w:pPr>
        <w:pStyle w:val="Compact"/>
        <w:numPr>
          <w:ilvl w:val="0"/>
          <w:numId w:val="1008"/>
        </w:numPr>
      </w:pPr>
      <w:r>
        <w:rPr>
          <w:b/>
          <w:bCs/>
        </w:rPr>
        <w:t xml:space="preserve">QuickQuote</w:t>
      </w:r>
      <w:r>
        <w:t xml:space="preserve"> </w:t>
      </w:r>
      <w:r>
        <w:rPr>
          <w:i/>
          <w:iCs/>
        </w:rPr>
        <w:t xml:space="preserve">(parked)</w:t>
      </w:r>
      <w:r>
        <w:t xml:space="preserve"> </w:t>
      </w:r>
      <w:r>
        <w:t xml:space="preserve">also shows textbook one-time-password handling, fail-closed boot and</w:t>
      </w:r>
      <w:r>
        <w:t xml:space="preserve"> </w:t>
      </w:r>
      <w:r>
        <w:t xml:space="preserve">server-side entitlement decisions.</w:t>
      </w:r>
    </w:p>
    <w:p>
      <w:pPr>
        <w:pStyle w:val="Compact"/>
        <w:numPr>
          <w:ilvl w:val="0"/>
          <w:numId w:val="1008"/>
        </w:numPr>
      </w:pPr>
      <w:r>
        <w:rPr>
          <w:b/>
          <w:bCs/>
        </w:rPr>
        <w:t xml:space="preserve">Vision Sales Portal</w:t>
      </w:r>
      <w:r>
        <w:t xml:space="preserve"> </w:t>
      </w:r>
      <w:r>
        <w:rPr>
          <w:i/>
          <w:iCs/>
        </w:rPr>
        <w:t xml:space="preserve">(parked)</w:t>
      </w:r>
      <w:r>
        <w:t xml:space="preserve">:</w:t>
      </w:r>
      <w:r>
        <w:t xml:space="preserve"> </w:t>
      </w:r>
      <w:r>
        <w:rPr>
          <w:b/>
          <w:bCs/>
        </w:rPr>
        <w:t xml:space="preserve">tenant isolation is done properly.</w:t>
      </w:r>
      <w:r>
        <w:t xml:space="preserve"> </w:t>
      </w:r>
      <w:r>
        <w:t xml:space="preserve">The reviewer went looking</w:t>
      </w:r>
      <w:r>
        <w:t xml:space="preserve"> </w:t>
      </w:r>
      <w:r>
        <w:t xml:space="preserve">for the insecure direct object reference and found that every mutator re-derives its authority from</w:t>
      </w:r>
      <w:r>
        <w:t xml:space="preserve"> </w:t>
      </w:r>
      <w:r>
        <w:t xml:space="preserve">a scoped read.</w:t>
      </w:r>
    </w:p>
    <w:p>
      <w:r>
        <w:pict>
          <v:rect style="width:0;height:1.5pt" o:hralign="center" o:hrstd="t" o:hr="t"/>
        </w:pict>
      </w:r>
    </w:p>
    <w:p>
      <w:r>
        <w:br w:type="page"/>
      </w:r>
    </w:p>
    <w:bookmarkEnd w:id="62"/>
    <w:bookmarkStart w:id="63" w:name="Xa9b740c802b7ff6dfa59e51b77ebebeb07c4e40"/>
    <w:p>
      <w:pPr>
        <w:pStyle w:val="Heading2"/>
      </w:pPr>
      <w:r>
        <w:t xml:space="preserve">6. Keycloak Position</w:t>
      </w:r>
    </w:p>
    <w:p>
      <w:pPr>
        <w:pStyle w:val="FirstParagraph"/>
      </w:pPr>
      <w:r>
        <w:t xml:space="preserve">Recorded for completeness, because the Keycloak retirement question spans both registers. Within this</w:t>
      </w:r>
      <w:r>
        <w:t xml:space="preserve"> </w:t>
      </w:r>
      <w:r>
        <w:t xml:space="preserve">register the position is clean, with one marketing-copy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Keycloak references</w:t>
            </w:r>
          </w:p>
        </w:tc>
      </w:tr>
      <w:tr>
        <w:tc>
          <w:tcPr/>
          <w:p>
            <w:pPr>
              <w:pStyle w:val="Compact"/>
            </w:pPr>
            <w:r>
              <w:t xml:space="preserve">Reporting Dashboard (NexusAI) · myPKI · SecurePDF · CryptixWebPortal · HPSM · OneTimePad (CypherKey)</w:t>
            </w:r>
          </w:p>
        </w:tc>
        <w:tc>
          <w:tcPr/>
          <w:p>
            <w:pPr>
              <w:pStyle w:val="Compact"/>
            </w:pPr>
            <w:r>
              <w:rPr>
                <w:b/>
                <w:bCs/>
              </w:rPr>
              <w:t xml:space="preserve">0</w:t>
            </w:r>
          </w:p>
        </w:tc>
      </w:tr>
      <w:tr>
        <w:tc>
          <w:tcPr/>
          <w:p>
            <w:pPr>
              <w:pStyle w:val="Compact"/>
            </w:pPr>
            <w:r>
              <w:t xml:space="preserve">Vision Sales Portal</w:t>
            </w:r>
          </w:p>
        </w:tc>
        <w:tc>
          <w:tcPr/>
          <w:p>
            <w:pPr>
              <w:pStyle w:val="Compact"/>
            </w:pPr>
            <w:r>
              <w:t xml:space="preserve">1 — marketing copy:</w:t>
            </w:r>
            <w:r>
              <w:t xml:space="preserve"> </w:t>
            </w:r>
            <w:r>
              <w:rPr>
                <w:i/>
                <w:iCs/>
              </w:rPr>
              <w:t xml:space="preserve">"Keycloakless architecture"</w:t>
            </w:r>
          </w:p>
        </w:tc>
      </w:tr>
    </w:tbl>
    <w:p>
      <w:pPr>
        <w:pStyle w:val="BodyText"/>
      </w:pPr>
      <w:r>
        <w:t xml:space="preserve">The blocking components for the estate-wide Keycloak retirement attestation are all in the companion</w:t>
      </w:r>
      <w:r>
        <w:t xml:space="preserve"> </w:t>
      </w:r>
      <w:r>
        <w:t xml:space="preserve">HP Authentication Suite register.</w:t>
      </w:r>
    </w:p>
    <w:p>
      <w:r>
        <w:pict>
          <v:rect style="width:0;height:1.5pt" o:hralign="center" o:hrstd="t" o:hr="t"/>
        </w:pict>
      </w:r>
    </w:p>
    <w:p>
      <w:r>
        <w:br w:type="page"/>
      </w:r>
    </w:p>
    <w:bookmarkEnd w:id="63"/>
    <w:bookmarkStart w:id="67" w:name="X8cf020d2cfbf480e417545296e44ec21fed2773"/>
    <w:p>
      <w:pPr>
        <w:pStyle w:val="Heading2"/>
      </w:pPr>
      <w:r>
        <w:t xml:space="preserve">7. Appendices</w:t>
      </w:r>
    </w:p>
    <w:p/>
    <w:p/>
    <w:p/>
    <w:bookmarkStart w:id="64" w:name="appendix-a--testing-methodology"/>
    <w:p>
      <w:pPr>
        <w:pStyle w:val="Heading3"/>
      </w:pPr>
      <w:r>
        <w:t xml:space="preserve">Appendix A — Testing methodology</w:t>
      </w:r>
    </w:p>
    <w:p>
      <w:pPr>
        <w:pStyle w:val="FirstParagraph"/>
      </w:pPr>
      <w:r>
        <w:t xml:space="preserve">The assessment was a static, read-only source-code and configuration review. No source was modified,</w:t>
      </w:r>
      <w:r>
        <w:t xml:space="preserve"> </w:t>
      </w:r>
      <w:r>
        <w:t xml:space="preserve">nothing was executed, and no live, production or customer system was contacted. Secrets are reported</w:t>
      </w:r>
      <w:r>
        <w:t xml:space="preserve"> </w:t>
      </w:r>
      <w:r>
        <w:t xml:space="preserve">structurally — file, line, variable and credential class — and never by value.</w:t>
      </w:r>
    </w:p>
    <w:p>
      <w:pPr>
        <w:pStyle w:val="BodyText"/>
      </w:pPr>
      <w:r>
        <w:t xml:space="preserve">The methodology draws on published frameworks:</w:t>
      </w:r>
    </w:p>
    <w:p>
      <w:pPr>
        <w:pStyle w:val="Compact"/>
        <w:numPr>
          <w:ilvl w:val="0"/>
          <w:numId w:val="1009"/>
        </w:numPr>
      </w:pPr>
      <w:r>
        <w:t xml:space="preserve">OWASP Application Security Verification Standard (ASVS)</w:t>
      </w:r>
    </w:p>
    <w:p>
      <w:pPr>
        <w:pStyle w:val="Compact"/>
        <w:numPr>
          <w:ilvl w:val="0"/>
          <w:numId w:val="1009"/>
        </w:numPr>
      </w:pPr>
      <w:r>
        <w:t xml:space="preserve">OWASP API Security Top 10</w:t>
      </w:r>
    </w:p>
    <w:p>
      <w:pPr>
        <w:pStyle w:val="Compact"/>
        <w:numPr>
          <w:ilvl w:val="0"/>
          <w:numId w:val="1009"/>
        </w:numPr>
      </w:pPr>
      <w:r>
        <w:t xml:space="preserve">OWASP Mobile Application Security Verification Standard (MASVS) and the Mobile Top 10</w:t>
      </w:r>
    </w:p>
    <w:p>
      <w:pPr>
        <w:pStyle w:val="Compact"/>
        <w:numPr>
          <w:ilvl w:val="0"/>
          <w:numId w:val="1009"/>
        </w:numPr>
      </w:pPr>
      <w:r>
        <w:t xml:space="preserve">Common Vulnerability Scoring System v3.1 (CVSS 3.1)</w:t>
      </w:r>
    </w:p>
    <w:p>
      <w:pPr>
        <w:pStyle w:val="Compact"/>
        <w:numPr>
          <w:ilvl w:val="0"/>
          <w:numId w:val="1009"/>
        </w:numPr>
      </w:pPr>
      <w:r>
        <w:t xml:space="preserve">NIST Cybersecurity Framework 2.0, and SP 800-53 and SP 800-63</w:t>
      </w:r>
    </w:p>
    <w:p>
      <w:pPr>
        <w:pStyle w:val="Compact"/>
        <w:numPr>
          <w:ilvl w:val="0"/>
          <w:numId w:val="1009"/>
        </w:numPr>
      </w:pPr>
      <w:r>
        <w:t xml:space="preserve">ISO/IEC 27001:2022</w:t>
      </w:r>
    </w:p>
    <w:p>
      <w:pPr>
        <w:pStyle w:val="Compact"/>
        <w:numPr>
          <w:ilvl w:val="0"/>
          <w:numId w:val="1009"/>
        </w:numPr>
      </w:pPr>
      <w:r>
        <w:t xml:space="preserve">GDPR and the Australian Privacy Principles</w:t>
      </w:r>
    </w:p>
    <w:p>
      <w:pPr>
        <w:pStyle w:val="Compact"/>
        <w:numPr>
          <w:ilvl w:val="0"/>
          <w:numId w:val="1009"/>
        </w:numPr>
      </w:pPr>
      <w:r>
        <w:t xml:space="preserve">The MITRE Common Weakness Enumeration (CWE)</w:t>
      </w:r>
    </w:p>
    <w:p>
      <w:pPr>
        <w:pStyle w:val="FirstParagraph"/>
      </w:pPr>
      <w:r>
        <w:t xml:space="preserve">Three automated instruments were run across all thirty-two components —</w:t>
      </w:r>
      <w:r>
        <w:t xml:space="preserve"> </w:t>
      </w:r>
      <w:r>
        <w:rPr>
          <w:rStyle w:val="VerbatimChar"/>
        </w:rPr>
        <w:t xml:space="preserve">gitleaks</w:t>
      </w:r>
      <w:r>
        <w:t xml:space="preserve"> </w:t>
      </w:r>
      <w:r>
        <w:t xml:space="preserve">for secret</w:t>
      </w:r>
      <w:r>
        <w:t xml:space="preserve"> </w:t>
      </w:r>
      <w:r>
        <w:t xml:space="preserve">scanning,</w:t>
      </w:r>
      <w:r>
        <w:t xml:space="preserve"> </w:t>
      </w:r>
      <w:r>
        <w:rPr>
          <w:rStyle w:val="VerbatimChar"/>
        </w:rPr>
        <w:t xml:space="preserve">semgrep</w:t>
      </w:r>
      <w:r>
        <w:t xml:space="preserve"> </w:t>
      </w:r>
      <w:r>
        <w:t xml:space="preserve">for static analysis and</w:t>
      </w:r>
      <w:r>
        <w:t xml:space="preserve"> </w:t>
      </w:r>
      <w:r>
        <w:rPr>
          <w:rStyle w:val="VerbatimChar"/>
        </w:rPr>
        <w:t xml:space="preserve">trivy</w:t>
      </w:r>
      <w:r>
        <w:t xml:space="preserve"> </w:t>
      </w:r>
      <w:r>
        <w:t xml:space="preserve">for dependency and configuration scanning — and</w:t>
      </w:r>
      <w:r>
        <w:t xml:space="preserve"> </w:t>
      </w:r>
      <w:r>
        <w:t xml:space="preserve">every automated result was confirmed or refuted by reading the source. Where code and documentation</w:t>
      </w:r>
      <w:r>
        <w:t xml:space="preserve"> </w:t>
      </w:r>
      <w:r>
        <w:t xml:space="preserve">disagreed, the code was treated as authoritative.</w:t>
      </w:r>
    </w:p>
    <w:p>
      <w:pPr>
        <w:pStyle w:val="BodyText"/>
      </w:pPr>
      <w:r>
        <w:rPr>
          <w:b/>
          <w:bCs/>
        </w:rPr>
        <w:t xml:space="preserve">Verification discipline.</w:t>
      </w:r>
      <w:r>
        <w:t xml:space="preserve"> </w:t>
      </w:r>
      <w:r>
        <w:t xml:space="preserve">Every finding raised by a reviewer was re-derived at source by a second</w:t>
      </w:r>
      <w:r>
        <w:t xml:space="preserve"> </w:t>
      </w:r>
      <w:r>
        <w:t xml:space="preserve">reviewer who did not write it and who was instructed to falsify it. Negative claims — statements that</w:t>
      </w:r>
      <w:r>
        <w:t xml:space="preserve"> </w:t>
      </w:r>
      <w:r>
        <w:t xml:space="preserve">a control is absent — require a positive control demonstrating that the same instrument, at the same</w:t>
      </w:r>
      <w:r>
        <w:t xml:space="preserve"> </w:t>
      </w:r>
      <w:r>
        <w:t xml:space="preserve">scope, does find the thing when it is present. Where a verifier produced a CVSS score, they first</w:t>
      </w:r>
      <w:r>
        <w:t xml:space="preserve"> </w:t>
      </w:r>
      <w:r>
        <w:t xml:space="preserve">wrote a CVSS 3.1 implementation from the specification and validated it against published reference</w:t>
      </w:r>
      <w:r>
        <w:t xml:space="preserve"> </w:t>
      </w:r>
      <w:r>
        <w:t xml:space="preserve">vectors before any number was trusted.</w:t>
      </w:r>
    </w:p>
    <w:p>
      <w:pPr>
        <w:pStyle w:val="BodyText"/>
      </w:pPr>
      <w:r>
        <w:rPr>
          <w:b/>
          <w:bCs/>
        </w:rPr>
        <w:t xml:space="preserve">How commands, searches and evidence are presented.</w:t>
      </w:r>
      <w:r>
        <w:t xml:space="preserve"> </w:t>
      </w:r>
      <w:r>
        <w:t xml:space="preserve">Every command, search pattern, path, file</w:t>
      </w:r>
      <w:r>
        <w:t xml:space="preserve"> </w:t>
      </w:r>
      <w:r>
        <w:t xml:space="preserve">reference and code literal in this document is set in a monospace face and is visually distinct from</w:t>
      </w:r>
      <w:r>
        <w:t xml:space="preserve"> </w:t>
      </w:r>
      <w:r>
        <w:t xml:space="preserve">the commentary around it:</w:t>
      </w:r>
      <w:r>
        <w:t xml:space="preserve"> </w:t>
      </w:r>
      <w:r>
        <w:rPr>
          <w:b/>
          <w:bCs/>
        </w:rPr>
        <w:t xml:space="preserve">inline</w:t>
      </w:r>
      <w:r>
        <w:t xml:space="preserve"> </w:t>
      </w:r>
      <w:r>
        <w:t xml:space="preserve">where it sits inside a sentence, and</w:t>
      </w:r>
      <w:r>
        <w:t xml:space="preserve"> </w:t>
      </w:r>
      <w:r>
        <w:rPr>
          <w:b/>
          <w:bCs/>
        </w:rPr>
        <w:t xml:space="preserve">in its own block</w:t>
      </w:r>
      <w:r>
        <w:t xml:space="preserve"> </w:t>
      </w:r>
      <w:r>
        <w:t xml:space="preserve">where</w:t>
      </w:r>
      <w:r>
        <w:t xml:space="preserve"> </w:t>
      </w:r>
      <w:r>
        <w:t xml:space="preserve">it stands alone. Where a finding rests on a</w:t>
      </w:r>
      <w:r>
        <w:t xml:space="preserve"> </w:t>
      </w:r>
      <w:r>
        <w:rPr>
          <w:b/>
          <w:bCs/>
        </w:rPr>
        <w:t xml:space="preserve">negative</w:t>
      </w:r>
      <w:r>
        <w:t xml:space="preserve"> </w:t>
      </w:r>
      <w:r>
        <w:t xml:space="preserve">claim — that a control is absent — the search</w:t>
      </w:r>
      <w:r>
        <w:t xml:space="preserve"> </w:t>
      </w:r>
      <w:r>
        <w:t xml:space="preserve">and its</w:t>
      </w:r>
      <w:r>
        <w:t xml:space="preserve"> </w:t>
      </w:r>
      <w:r>
        <w:rPr>
          <w:b/>
          <w:bCs/>
        </w:rPr>
        <w:t xml:space="preserve">positive control</w:t>
      </w:r>
      <w:r>
        <w:t xml:space="preserve"> </w:t>
      </w:r>
      <w:r>
        <w:t xml:space="preserve">are shown together in a block, so that a reader can see both the question</w:t>
      </w:r>
      <w:r>
        <w:t xml:space="preserve"> </w:t>
      </w:r>
      <w:r>
        <w:t xml:space="preserve">that was asked and the proof that the instrument would have answered it differently had the thing been</w:t>
      </w:r>
      <w:r>
        <w:t xml:space="preserve"> </w:t>
      </w:r>
      <w:r>
        <w:t xml:space="preserve">present. This follows the discipline of the reference reports and of published security-reporting</w:t>
      </w:r>
      <w:r>
        <w:t xml:space="preserve"> </w:t>
      </w:r>
      <w:r>
        <w:t xml:space="preserve">practice: an absence is only evidence when the instrument that failed to find it is shown to work.</w:t>
      </w:r>
    </w:p>
    <w:p>
      <w:pPr>
        <w:pStyle w:val="BodyText"/>
      </w:pPr>
      <w:r>
        <w:rPr>
          <w:b/>
          <w:bCs/>
        </w:rPr>
        <w:t xml:space="preserve">What the methodology does not cover.</w:t>
      </w:r>
      <w:r>
        <w:t xml:space="preserve"> </w:t>
      </w:r>
      <w:r>
        <w:t xml:space="preserve">No dynamic testing, no penetration testing, no live</w:t>
      </w:r>
      <w:r>
        <w:t xml:space="preserve"> </w:t>
      </w:r>
      <w:r>
        <w:t xml:space="preserve">configuration reading, and no decompilation of vendored binary artefacts.</w:t>
      </w:r>
    </w:p>
    <w:p/>
    <w:p/>
    <w:p/>
    <w:bookmarkEnd w:id="64"/>
    <w:bookmarkStart w:id="65" w:name="appendix-b--vulnerability-ratings"/>
    <w:p>
      <w:pPr>
        <w:pStyle w:val="Heading3"/>
      </w:pPr>
      <w:r>
        <w:t xml:space="preserve">Appendix B — Vulnerability ratings</w:t>
      </w:r>
    </w:p>
    <w:p>
      <w:pPr>
        <w:pStyle w:val="FirstParagraph"/>
      </w:pPr>
      <w:r>
        <w:t xml:space="preserve">Severity is expressed as a CVSS 3.1 base score and its band, except where a row states that its band</w:t>
      </w:r>
      <w:r>
        <w:t xml:space="preserve"> </w:t>
      </w:r>
      <w:r>
        <w:t xml:space="preserve">is a deliberate business or environmental bucketing above or below its base. Where that is the case,</w:t>
      </w:r>
      <w:r>
        <w:t xml:space="preserve"> </w:t>
      </w:r>
      <w:r>
        <w:t xml:space="preserve">the row says so and gives the base.</w:t>
      </w:r>
      <w:r>
        <w:t xml:space="preserve"> </w:t>
      </w:r>
      <w:r>
        <w:rPr>
          <w:b/>
          <w:bCs/>
        </w:rPr>
        <w:t xml:space="preserve">Such rows must not be "corrected"to match their number.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CVSS 3.1 base</w:t>
            </w:r>
          </w:p>
        </w:tc>
        <w:tc>
          <w:tcPr/>
          <w:p>
            <w:pPr>
              <w:pStyle w:val="Compact"/>
            </w:pPr>
            <w:r>
              <w:t xml:space="preserve">Meaning</w:t>
            </w:r>
          </w:p>
        </w:tc>
      </w:tr>
      <w:tr>
        <w:tc>
          <w:tcPr/>
          <w:p>
            <w:pPr>
              <w:pStyle w:val="Compact"/>
            </w:pPr>
            <w:r>
              <w:rPr>
                <w:b/>
                <w:bCs/>
              </w:rPr>
              <w:t xml:space="preserve">Critical</w:t>
            </w:r>
          </w:p>
        </w:tc>
        <w:tc>
          <w:tcPr/>
          <w:p>
            <w:pPr>
              <w:pStyle w:val="Compact"/>
            </w:pPr>
            <w:r>
              <w:t xml:space="preserve">9.0 – 10.0</w:t>
            </w:r>
          </w:p>
        </w:tc>
        <w:tc>
          <w:tcPr/>
          <w:p>
            <w:pPr>
              <w:pStyle w:val="Compact"/>
            </w:pPr>
            <w:r>
              <w:t xml:space="preserve">Requires immediate attention and a plan for action. The event may cause severe reputational damage, severe financial loss, or a severe impact on operations, information availability, assets or individuals.</w:t>
            </w:r>
          </w:p>
        </w:tc>
      </w:tr>
      <w:tr>
        <w:tc>
          <w:tcPr/>
          <w:p>
            <w:pPr>
              <w:pStyle w:val="Compact"/>
            </w:pPr>
            <w:r>
              <w:rPr>
                <w:b/>
                <w:bCs/>
              </w:rPr>
              <w:t xml:space="preserve">High</w:t>
            </w:r>
          </w:p>
        </w:tc>
        <w:tc>
          <w:tcPr/>
          <w:p>
            <w:pPr>
              <w:pStyle w:val="Compact"/>
            </w:pPr>
            <w:r>
              <w:t xml:space="preserve">7.0 – 8.9</w:t>
            </w:r>
          </w:p>
        </w:tc>
        <w:tc>
          <w:tcPr/>
          <w:p>
            <w:pPr>
              <w:pStyle w:val="Compact"/>
            </w:pPr>
            <w:r>
              <w:t xml:space="preserve">Urgent, and in most circumstances will pose a serious threat or consequence. The event may cause significant reputational damage, significant financial loss, or a major impact on operations, information availability, assets or individuals.</w:t>
            </w:r>
          </w:p>
        </w:tc>
      </w:tr>
      <w:tr>
        <w:tc>
          <w:tcPr/>
          <w:p>
            <w:pPr>
              <w:pStyle w:val="Compact"/>
            </w:pPr>
            <w:r>
              <w:rPr>
                <w:b/>
                <w:bCs/>
              </w:rPr>
              <w:t xml:space="preserve">Medium</w:t>
            </w:r>
          </w:p>
        </w:tc>
        <w:tc>
          <w:tcPr/>
          <w:p>
            <w:pPr>
              <w:pStyle w:val="Compact"/>
            </w:pPr>
            <w:r>
              <w:t xml:space="preserve">4.0 – 6.9</w:t>
            </w:r>
          </w:p>
        </w:tc>
        <w:tc>
          <w:tcPr/>
          <w:p>
            <w:pPr>
              <w:pStyle w:val="Compact"/>
            </w:pPr>
            <w:r>
              <w:t xml:space="preserve">Less urgent, but in some circumstances may still pose a serious threat or consequence. The event may cause moderate reputational damage, moderate financial loss, or a moderate impact on operations, information availability, assets or individuals.</w:t>
            </w:r>
          </w:p>
        </w:tc>
      </w:tr>
      <w:tr>
        <w:tc>
          <w:tcPr/>
          <w:p>
            <w:pPr>
              <w:pStyle w:val="Compact"/>
            </w:pPr>
            <w:r>
              <w:rPr>
                <w:b/>
                <w:bCs/>
              </w:rPr>
              <w:t xml:space="preserve">Low</w:t>
            </w:r>
          </w:p>
        </w:tc>
        <w:tc>
          <w:tcPr/>
          <w:p>
            <w:pPr>
              <w:pStyle w:val="Compact"/>
            </w:pPr>
            <w:r>
              <w:t xml:space="preserve">0.1 – 3.9</w:t>
            </w:r>
          </w:p>
        </w:tc>
        <w:tc>
          <w:tcPr/>
          <w:p>
            <w:pPr>
              <w:pStyle w:val="Compact"/>
            </w:pPr>
            <w:r>
              <w:t xml:space="preserve">Not an imminent threat, but should be addressed to avoid issues in the longer term. The event may cause minor financial loss or a minor impact on operations, information availability, assets or individuals.</w:t>
            </w:r>
          </w:p>
        </w:tc>
      </w:tr>
      <w:tr>
        <w:tc>
          <w:tcPr/>
          <w:p>
            <w:pPr>
              <w:pStyle w:val="Compact"/>
            </w:pPr>
            <w:r>
              <w:rPr>
                <w:b/>
                <w:bCs/>
              </w:rPr>
              <w:t xml:space="preserve">Informational</w:t>
            </w:r>
          </w:p>
        </w:tc>
        <w:tc>
          <w:tcPr/>
          <w:p>
            <w:pPr>
              <w:pStyle w:val="Compact"/>
            </w:pPr>
            <w:r>
              <w:t xml:space="preserve">n/a</w:t>
            </w:r>
          </w:p>
        </w:tc>
        <w:tc>
          <w:tcPr/>
          <w:p>
            <w:pPr>
              <w:pStyle w:val="Compact"/>
            </w:pPr>
            <w:r>
              <w:t xml:space="preserve">No demonstrated security impact in this snapshot. Recorded because it is latent, because it bears on assurance, or because it is a documentation or configuration observation that a future change could make live.</w:t>
            </w:r>
          </w:p>
        </w:tc>
      </w:tr>
    </w:tbl>
    <w:p>
      <w:pPr>
        <w:pStyle w:val="BodyText"/>
      </w:pPr>
      <w:r>
        <w:rPr>
          <w:b/>
          <w:bCs/>
        </w:rPr>
        <w:t xml:space="preserve">Findings deliberately carrying no numeric score.</w:t>
      </w:r>
      <w:r>
        <w:t xml:space="preserve"> </w:t>
      </w:r>
      <w:r>
        <w:t xml:space="preserve">Where a control does not fire, or a posture</w:t>
      </w:r>
      <w:r>
        <w:t xml:space="preserve"> </w:t>
      </w:r>
      <w:r>
        <w:t xml:space="preserve">baseline is not met, a base score misrepresents the finding. Those rows carry no number and state the</w:t>
      </w:r>
      <w:r>
        <w:t xml:space="preserve"> </w:t>
      </w:r>
      <w:r>
        <w:t xml:space="preserve">reason instead.</w:t>
      </w:r>
    </w:p>
    <w:p/>
    <w:p/>
    <w:p/>
    <w:bookmarkEnd w:id="65"/>
    <w:bookmarkStart w:id="66" w:name="X4cae5ef2c0beee2d92dae3146981fbdbcced036"/>
    <w:p>
      <w:pPr>
        <w:pStyle w:val="Heading3"/>
      </w:pPr>
      <w:r>
        <w:t xml:space="preserve">Appendix C — Reconciliation of the estate total</w:t>
      </w:r>
    </w:p>
    <w:p>
      <w:pPr>
        <w:pStyle w:val="FirstParagraph"/>
      </w:pPr>
      <w:r>
        <w:t xml:space="preserve">The table below reconciles the</w:t>
      </w:r>
      <w:r>
        <w:t xml:space="preserve"> </w:t>
      </w:r>
      <w:r>
        <w:rPr>
          <w:b/>
          <w:bCs/>
        </w:rPr>
        <w:t xml:space="preserve">estate</w:t>
      </w:r>
      <w:r>
        <w:t xml:space="preserve"> </w:t>
      </w:r>
      <w:r>
        <w:t xml:space="preserve">total across both registers. It is retained unchanged</w:t>
      </w:r>
      <w:r>
        <w:t xml:space="preserve"> </w:t>
      </w:r>
      <w:r>
        <w:t xml:space="preserve">because it is the audit record of how the total moved, and because every step in it was measured</w:t>
      </w:r>
      <w:r>
        <w:t xml:space="preserve"> </w:t>
      </w:r>
      <w:r>
        <w:t xml:space="preserve">rather than asserted.</w:t>
      </w:r>
      <w:r>
        <w:t xml:space="preserve"> </w:t>
      </w:r>
      <w:r>
        <w:rPr>
          <w:b/>
          <w:bCs/>
        </w:rPr>
        <w:t xml:space="preserve">The per-register figure is in §1.2; this table is the combined figure.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Step</w:t>
            </w:r>
          </w:p>
        </w:tc>
        <w:tc>
          <w:tcPr/>
          <w:p>
            <w:pPr>
              <w:pStyle w:val="Compact"/>
            </w:pPr>
            <w:r>
              <w:t xml:space="preserve">C</w:t>
            </w:r>
          </w:p>
        </w:tc>
        <w:tc>
          <w:tcPr/>
          <w:p>
            <w:pPr>
              <w:pStyle w:val="Compact"/>
            </w:pPr>
            <w:r>
              <w:t xml:space="preserve">H</w:t>
            </w:r>
          </w:p>
        </w:tc>
        <w:tc>
          <w:tcPr/>
          <w:p>
            <w:pPr>
              <w:pStyle w:val="Compact"/>
            </w:pPr>
            <w:r>
              <w:t xml:space="preserve">M</w:t>
            </w:r>
          </w:p>
        </w:tc>
        <w:tc>
          <w:tcPr/>
          <w:p>
            <w:pPr>
              <w:pStyle w:val="Compact"/>
            </w:pPr>
            <w:r>
              <w:t xml:space="preserve">L</w:t>
            </w:r>
          </w:p>
        </w:tc>
        <w:tc>
          <w:tcPr/>
          <w:p>
            <w:pPr>
              <w:pStyle w:val="Compact"/>
            </w:pPr>
            <w:r>
              <w:t xml:space="preserve">I</w:t>
            </w:r>
          </w:p>
        </w:tc>
        <w:tc>
          <w:tcPr/>
          <w:p>
            <w:pPr>
              <w:pStyle w:val="Compact"/>
            </w:pPr>
            <w:r>
              <w:t xml:space="preserve">Total</w:t>
            </w:r>
          </w:p>
        </w:tc>
      </w:tr>
      <w:tr>
        <w:tc>
          <w:tcPr/>
          <w:p>
            <w:pPr>
              <w:pStyle w:val="Compact"/>
            </w:pPr>
            <w:r>
              <w:rPr>
                <w:b/>
                <w:bCs/>
              </w:rPr>
              <w:t xml:space="preserve">Before this session</w:t>
            </w:r>
            <w:r>
              <w:t xml:space="preserve"> </w:t>
            </w:r>
            <w:r>
              <w:t xml:space="preserve">(register as built 2026-09-08 07:28)</w:t>
            </w:r>
          </w:p>
        </w:tc>
        <w:tc>
          <w:tcPr/>
          <w:p>
            <w:pPr>
              <w:pStyle w:val="Compact"/>
            </w:pPr>
            <w:r>
              <w:t xml:space="preserve">21</w:t>
            </w:r>
          </w:p>
        </w:tc>
        <w:tc>
          <w:tcPr/>
          <w:p>
            <w:pPr>
              <w:pStyle w:val="Compact"/>
            </w:pPr>
            <w:r>
              <w:t xml:space="preserve">65</w:t>
            </w:r>
          </w:p>
        </w:tc>
        <w:tc>
          <w:tcPr/>
          <w:p>
            <w:pPr>
              <w:pStyle w:val="Compact"/>
            </w:pPr>
            <w:r>
              <w:t xml:space="preserve">81</w:t>
            </w:r>
          </w:p>
        </w:tc>
        <w:tc>
          <w:tcPr/>
          <w:p>
            <w:pPr>
              <w:pStyle w:val="Compact"/>
            </w:pPr>
            <w:r>
              <w:t xml:space="preserve">52</w:t>
            </w:r>
          </w:p>
        </w:tc>
        <w:tc>
          <w:tcPr/>
          <w:p>
            <w:pPr>
              <w:pStyle w:val="Compact"/>
            </w:pPr>
            <w:r>
              <w:t xml:space="preserve">23</w:t>
            </w:r>
          </w:p>
        </w:tc>
        <w:tc>
          <w:tcPr/>
          <w:p>
            <w:pPr>
              <w:pStyle w:val="Compact"/>
            </w:pPr>
            <w:r>
              <w:rPr>
                <w:b/>
                <w:bCs/>
              </w:rPr>
              <w:t xml:space="preserve">242</w:t>
            </w:r>
          </w:p>
        </w:tc>
      </w:tr>
      <w:tr>
        <w:tc>
          <w:tcPr/>
          <w:p>
            <w:pPr>
              <w:pStyle w:val="Compact"/>
            </w:pPr>
            <w:r>
              <w:t xml:space="preserve">Verification pass moves D-CVL-02 and D-CVL-03 Medium to Low (§2.3) —</w:t>
            </w:r>
            <w:r>
              <w:t xml:space="preserve"> </w:t>
            </w:r>
            <w:r>
              <w:rPr>
                <w:i/>
                <w:iCs/>
              </w:rPr>
              <w:t xml:space="preserve">no change to the total</w:t>
            </w:r>
          </w:p>
        </w:tc>
        <w:tc>
          <w:tcPr/>
          <w:p>
            <w:pPr>
              <w:pStyle w:val="Compact"/>
            </w:pPr>
            <w:r>
              <w:t xml:space="preserve">21</w:t>
            </w:r>
          </w:p>
        </w:tc>
        <w:tc>
          <w:tcPr/>
          <w:p>
            <w:pPr>
              <w:pStyle w:val="Compact"/>
            </w:pPr>
            <w:r>
              <w:t xml:space="preserve">65</w:t>
            </w:r>
          </w:p>
        </w:tc>
        <w:tc>
          <w:tcPr/>
          <w:p>
            <w:pPr>
              <w:pStyle w:val="Compact"/>
            </w:pPr>
            <w:r>
              <w:rPr>
                <w:b/>
                <w:bCs/>
              </w:rPr>
              <w:t xml:space="preserve">79</w:t>
            </w:r>
          </w:p>
        </w:tc>
        <w:tc>
          <w:tcPr/>
          <w:p>
            <w:pPr>
              <w:pStyle w:val="Compact"/>
            </w:pPr>
            <w:r>
              <w:rPr>
                <w:b/>
                <w:bCs/>
              </w:rPr>
              <w:t xml:space="preserve">54</w:t>
            </w:r>
          </w:p>
        </w:tc>
        <w:tc>
          <w:tcPr/>
          <w:p>
            <w:pPr>
              <w:pStyle w:val="Compact"/>
            </w:pPr>
            <w:r>
              <w:t xml:space="preserve">23</w:t>
            </w:r>
          </w:p>
        </w:tc>
        <w:tc>
          <w:tcPr/>
          <w:p>
            <w:pPr>
              <w:pStyle w:val="Compact"/>
            </w:pPr>
            <w:r>
              <w:rPr>
                <w:b/>
                <w:bCs/>
              </w:rPr>
              <w:t xml:space="preserve">242</w:t>
            </w:r>
          </w:p>
        </w:tc>
      </w:tr>
      <w:tr>
        <w:tc>
          <w:tcPr/>
          <w:p>
            <w:pPr>
              <w:pStyle w:val="Compact"/>
            </w:pPr>
            <w:r>
              <w:rPr>
                <w:b/>
                <w:bCs/>
              </w:rPr>
              <w:t xml:space="preserve">+ §2.3.3 — batch-1 delta findings, 62</w:t>
            </w:r>
          </w:p>
        </w:tc>
        <w:tc>
          <w:tcPr/>
          <w:p>
            <w:pPr>
              <w:pStyle w:val="Compact"/>
            </w:pPr>
            <w:r>
              <w:t xml:space="preserve">+3</w:t>
            </w:r>
          </w:p>
        </w:tc>
        <w:tc>
          <w:tcPr/>
          <w:p>
            <w:pPr>
              <w:pStyle w:val="Compact"/>
            </w:pPr>
            <w:r>
              <w:t xml:space="preserve">+11</w:t>
            </w:r>
          </w:p>
        </w:tc>
        <w:tc>
          <w:tcPr/>
          <w:p>
            <w:pPr>
              <w:pStyle w:val="Compact"/>
            </w:pPr>
            <w:r>
              <w:t xml:space="preserve">+30</w:t>
            </w:r>
          </w:p>
        </w:tc>
        <w:tc>
          <w:tcPr/>
          <w:p>
            <w:pPr>
              <w:pStyle w:val="Compact"/>
            </w:pPr>
            <w:r>
              <w:t xml:space="preserve">+11</w:t>
            </w:r>
          </w:p>
        </w:tc>
        <w:tc>
          <w:tcPr/>
          <w:p>
            <w:pPr>
              <w:pStyle w:val="Compact"/>
            </w:pPr>
            <w:r>
              <w:t xml:space="preserve">+7</w:t>
            </w:r>
          </w:p>
        </w:tc>
        <w:tc>
          <w:tcPr/>
          <w:p>
            <w:pPr>
              <w:pStyle w:val="Compact"/>
            </w:pPr>
            <w:r>
              <w:rPr>
                <w:b/>
                <w:bCs/>
              </w:rPr>
              <w:t xml:space="preserve">+62</w:t>
            </w:r>
          </w:p>
        </w:tc>
      </w:tr>
      <w:tr>
        <w:tc>
          <w:tcPr/>
          <w:p>
            <w:pPr>
              <w:pStyle w:val="Compact"/>
            </w:pPr>
            <w:r>
              <w:t xml:space="preserve">Subtotal — the commissioned scope</w:t>
            </w:r>
          </w:p>
        </w:tc>
        <w:tc>
          <w:tcPr/>
          <w:p>
            <w:pPr>
              <w:pStyle w:val="Compact"/>
            </w:pPr>
            <w:r>
              <w:rPr>
                <w:b/>
                <w:bCs/>
              </w:rPr>
              <w:t xml:space="preserve">24</w:t>
            </w:r>
          </w:p>
        </w:tc>
        <w:tc>
          <w:tcPr/>
          <w:p>
            <w:pPr>
              <w:pStyle w:val="Compact"/>
            </w:pPr>
            <w:r>
              <w:rPr>
                <w:b/>
                <w:bCs/>
              </w:rPr>
              <w:t xml:space="preserve">76</w:t>
            </w:r>
          </w:p>
        </w:tc>
        <w:tc>
          <w:tcPr/>
          <w:p>
            <w:pPr>
              <w:pStyle w:val="Compact"/>
            </w:pPr>
            <w:r>
              <w:rPr>
                <w:b/>
                <w:bCs/>
              </w:rPr>
              <w:t xml:space="preserve">109</w:t>
            </w:r>
          </w:p>
        </w:tc>
        <w:tc>
          <w:tcPr/>
          <w:p>
            <w:pPr>
              <w:pStyle w:val="Compact"/>
            </w:pPr>
            <w:r>
              <w:rPr>
                <w:b/>
                <w:bCs/>
              </w:rPr>
              <w:t xml:space="preserve">65</w:t>
            </w:r>
          </w:p>
        </w:tc>
        <w:tc>
          <w:tcPr/>
          <w:p>
            <w:pPr>
              <w:pStyle w:val="Compact"/>
            </w:pPr>
            <w:r>
              <w:rPr>
                <w:b/>
                <w:bCs/>
              </w:rPr>
              <w:t xml:space="preserve">30</w:t>
            </w:r>
          </w:p>
        </w:tc>
        <w:tc>
          <w:tcPr/>
          <w:p>
            <w:pPr>
              <w:pStyle w:val="Compact"/>
            </w:pPr>
            <w:r>
              <w:rPr>
                <w:b/>
                <w:bCs/>
              </w:rPr>
              <w:t xml:space="preserve">304</w:t>
            </w:r>
          </w:p>
        </w:tc>
      </w:tr>
      <w:tr>
        <w:tc>
          <w:tcPr/>
          <w:p>
            <w:pPr>
              <w:pStyle w:val="Compact"/>
            </w:pPr>
            <w:r>
              <w:rPr>
                <w:b/>
                <w:bCs/>
              </w:rPr>
              <w:t xml:space="preserve">Verification pass 2026-09-09 moves</w:t>
            </w:r>
            <w:r>
              <w:rPr>
                <w:b/>
                <w:bCs/>
              </w:rPr>
              <w:t xml:space="preserve"> </w:t>
            </w:r>
            <w:r>
              <w:rPr>
                <w:rStyle w:val="VerbatimChar"/>
                <w:b/>
                <w:bCs/>
              </w:rPr>
              <w:t xml:space="preserve">H-D1</w:t>
            </w:r>
            <w:r>
              <w:rPr>
                <w:b/>
                <w:bCs/>
              </w:rPr>
              <w:t xml:space="preserve"> </w:t>
            </w:r>
            <w:r>
              <w:rPr>
                <w:b/>
                <w:bCs/>
              </w:rPr>
              <w:t xml:space="preserve">Critical to High (§2.3.3)</w:t>
            </w:r>
            <w:r>
              <w:t xml:space="preserve"> </w:t>
            </w:r>
            <w:r>
              <w:t xml:space="preserve">—</w:t>
            </w:r>
            <w:r>
              <w:t xml:space="preserve"> </w:t>
            </w:r>
            <w:r>
              <w:rPr>
                <w:i/>
                <w:iCs/>
              </w:rPr>
              <w:t xml:space="preserve">no change to the total</w:t>
            </w:r>
          </w:p>
        </w:tc>
        <w:tc>
          <w:tcPr/>
          <w:p>
            <w:pPr>
              <w:pStyle w:val="Compact"/>
            </w:pPr>
            <w:r>
              <w:rPr>
                <w:b/>
                <w:bCs/>
              </w:rPr>
              <w:t xml:space="preserve">23</w:t>
            </w:r>
          </w:p>
        </w:tc>
        <w:tc>
          <w:tcPr/>
          <w:p>
            <w:pPr>
              <w:pStyle w:val="Compact"/>
            </w:pPr>
            <w:r>
              <w:rPr>
                <w:b/>
                <w:bCs/>
              </w:rPr>
              <w:t xml:space="preserve">77</w:t>
            </w:r>
          </w:p>
        </w:tc>
        <w:tc>
          <w:tcPr/>
          <w:p>
            <w:pPr>
              <w:pStyle w:val="Compact"/>
            </w:pPr>
            <w:r>
              <w:t xml:space="preserve">109</w:t>
            </w:r>
          </w:p>
        </w:tc>
        <w:tc>
          <w:tcPr/>
          <w:p>
            <w:pPr>
              <w:pStyle w:val="Compact"/>
            </w:pPr>
            <w:r>
              <w:t xml:space="preserve">65</w:t>
            </w:r>
          </w:p>
        </w:tc>
        <w:tc>
          <w:tcPr/>
          <w:p>
            <w:pPr>
              <w:pStyle w:val="Compact"/>
            </w:pPr>
            <w:r>
              <w:t xml:space="preserve">30</w:t>
            </w:r>
          </w:p>
        </w:tc>
        <w:tc>
          <w:tcPr/>
          <w:p>
            <w:pPr>
              <w:pStyle w:val="Compact"/>
            </w:pPr>
            <w:r>
              <w:rPr>
                <w:b/>
                <w:bCs/>
              </w:rPr>
              <w:t xml:space="preserve">304</w:t>
            </w:r>
          </w:p>
        </w:tc>
      </w:tr>
      <w:tr>
        <w:tc>
          <w:tcPr/>
          <w:p>
            <w:pPr>
              <w:pStyle w:val="Compact"/>
            </w:pPr>
            <w:r>
              <w:rPr>
                <w:b/>
                <w:bCs/>
              </w:rPr>
              <w:t xml:space="preserve">+ §2.3.4 — the eight "Done" components' delta findings, 34</w:t>
            </w:r>
          </w:p>
        </w:tc>
        <w:tc>
          <w:tcPr/>
          <w:p>
            <w:pPr>
              <w:pStyle w:val="Compact"/>
            </w:pPr>
            <w:r>
              <w:t xml:space="preserve">+0</w:t>
            </w:r>
          </w:p>
        </w:tc>
        <w:tc>
          <w:tcPr/>
          <w:p>
            <w:pPr>
              <w:pStyle w:val="Compact"/>
            </w:pPr>
            <w:r>
              <w:t xml:space="preserve">+4</w:t>
            </w:r>
          </w:p>
        </w:tc>
        <w:tc>
          <w:tcPr/>
          <w:p>
            <w:pPr>
              <w:pStyle w:val="Compact"/>
            </w:pPr>
            <w:r>
              <w:t xml:space="preserve">+11</w:t>
            </w:r>
          </w:p>
        </w:tc>
        <w:tc>
          <w:tcPr/>
          <w:p>
            <w:pPr>
              <w:pStyle w:val="Compact"/>
            </w:pPr>
            <w:r>
              <w:t xml:space="preserve">+12</w:t>
            </w:r>
          </w:p>
        </w:tc>
        <w:tc>
          <w:tcPr/>
          <w:p>
            <w:pPr>
              <w:pStyle w:val="Compact"/>
            </w:pPr>
            <w:r>
              <w:t xml:space="preserve">+7</w:t>
            </w:r>
          </w:p>
        </w:tc>
        <w:tc>
          <w:tcPr/>
          <w:p>
            <w:pPr>
              <w:pStyle w:val="Compact"/>
            </w:pPr>
            <w:r>
              <w:rPr>
                <w:b/>
                <w:bCs/>
              </w:rPr>
              <w:t xml:space="preserve">+34</w:t>
            </w:r>
          </w:p>
        </w:tc>
      </w:tr>
      <w:tr>
        <w:tc>
          <w:tcPr/>
          <w:p>
            <w:pPr>
              <w:pStyle w:val="Compact"/>
            </w:pPr>
            <w:r>
              <w:rPr>
                <w:b/>
                <w:bCs/>
              </w:rPr>
              <w:t xml:space="preserve">+ §2.3.5 — SPDF-D1, raised by the ITEM 4 coverage-gap review</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+1</w:t>
            </w:r>
          </w:p>
        </w:tc>
      </w:tr>
      <w:tr>
        <w:tc>
          <w:tcPr/>
          <w:p>
            <w:pPr>
              <w:pStyle w:val="Compact"/>
            </w:pPr>
            <w:r>
              <w:t xml:space="preserve">Subtotal — the position published on 2026-09-09 before round 2</w:t>
            </w:r>
          </w:p>
        </w:tc>
        <w:tc>
          <w:tcPr/>
          <w:p>
            <w:pPr>
              <w:pStyle w:val="Compact"/>
            </w:pPr>
            <w:r>
              <w:rPr>
                <w:b/>
                <w:bCs/>
              </w:rPr>
              <w:t xml:space="preserve">23</w:t>
            </w:r>
          </w:p>
        </w:tc>
        <w:tc>
          <w:tcPr/>
          <w:p>
            <w:pPr>
              <w:pStyle w:val="Compact"/>
            </w:pPr>
            <w:r>
              <w:rPr>
                <w:b/>
                <w:bCs/>
              </w:rPr>
              <w:t xml:space="preserve">82</w:t>
            </w:r>
          </w:p>
        </w:tc>
        <w:tc>
          <w:tcPr/>
          <w:p>
            <w:pPr>
              <w:pStyle w:val="Compact"/>
            </w:pPr>
            <w:r>
              <w:rPr>
                <w:b/>
                <w:bCs/>
              </w:rPr>
              <w:t xml:space="preserve">120</w:t>
            </w:r>
          </w:p>
        </w:tc>
        <w:tc>
          <w:tcPr/>
          <w:p>
            <w:pPr>
              <w:pStyle w:val="Compact"/>
            </w:pPr>
            <w:r>
              <w:rPr>
                <w:b/>
                <w:bCs/>
              </w:rPr>
              <w:t xml:space="preserve">77</w:t>
            </w:r>
          </w:p>
        </w:tc>
        <w:tc>
          <w:tcPr/>
          <w:p>
            <w:pPr>
              <w:pStyle w:val="Compact"/>
            </w:pPr>
            <w:r>
              <w:rPr>
                <w:b/>
                <w:bCs/>
              </w:rPr>
              <w:t xml:space="preserve">37</w:t>
            </w:r>
          </w:p>
        </w:tc>
        <w:tc>
          <w:tcPr/>
          <w:p>
            <w:pPr>
              <w:pStyle w:val="Compact"/>
            </w:pPr>
            <w:r>
              <w:rPr>
                <w:b/>
                <w:bCs/>
              </w:rPr>
              <w:t xml:space="preserve">339</w:t>
            </w:r>
          </w:p>
        </w:tc>
      </w:tr>
      <w:tr>
        <w:tc>
          <w:tcPr/>
          <w:p>
            <w:pPr>
              <w:pStyle w:val="Compact"/>
            </w:pPr>
            <w:r>
              <w:rPr>
                <w:b/>
                <w:bCs/>
              </w:rPr>
              <w:t xml:space="preserve">ROUND 2 CONSOLIDATION 2026-09-09 — seat A</w:t>
            </w:r>
            <w:r>
              <w:t xml:space="preserve"> </w:t>
            </w:r>
            <w:r>
              <w:t xml:space="preserve">·</w:t>
            </w:r>
            <w:r>
              <w:t xml:space="preserve"> </w:t>
            </w:r>
            <w:r>
              <w:rPr>
                <w:rStyle w:val="VerbatimChar"/>
              </w:rPr>
              <w:t xml:space="preserve">D-01</w:t>
            </w:r>
            <w:r>
              <w:t xml:space="preserve">,</w:t>
            </w:r>
            <w:r>
              <w:t xml:space="preserve"> </w:t>
            </w:r>
            <w:r>
              <w:rPr>
                <w:rStyle w:val="VerbatimChar"/>
              </w:rPr>
              <w:t xml:space="preserve">I-D1</w:t>
            </w:r>
            <w:r>
              <w:t xml:space="preserve">,</w:t>
            </w:r>
            <w:r>
              <w:t xml:space="preserve"> </w:t>
            </w:r>
            <w:r>
              <w:rPr>
                <w:rStyle w:val="VerbatimChar"/>
              </w:rPr>
              <w:t xml:space="preserve">I-D2</w:t>
            </w:r>
            <w:r>
              <w:t xml:space="preserve"> </w:t>
            </w:r>
            <w:r>
              <w:t xml:space="preserve">High-to-Critical ·</w:t>
            </w:r>
            <w:r>
              <w:t xml:space="preserve"> </w:t>
            </w:r>
            <w:r>
              <w:rPr>
                <w:rStyle w:val="VerbatimChar"/>
              </w:rPr>
              <w:t xml:space="preserve">I-D8</w:t>
            </w:r>
            <w:r>
              <w:t xml:space="preserve"> </w:t>
            </w:r>
            <w:r>
              <w:t xml:space="preserve">Low-to-Medium ·</w:t>
            </w:r>
            <w:r>
              <w:t xml:space="preserve"> </w:t>
            </w:r>
            <w:r>
              <w:rPr>
                <w:rStyle w:val="VerbatimChar"/>
              </w:rPr>
              <w:t xml:space="preserve">D-07</w:t>
            </w:r>
            <w:r>
              <w:t xml:space="preserve"> </w:t>
            </w:r>
            <w:r>
              <w:t xml:space="preserve">Low-to-Informational</w:t>
            </w:r>
          </w:p>
        </w:tc>
        <w:tc>
          <w:tcPr/>
          <w:p>
            <w:pPr>
              <w:pStyle w:val="Compact"/>
            </w:pPr>
            <w:r>
              <w:rPr>
                <w:b/>
                <w:bCs/>
              </w:rPr>
              <w:t xml:space="preserve">+3</w:t>
            </w:r>
          </w:p>
        </w:tc>
        <w:tc>
          <w:tcPr/>
          <w:p>
            <w:pPr>
              <w:pStyle w:val="Compact"/>
            </w:pPr>
            <w:r>
              <w:rPr>
                <w:b/>
                <w:bCs/>
              </w:rPr>
              <w:t xml:space="preserve">−3</w:t>
            </w:r>
          </w:p>
        </w:tc>
        <w:tc>
          <w:tcPr/>
          <w:p>
            <w:pPr>
              <w:pStyle w:val="Compact"/>
            </w:pPr>
            <w:r>
              <w:rPr>
                <w:b/>
                <w:bCs/>
              </w:rPr>
              <w:t xml:space="preserve">+1</w:t>
            </w:r>
          </w:p>
        </w:tc>
        <w:tc>
          <w:tcPr/>
          <w:p>
            <w:pPr>
              <w:pStyle w:val="Compact"/>
            </w:pPr>
            <w:r>
              <w:rPr>
                <w:b/>
                <w:bCs/>
              </w:rPr>
              <w:t xml:space="preserve">−2</w:t>
            </w:r>
          </w:p>
        </w:tc>
        <w:tc>
          <w:tcPr/>
          <w:p>
            <w:pPr>
              <w:pStyle w:val="Compact"/>
            </w:pPr>
            <w:r>
              <w:rPr>
                <w:b/>
                <w:bCs/>
              </w:rPr>
              <w:t xml:space="preserve">+1</w:t>
            </w:r>
          </w:p>
        </w:tc>
        <w:tc>
          <w:tcPr/>
          <w:p>
            <w:pPr>
              <w:pStyle w:val="Compact"/>
            </w:pPr>
            <w:r>
              <w:rPr>
                <w:b/>
                <w:bCs/>
              </w:rPr>
              <w:t xml:space="preserve">±0</w:t>
            </w:r>
          </w:p>
        </w:tc>
      </w:tr>
      <w:tr>
        <w:tc>
          <w:tcPr/>
          <w:p>
            <w:pPr>
              <w:pStyle w:val="Compact"/>
            </w:pPr>
            <w:r>
              <w:rPr>
                <w:b/>
                <w:bCs/>
              </w:rPr>
              <w:t xml:space="preserve">ROUND 2 — seat B</w:t>
            </w:r>
            <w:r>
              <w:t xml:space="preserve"> </w:t>
            </w:r>
            <w:r>
              <w:t xml:space="preserve">·</w:t>
            </w:r>
            <w:r>
              <w:t xml:space="preserve"> </w:t>
            </w:r>
            <w:r>
              <w:rPr>
                <w:rStyle w:val="VerbatimChar"/>
              </w:rPr>
              <w:t xml:space="preserve">NEW-2</w:t>
            </w:r>
            <w:r>
              <w:t xml:space="preserve"> </w:t>
            </w:r>
            <w:r>
              <w:t xml:space="preserve">LS High-to-Medium ·</w:t>
            </w:r>
            <w:r>
              <w:t xml:space="preserve"> </w:t>
            </w:r>
            <w:r>
              <w:rPr>
                <w:rStyle w:val="VerbatimChar"/>
              </w:rPr>
              <w:t xml:space="preserve">NEW-5</w:t>
            </w:r>
            <w:r>
              <w:t xml:space="preserve"> </w:t>
            </w:r>
            <w:r>
              <w:t xml:space="preserve">LS Medium-to-High ·</w:t>
            </w:r>
            <w:r>
              <w:t xml:space="preserve"> </w:t>
            </w:r>
            <w:r>
              <w:rPr>
                <w:rStyle w:val="VerbatimChar"/>
              </w:rPr>
              <w:t xml:space="preserve">NEW-6</w:t>
            </w:r>
            <w:r>
              <w:t xml:space="preserve"> </w:t>
            </w:r>
            <w:r>
              <w:t xml:space="preserve">LS Low-to-Medium ·</w:t>
            </w:r>
            <w:r>
              <w:t xml:space="preserve"> </w:t>
            </w:r>
            <w:r>
              <w:rPr>
                <w:rStyle w:val="VerbatimChar"/>
              </w:rPr>
              <w:t xml:space="preserve">NEW-9</w:t>
            </w:r>
            <w:r>
              <w:t xml:space="preserve"> </w:t>
            </w:r>
            <w:r>
              <w:t xml:space="preserve">SRV Low-to-Medium</w:t>
            </w:r>
          </w:p>
        </w:tc>
        <w:tc>
          <w:tcPr/>
          <w:p>
            <w:pPr>
              <w:pStyle w:val="Compact"/>
            </w:pPr>
            <w:r>
              <w:t xml:space="preserve">0</w:t>
            </w:r>
          </w:p>
        </w:tc>
        <w:tc>
          <w:tcPr/>
          <w:p>
            <w:pPr>
              <w:pStyle w:val="Compact"/>
            </w:pPr>
            <w:r>
              <w:t xml:space="preserve">0</w:t>
            </w:r>
          </w:p>
        </w:tc>
        <w:tc>
          <w:tcPr/>
          <w:p>
            <w:pPr>
              <w:pStyle w:val="Compact"/>
            </w:pPr>
            <w:r>
              <w:rPr>
                <w:b/>
                <w:bCs/>
              </w:rPr>
              <w:t xml:space="preserve">+2</w:t>
            </w:r>
          </w:p>
        </w:tc>
        <w:tc>
          <w:tcPr/>
          <w:p>
            <w:pPr>
              <w:pStyle w:val="Compact"/>
            </w:pPr>
            <w:r>
              <w:rPr>
                <w:b/>
                <w:bCs/>
              </w:rPr>
              <w:t xml:space="preserve">−2</w:t>
            </w:r>
          </w:p>
        </w:tc>
        <w:tc>
          <w:tcPr/>
          <w:p>
            <w:pPr>
              <w:pStyle w:val="Compact"/>
            </w:pPr>
            <w:r>
              <w:t xml:space="preserve">0</w:t>
            </w:r>
          </w:p>
        </w:tc>
        <w:tc>
          <w:tcPr/>
          <w:p>
            <w:pPr>
              <w:pStyle w:val="Compact"/>
            </w:pPr>
            <w:r>
              <w:rPr>
                <w:b/>
                <w:bCs/>
              </w:rPr>
              <w:t xml:space="preserve">±0</w:t>
            </w:r>
          </w:p>
        </w:tc>
      </w:tr>
      <w:tr>
        <w:tc>
          <w:tcPr/>
          <w:p>
            <w:pPr>
              <w:pStyle w:val="Compact"/>
            </w:pPr>
            <w:r>
              <w:rPr>
                <w:b/>
                <w:bCs/>
              </w:rPr>
              <w:t xml:space="preserve">ROUND 2 — seat C</w:t>
            </w:r>
            <w:r>
              <w:t xml:space="preserve"> </w:t>
            </w:r>
            <w:r>
              <w:t xml:space="preserve">·</w:t>
            </w:r>
            <w:r>
              <w:t xml:space="preserve"> </w:t>
            </w:r>
            <w:r>
              <w:rPr>
                <w:rStyle w:val="VerbatimChar"/>
              </w:rPr>
              <w:t xml:space="preserve">H-D2</w:t>
            </w:r>
            <w:r>
              <w:t xml:space="preserve"> </w:t>
            </w:r>
            <w:r>
              <w:t xml:space="preserve">High-to-Low ·</w:t>
            </w:r>
            <w:r>
              <w:t xml:space="preserve"> </w:t>
            </w:r>
            <w:r>
              <w:rPr>
                <w:rStyle w:val="VerbatimChar"/>
              </w:rPr>
              <w:t xml:space="preserve">D-SP-02</w:t>
            </w:r>
            <w:r>
              <w:t xml:space="preserve"> </w:t>
            </w:r>
            <w:r>
              <w:t xml:space="preserve">Medium-to-Low ·</w:t>
            </w:r>
            <w:r>
              <w:t xml:space="preserve"> </w:t>
            </w:r>
            <w:r>
              <w:rPr>
                <w:rStyle w:val="VerbatimChar"/>
              </w:rPr>
              <w:t xml:space="preserve">D-UP-01</w:t>
            </w:r>
            <w:r>
              <w:t xml:space="preserve">,</w:t>
            </w:r>
            <w:r>
              <w:t xml:space="preserve"> </w:t>
            </w:r>
            <w:r>
              <w:rPr>
                <w:rStyle w:val="VerbatimChar"/>
              </w:rPr>
              <w:t xml:space="preserve">D-UP-02</w:t>
            </w:r>
            <w:r>
              <w:t xml:space="preserve"> </w:t>
            </w:r>
            <w:r>
              <w:t xml:space="preserve">Medium-to-Informational</w:t>
            </w:r>
            <w:r>
              <w:t xml:space="preserve"> </w:t>
            </w:r>
            <w:r>
              <w:rPr>
                <w:i/>
                <w:iCs/>
              </w:rPr>
              <w:t xml:space="preserve">(the</w:t>
            </w:r>
            <w:r>
              <w:rPr>
                <w:i/>
                <w:iCs/>
              </w:rPr>
              <w:t xml:space="preserve"> </w:t>
            </w:r>
            <w:r>
              <w:rPr>
                <w:rStyle w:val="VerbatimChar"/>
                <w:i/>
                <w:iCs/>
              </w:rPr>
              <w:t xml:space="preserve">D-MF-01</w:t>
            </w:r>
            <w:r>
              <w:rPr>
                <w:i/>
                <w:iCs/>
              </w:rPr>
              <w:t xml:space="preserve"> </w:t>
            </w:r>
            <w:r>
              <w:rPr>
                <w:i/>
                <w:iCs/>
              </w:rPr>
              <w:t xml:space="preserve">withdrawal was held here and is RULED below)</w:t>
            </w:r>
          </w:p>
        </w:tc>
        <w:tc>
          <w:tcPr/>
          <w:p>
            <w:pPr>
              <w:pStyle w:val="Compact"/>
            </w:pPr>
            <w:r>
              <w:t xml:space="preserve">0</w:t>
            </w:r>
          </w:p>
        </w:tc>
        <w:tc>
          <w:tcPr/>
          <w:p>
            <w:pPr>
              <w:pStyle w:val="Compact"/>
            </w:pPr>
            <w:r>
              <w:rPr>
                <w:b/>
                <w:bCs/>
              </w:rPr>
              <w:t xml:space="preserve">−1</w:t>
            </w:r>
          </w:p>
        </w:tc>
        <w:tc>
          <w:tcPr/>
          <w:p>
            <w:pPr>
              <w:pStyle w:val="Compact"/>
            </w:pPr>
            <w:r>
              <w:rPr>
                <w:b/>
                <w:bCs/>
              </w:rPr>
              <w:t xml:space="preserve">−3</w:t>
            </w:r>
          </w:p>
        </w:tc>
        <w:tc>
          <w:tcPr/>
          <w:p>
            <w:pPr>
              <w:pStyle w:val="Compact"/>
            </w:pPr>
            <w:r>
              <w:rPr>
                <w:b/>
                <w:bCs/>
              </w:rPr>
              <w:t xml:space="preserve">+2</w:t>
            </w:r>
          </w:p>
        </w:tc>
        <w:tc>
          <w:tcPr/>
          <w:p>
            <w:pPr>
              <w:pStyle w:val="Compact"/>
            </w:pPr>
            <w:r>
              <w:rPr>
                <w:b/>
                <w:bCs/>
              </w:rPr>
              <w:t xml:space="preserve">+2</w:t>
            </w:r>
          </w:p>
        </w:tc>
        <w:tc>
          <w:tcPr/>
          <w:p>
            <w:pPr>
              <w:pStyle w:val="Compact"/>
            </w:pPr>
            <w:r>
              <w:rPr>
                <w:b/>
                <w:bCs/>
              </w:rPr>
              <w:t xml:space="preserve">±0</w:t>
            </w:r>
          </w:p>
        </w:tc>
      </w:tr>
      <w:tr>
        <w:tc>
          <w:tcPr/>
          <w:p>
            <w:pPr>
              <w:pStyle w:val="Compact"/>
            </w:pPr>
            <w:r>
              <w:rPr>
                <w:b/>
                <w:bCs/>
              </w:rPr>
              <w:t xml:space="preserve">ROUND 2 — seat D</w:t>
            </w:r>
            <w:r>
              <w:t xml:space="preserve"> </w:t>
            </w:r>
            <w:r>
              <w:t xml:space="preserve">·</w:t>
            </w:r>
            <w:r>
              <w:t xml:space="preserve"> </w:t>
            </w:r>
            <w:r>
              <w:rPr>
                <w:rStyle w:val="VerbatimChar"/>
              </w:rPr>
              <w:t xml:space="preserve">DELTA-MK-02</w:t>
            </w:r>
            <w:r>
              <w:t xml:space="preserve"> </w:t>
            </w:r>
            <w:r>
              <w:t xml:space="preserve">Medium-to-High</w:t>
            </w:r>
            <w:r>
              <w:t xml:space="preserve"> </w:t>
            </w:r>
            <w:r>
              <w:rPr>
                <w:i/>
                <w:iCs/>
              </w:rPr>
              <w:t xml:space="preserve">(the</w:t>
            </w:r>
            <w:r>
              <w:rPr>
                <w:i/>
                <w:iCs/>
              </w:rPr>
              <w:t xml:space="preserve"> </w:t>
            </w:r>
            <w:r>
              <w:rPr>
                <w:rStyle w:val="VerbatimChar"/>
                <w:i/>
                <w:iCs/>
              </w:rPr>
              <w:t xml:space="preserve">MK-03</w:t>
            </w:r>
            <w:r>
              <w:rPr>
                <w:i/>
                <w:iCs/>
              </w:rPr>
              <w:t xml:space="preserve">/</w:t>
            </w:r>
            <w:r>
              <w:rPr>
                <w:rStyle w:val="VerbatimChar"/>
                <w:i/>
                <w:iCs/>
              </w:rPr>
              <w:t xml:space="preserve">ADM-D3</w:t>
            </w:r>
            <w:r>
              <w:rPr>
                <w:i/>
                <w:iCs/>
              </w:rPr>
              <w:t xml:space="preserve"> </w:t>
            </w:r>
            <w:r>
              <w:rPr>
                <w:i/>
                <w:iCs/>
              </w:rPr>
              <w:t xml:space="preserve">splits,</w:t>
            </w:r>
            <w:r>
              <w:rPr>
                <w:i/>
                <w:iCs/>
              </w:rPr>
              <w:t xml:space="preserve"> </w:t>
            </w:r>
            <w:r>
              <w:rPr>
                <w:rStyle w:val="VerbatimChar"/>
                <w:i/>
                <w:iCs/>
              </w:rPr>
              <w:t xml:space="preserve">ADM-D5</w:t>
            </w:r>
            <w:r>
              <w:rPr>
                <w:i/>
                <w:iCs/>
              </w:rPr>
              <w:t xml:space="preserve"> </w:t>
            </w:r>
            <w:r>
              <w:rPr>
                <w:i/>
                <w:iCs/>
              </w:rPr>
              <w:t xml:space="preserve">and the</w:t>
            </w:r>
            <w:r>
              <w:rPr>
                <w:i/>
                <w:iCs/>
              </w:rPr>
              <w:t xml:space="preserve"> </w:t>
            </w:r>
            <w:r>
              <w:rPr>
                <w:rStyle w:val="VerbatimChar"/>
                <w:i/>
                <w:iCs/>
              </w:rPr>
              <w:t xml:space="preserve">hpam-api</w:t>
            </w:r>
            <w:r>
              <w:rPr>
                <w:i/>
                <w:iCs/>
              </w:rPr>
              <w:t xml:space="preserve"> </w:t>
            </w:r>
            <w:r>
              <w:rPr>
                <w:i/>
                <w:iCs/>
              </w:rPr>
              <w:t xml:space="preserve">de-count were held here and are RULED below)</w:t>
            </w:r>
          </w:p>
        </w:tc>
        <w:tc>
          <w:tcPr/>
          <w:p>
            <w:pPr>
              <w:pStyle w:val="Compact"/>
            </w:pPr>
            <w:r>
              <w:t xml:space="preserve">0</w:t>
            </w:r>
          </w:p>
        </w:tc>
        <w:tc>
          <w:tcPr/>
          <w:p>
            <w:pPr>
              <w:pStyle w:val="Compact"/>
            </w:pPr>
            <w:r>
              <w:rPr>
                <w:b/>
                <w:bCs/>
              </w:rPr>
              <w:t xml:space="preserve">+1</w:t>
            </w:r>
          </w:p>
        </w:tc>
        <w:tc>
          <w:tcPr/>
          <w:p>
            <w:pPr>
              <w:pStyle w:val="Compact"/>
            </w:pPr>
            <w:r>
              <w:rPr>
                <w:b/>
                <w:bCs/>
              </w:rPr>
              <w:t xml:space="preserve">−1</w:t>
            </w:r>
          </w:p>
        </w:tc>
        <w:tc>
          <w:tcPr/>
          <w:p>
            <w:pPr>
              <w:pStyle w:val="Compact"/>
            </w:pPr>
            <w:r>
              <w:t xml:space="preserve">0</w:t>
            </w:r>
          </w:p>
        </w:tc>
        <w:tc>
          <w:tcPr/>
          <w:p>
            <w:pPr>
              <w:pStyle w:val="Compact"/>
            </w:pPr>
            <w:r>
              <w:t xml:space="preserve">0</w:t>
            </w:r>
          </w:p>
        </w:tc>
        <w:tc>
          <w:tcPr/>
          <w:p>
            <w:pPr>
              <w:pStyle w:val="Compact"/>
            </w:pPr>
            <w:r>
              <w:rPr>
                <w:b/>
                <w:bCs/>
              </w:rPr>
              <w:t xml:space="preserve">±0</w:t>
            </w:r>
          </w:p>
        </w:tc>
      </w:tr>
      <w:tr>
        <w:tc>
          <w:tcPr/>
          <w:p>
            <w:pPr>
              <w:pStyle w:val="Compact"/>
            </w:pPr>
            <w:r>
              <w:rPr>
                <w:b/>
                <w:bCs/>
              </w:rPr>
              <w:t xml:space="preserve">ROUND 2 — seat J (June baseline)</w:t>
            </w:r>
            <w:r>
              <w:t xml:space="preserve"> </w:t>
            </w:r>
            <w:r>
              <w:t xml:space="preserve">·</w:t>
            </w:r>
            <w:r>
              <w:t xml:space="preserve"> </w:t>
            </w:r>
            <w:r>
              <w:rPr>
                <w:rStyle w:val="VerbatimChar"/>
              </w:rPr>
              <w:t xml:space="preserve">F-07</w:t>
            </w:r>
            <w:r>
              <w:t xml:space="preserve"> </w:t>
            </w:r>
            <w:r>
              <w:t xml:space="preserve">High-to-Critical ·</w:t>
            </w:r>
            <w:r>
              <w:t xml:space="preserve"> </w:t>
            </w:r>
            <w:r>
              <w:rPr>
                <w:rStyle w:val="VerbatimChar"/>
              </w:rPr>
              <w:t xml:space="preserve">F-10</w:t>
            </w:r>
            <w:r>
              <w:t xml:space="preserve"> </w:t>
            </w:r>
            <w:r>
              <w:t xml:space="preserve">High-to-Critical</w:t>
            </w:r>
            <w:r>
              <w:t xml:space="preserve"> </w:t>
            </w:r>
            <w:r>
              <w:rPr>
                <w:i/>
                <w:iCs/>
              </w:rPr>
              <w:t xml:space="preserve">(</w:t>
            </w:r>
            <w:r>
              <w:rPr>
                <w:rStyle w:val="VerbatimChar"/>
                <w:i/>
                <w:iCs/>
              </w:rPr>
              <w:t xml:space="preserve">F-02</w:t>
            </w:r>
            <w:r>
              <w:rPr>
                <w:i/>
                <w:iCs/>
              </w:rPr>
              <w:t xml:space="preserve"> </w:t>
            </w:r>
            <w:r>
              <w:rPr>
                <w:i/>
                <w:iCs/>
              </w:rPr>
              <w:t xml:space="preserve">Critical-to-High was proposed and is</w:t>
            </w:r>
            <w:r>
              <w:rPr>
                <w:i/>
                <w:iCs/>
              </w:rPr>
              <w:t xml:space="preserve"> </w:t>
            </w:r>
            <w:r>
              <w:rPr>
                <w:b/>
                <w:bCs/>
                <w:i/>
                <w:iCs/>
              </w:rPr>
              <w:t xml:space="preserve">NOT APPLIED</w:t>
            </w:r>
            <w:r>
              <w:rPr>
                <w:i/>
                <w:iCs/>
              </w:rPr>
              <w:t xml:space="preserve"> </w:t>
            </w:r>
            <w:r>
              <w:rPr>
                <w:i/>
                <w:iCs/>
              </w:rPr>
              <w:t xml:space="preserve">— see the FINALISE line below and §2.3.7 open item 9)</w:t>
            </w:r>
          </w:p>
        </w:tc>
        <w:tc>
          <w:tcPr/>
          <w:p>
            <w:pPr>
              <w:pStyle w:val="Compact"/>
            </w:pPr>
            <w:r>
              <w:rPr>
                <w:b/>
                <w:bCs/>
              </w:rPr>
              <w:t xml:space="preserve">+2</w:t>
            </w:r>
          </w:p>
        </w:tc>
        <w:tc>
          <w:tcPr/>
          <w:p>
            <w:pPr>
              <w:pStyle w:val="Compact"/>
            </w:pPr>
            <w:r>
              <w:rPr>
                <w:b/>
                <w:bCs/>
              </w:rPr>
              <w:t xml:space="preserve">−2</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±0</w:t>
            </w:r>
          </w:p>
        </w:tc>
      </w:tr>
      <w:tr>
        <w:tc>
          <w:tcPr/>
          <w:p>
            <w:pPr>
              <w:pStyle w:val="Compact"/>
            </w:pPr>
            <w:r>
              <w:t xml:space="preserve">Subtotal — the position published 2026-09-09 after round 2, with</w:t>
            </w:r>
            <w:r>
              <w:t xml:space="preserve"> </w:t>
            </w:r>
            <w:r>
              <w:rPr>
                <w:rStyle w:val="VerbatimChar"/>
              </w:rPr>
              <w:t xml:space="preserve">F-02</w:t>
            </w:r>
            <w:r>
              <w:t xml:space="preserve"> </w:t>
            </w:r>
            <w:r>
              <w:t xml:space="preserve">corrected</w:t>
            </w:r>
          </w:p>
        </w:tc>
        <w:tc>
          <w:tcPr/>
          <w:p>
            <w:pPr>
              <w:pStyle w:val="Compact"/>
            </w:pPr>
            <w:r>
              <w:rPr>
                <w:b/>
                <w:bCs/>
              </w:rPr>
              <w:t xml:space="preserve">28</w:t>
            </w:r>
          </w:p>
        </w:tc>
        <w:tc>
          <w:tcPr/>
          <w:p>
            <w:pPr>
              <w:pStyle w:val="Compact"/>
            </w:pPr>
            <w:r>
              <w:rPr>
                <w:b/>
                <w:bCs/>
              </w:rPr>
              <w:t xml:space="preserve">77</w:t>
            </w:r>
          </w:p>
        </w:tc>
        <w:tc>
          <w:tcPr/>
          <w:p>
            <w:pPr>
              <w:pStyle w:val="Compact"/>
            </w:pPr>
            <w:r>
              <w:rPr>
                <w:b/>
                <w:bCs/>
              </w:rPr>
              <w:t xml:space="preserve">119</w:t>
            </w:r>
          </w:p>
        </w:tc>
        <w:tc>
          <w:tcPr/>
          <w:p>
            <w:pPr>
              <w:pStyle w:val="Compact"/>
            </w:pPr>
            <w:r>
              <w:rPr>
                <w:b/>
                <w:bCs/>
              </w:rPr>
              <w:t xml:space="preserve">75</w:t>
            </w:r>
          </w:p>
        </w:tc>
        <w:tc>
          <w:tcPr/>
          <w:p>
            <w:pPr>
              <w:pStyle w:val="Compact"/>
            </w:pPr>
            <w:r>
              <w:rPr>
                <w:b/>
                <w:bCs/>
              </w:rPr>
              <w:t xml:space="preserve">40</w:t>
            </w:r>
          </w:p>
        </w:tc>
        <w:tc>
          <w:tcPr/>
          <w:p>
            <w:pPr>
              <w:pStyle w:val="Compact"/>
            </w:pPr>
            <w:r>
              <w:rPr>
                <w:b/>
                <w:bCs/>
              </w:rPr>
              <w:t xml:space="preserve">339</w:t>
            </w:r>
          </w:p>
        </w:tc>
      </w:tr>
      <w:tr>
        <w:tc>
          <w:tcPr/>
          <w:p>
            <w:pPr>
              <w:pStyle w:val="Compact"/>
            </w:pPr>
            <w:r>
              <w:rPr>
                <w:b/>
                <w:bCs/>
              </w:rPr>
              <w:t xml:space="preserve">FINALISE 2026-09-09 — ruling 1a</w:t>
            </w:r>
            <w:r>
              <w:t xml:space="preserve"> </w:t>
            </w:r>
            <w:r>
              <w:t xml:space="preserve">·</w:t>
            </w:r>
            <w:r>
              <w:t xml:space="preserve"> </w:t>
            </w:r>
            <w:r>
              <w:rPr>
                <w:rStyle w:val="VerbatimChar"/>
              </w:rPr>
              <w:t xml:space="preserve">D-MF-01</w:t>
            </w:r>
            <w:r>
              <w:t xml:space="preserve"> </w:t>
            </w:r>
            <w:r>
              <w:rPr>
                <w:b/>
                <w:bCs/>
              </w:rPr>
              <w:t xml:space="preserve">WITHDRAWN</w:t>
            </w:r>
            <w:r>
              <w:t xml:space="preserve"> </w:t>
            </w:r>
            <w:r>
              <w:rPr>
                <w:i/>
                <w:iCs/>
              </w:rPr>
              <w:t xml:space="preserve">(row retained and marked; de-counted)</w:t>
            </w:r>
          </w:p>
        </w:tc>
        <w:tc>
          <w:tcPr/>
          <w:p>
            <w:pPr>
              <w:pStyle w:val="Compact"/>
            </w:pPr>
            <w:r>
              <w:t xml:space="preserve">0</w:t>
            </w:r>
          </w:p>
        </w:tc>
        <w:tc>
          <w:tcPr/>
          <w:p>
            <w:pPr>
              <w:pStyle w:val="Compact"/>
            </w:pPr>
            <w:r>
              <w:rPr>
                <w:b/>
                <w:bCs/>
              </w:rP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−1</w:t>
            </w:r>
          </w:p>
        </w:tc>
      </w:tr>
      <w:tr>
        <w:tc>
          <w:tcPr/>
          <w:p>
            <w:pPr>
              <w:pStyle w:val="Compact"/>
            </w:pPr>
            <w:r>
              <w:rPr>
                <w:b/>
                <w:bCs/>
              </w:rPr>
              <w:t xml:space="preserve">FINALISE — ruling 1b</w:t>
            </w:r>
            <w:r>
              <w:t xml:space="preserve"> </w:t>
            </w:r>
            <w:r>
              <w:t xml:space="preserve">·</w:t>
            </w:r>
            <w:r>
              <w:t xml:space="preserve"> </w:t>
            </w:r>
            <w:r>
              <w:rPr>
                <w:rStyle w:val="VerbatimChar"/>
              </w:rPr>
              <w:t xml:space="preserve">D-UP-07</w:t>
            </w:r>
            <w:r>
              <w:t xml:space="preserve"> </w:t>
            </w:r>
            <w:r>
              <w:rPr>
                <w:b/>
                <w:bCs/>
              </w:rPr>
              <w:t xml:space="preserve">FILED</w:t>
            </w:r>
            <w:r>
              <w:t xml:space="preserve"> </w:t>
            </w:r>
            <w:r>
              <w:t xml:space="preserve">— UniversalPrint auth WebViews, no origin gate</w:t>
            </w:r>
          </w:p>
        </w:tc>
        <w:tc>
          <w:tcPr/>
          <w:p>
            <w:pPr>
              <w:pStyle w:val="Compact"/>
            </w:pPr>
            <w:r>
              <w:t xml:space="preserve">0</w:t>
            </w:r>
          </w:p>
        </w:tc>
        <w:tc>
          <w:tcPr/>
          <w:p>
            <w:pPr>
              <w:pStyle w:val="Compact"/>
            </w:pPr>
            <w:r>
              <w:t xml:space="preserve">0</w:t>
            </w:r>
          </w:p>
        </w:tc>
        <w:tc>
          <w:tcPr/>
          <w:p>
            <w:pPr>
              <w:pStyle w:val="Compact"/>
            </w:pPr>
            <w:r>
              <w:rPr>
                <w:b/>
                <w:bCs/>
              </w:rPr>
              <w:t xml:space="preserve">+1</w:t>
            </w:r>
          </w:p>
        </w:tc>
        <w:tc>
          <w:tcPr/>
          <w:p>
            <w:pPr>
              <w:pStyle w:val="Compact"/>
            </w:pPr>
            <w:r>
              <w:t xml:space="preserve">0</w:t>
            </w:r>
          </w:p>
        </w:tc>
        <w:tc>
          <w:tcPr/>
          <w:p>
            <w:pPr>
              <w:pStyle w:val="Compact"/>
            </w:pPr>
            <w:r>
              <w:t xml:space="preserve">0</w:t>
            </w:r>
          </w:p>
        </w:tc>
        <w:tc>
          <w:tcPr/>
          <w:p>
            <w:pPr>
              <w:pStyle w:val="Compact"/>
            </w:pPr>
            <w:r>
              <w:rPr>
                <w:b/>
                <w:bCs/>
              </w:rPr>
              <w:t xml:space="preserve">+1</w:t>
            </w:r>
          </w:p>
        </w:tc>
      </w:tr>
      <w:tr>
        <w:tc>
          <w:tcPr/>
          <w:p>
            <w:pPr>
              <w:pStyle w:val="Compact"/>
            </w:pPr>
            <w:r>
              <w:rPr>
                <w:b/>
                <w:bCs/>
              </w:rPr>
              <w:t xml:space="preserve">FINALISE — ruling 1c</w:t>
            </w:r>
            <w:r>
              <w:t xml:space="preserve"> </w:t>
            </w:r>
            <w:r>
              <w:t xml:space="preserve">·</w:t>
            </w:r>
            <w:r>
              <w:t xml:space="preserve"> </w:t>
            </w:r>
            <w:r>
              <w:rPr>
                <w:rStyle w:val="VerbatimChar"/>
              </w:rPr>
              <w:t xml:space="preserve">DELTA-MK-03</w:t>
            </w:r>
            <w:r>
              <w:t xml:space="preserve"> </w:t>
            </w:r>
            <w:r>
              <w:rPr>
                <w:b/>
                <w:bCs/>
              </w:rPr>
              <w:t xml:space="preserve">SPLIT</w:t>
            </w:r>
            <w:r>
              <w:t xml:space="preserve"> </w:t>
            </w:r>
            <w:r>
              <w:t xml:space="preserve">into</w:t>
            </w:r>
            <w:r>
              <w:t xml:space="preserve"> </w:t>
            </w:r>
            <w:r>
              <w:rPr>
                <w:rStyle w:val="VerbatimChar"/>
              </w:rPr>
              <w:t xml:space="preserve">03a</w:t>
            </w:r>
            <w:r>
              <w:t xml:space="preserve"> </w:t>
            </w:r>
            <w:r>
              <w:t xml:space="preserve">4.9 and</w:t>
            </w:r>
            <w:r>
              <w:t xml:space="preserve"> </w:t>
            </w:r>
            <w:r>
              <w:rPr>
                <w:rStyle w:val="VerbatimChar"/>
              </w:rPr>
              <w:t xml:space="preserve">03b</w:t>
            </w:r>
            <w:r>
              <w:t xml:space="preserve"> </w:t>
            </w:r>
            <w:r>
              <w:t xml:space="preserve">4.3, both Medium</w:t>
            </w:r>
          </w:p>
        </w:tc>
        <w:tc>
          <w:tcPr/>
          <w:p>
            <w:pPr>
              <w:pStyle w:val="Compact"/>
            </w:pPr>
            <w:r>
              <w:t xml:space="preserve">0</w:t>
            </w:r>
          </w:p>
        </w:tc>
        <w:tc>
          <w:tcPr/>
          <w:p>
            <w:pPr>
              <w:pStyle w:val="Compact"/>
            </w:pPr>
            <w:r>
              <w:t xml:space="preserve">0</w:t>
            </w:r>
          </w:p>
        </w:tc>
        <w:tc>
          <w:tcPr/>
          <w:p>
            <w:pPr>
              <w:pStyle w:val="Compact"/>
            </w:pPr>
            <w:r>
              <w:rPr>
                <w:b/>
                <w:bCs/>
              </w:rPr>
              <w:t xml:space="preserve">+2</w:t>
            </w:r>
          </w:p>
        </w:tc>
        <w:tc>
          <w:tcPr/>
          <w:p>
            <w:pPr>
              <w:pStyle w:val="Compact"/>
            </w:pPr>
            <w:r>
              <w:rPr>
                <w:b/>
                <w:bCs/>
              </w:rPr>
              <w:t xml:space="preserve">−1</w:t>
            </w:r>
          </w:p>
        </w:tc>
        <w:tc>
          <w:tcPr/>
          <w:p>
            <w:pPr>
              <w:pStyle w:val="Compact"/>
            </w:pPr>
            <w:r>
              <w:t xml:space="preserve">0</w:t>
            </w:r>
          </w:p>
        </w:tc>
        <w:tc>
          <w:tcPr/>
          <w:p>
            <w:pPr>
              <w:pStyle w:val="Compact"/>
            </w:pPr>
            <w:r>
              <w:rPr>
                <w:b/>
                <w:bCs/>
              </w:rPr>
              <w:t xml:space="preserve">+1</w:t>
            </w:r>
          </w:p>
        </w:tc>
      </w:tr>
      <w:tr>
        <w:tc>
          <w:tcPr/>
          <w:p>
            <w:pPr>
              <w:pStyle w:val="Compact"/>
            </w:pPr>
            <w:r>
              <w:rPr>
                <w:b/>
                <w:bCs/>
              </w:rPr>
              <w:t xml:space="preserve">FINALISE — ruling 1d</w:t>
            </w:r>
            <w:r>
              <w:t xml:space="preserve"> </w:t>
            </w:r>
            <w:r>
              <w:t xml:space="preserve">·</w:t>
            </w:r>
            <w:r>
              <w:t xml:space="preserve"> </w:t>
            </w:r>
            <w:r>
              <w:rPr>
                <w:rStyle w:val="VerbatimChar"/>
              </w:rPr>
              <w:t xml:space="preserve">ADM-D3</w:t>
            </w:r>
            <w:r>
              <w:t xml:space="preserve"> </w:t>
            </w:r>
            <w:r>
              <w:rPr>
                <w:b/>
                <w:bCs/>
              </w:rPr>
              <w:t xml:space="preserve">SPLIT</w:t>
            </w:r>
            <w:r>
              <w:t xml:space="preserve"> </w:t>
            </w:r>
            <w:r>
              <w:t xml:space="preserve">into</w:t>
            </w:r>
            <w:r>
              <w:t xml:space="preserve"> </w:t>
            </w:r>
            <w:r>
              <w:rPr>
                <w:rStyle w:val="VerbatimChar"/>
              </w:rPr>
              <w:t xml:space="preserve">ADM-D3a</w:t>
            </w:r>
            <w:r>
              <w:t xml:space="preserve"> </w:t>
            </w:r>
            <w:r>
              <w:t xml:space="preserve">…</w:t>
            </w:r>
            <w:r>
              <w:t xml:space="preserve"> </w:t>
            </w:r>
            <w:r>
              <w:rPr>
                <w:rStyle w:val="VerbatimChar"/>
              </w:rPr>
              <w:t xml:space="preserve">ADM-D3e</w:t>
            </w:r>
          </w:p>
        </w:tc>
        <w:tc>
          <w:tcPr/>
          <w:p>
            <w:pPr>
              <w:pStyle w:val="Compact"/>
            </w:pPr>
            <w:r>
              <w:t xml:space="preserve">0</w:t>
            </w:r>
          </w:p>
        </w:tc>
        <w:tc>
          <w:tcPr/>
          <w:p>
            <w:pPr>
              <w:pStyle w:val="Compact"/>
            </w:pPr>
            <w:r>
              <w:t xml:space="preserve">0</w:t>
            </w:r>
          </w:p>
        </w:tc>
        <w:tc>
          <w:tcPr/>
          <w:p>
            <w:pPr>
              <w:pStyle w:val="Compact"/>
            </w:pPr>
            <w:r>
              <w:rPr>
                <w:b/>
                <w:bCs/>
              </w:rPr>
              <w:t xml:space="preserve">+3</w:t>
            </w:r>
          </w:p>
        </w:tc>
        <w:tc>
          <w:tcPr/>
          <w:p>
            <w:pPr>
              <w:pStyle w:val="Compact"/>
            </w:pPr>
            <w:r>
              <w:rPr>
                <w:b/>
                <w:bCs/>
              </w:rPr>
              <w:t xml:space="preserve">+1</w:t>
            </w:r>
          </w:p>
        </w:tc>
        <w:tc>
          <w:tcPr/>
          <w:p>
            <w:pPr>
              <w:pStyle w:val="Compact"/>
            </w:pPr>
            <w:r>
              <w:t xml:space="preserve">0</w:t>
            </w:r>
          </w:p>
        </w:tc>
        <w:tc>
          <w:tcPr/>
          <w:p>
            <w:pPr>
              <w:pStyle w:val="Compact"/>
            </w:pPr>
            <w:r>
              <w:rPr>
                <w:b/>
                <w:bCs/>
              </w:rPr>
              <w:t xml:space="preserve">+4</w:t>
            </w:r>
          </w:p>
        </w:tc>
      </w:tr>
      <w:tr>
        <w:tc>
          <w:tcPr/>
          <w:p>
            <w:pPr>
              <w:pStyle w:val="Compact"/>
            </w:pPr>
            <w:r>
              <w:rPr>
                <w:b/>
                <w:bCs/>
              </w:rPr>
              <w:t xml:space="preserve">FINALISE — ruling 1e</w:t>
            </w:r>
            <w:r>
              <w:t xml:space="preserve"> </w:t>
            </w:r>
            <w:r>
              <w:t xml:space="preserve">·</w:t>
            </w:r>
            <w:r>
              <w:t xml:space="preserve"> </w:t>
            </w:r>
            <w:r>
              <w:rPr>
                <w:rStyle w:val="VerbatimChar"/>
              </w:rPr>
              <w:t xml:space="preserve">DELTA-HP-01</w:t>
            </w:r>
            <w:r>
              <w:t xml:space="preserve"> </w:t>
            </w:r>
            <w:r>
              <w:t xml:space="preserve">and</w:t>
            </w:r>
            <w:r>
              <w:t xml:space="preserve"> </w:t>
            </w:r>
            <w:r>
              <w:rPr>
                <w:rStyle w:val="VerbatimChar"/>
              </w:rPr>
              <w:t xml:space="preserve">DELTA-HP-02</w:t>
            </w:r>
            <w:r>
              <w:t xml:space="preserve"> </w:t>
            </w:r>
            <w:r>
              <w:rPr>
                <w:b/>
                <w:bCs/>
              </w:rPr>
              <w:t xml:space="preserve">WITHDRAWN</w:t>
            </w:r>
            <w:r>
              <w:t xml:space="preserve"> </w:t>
            </w:r>
            <w:r>
              <w:rPr>
                <w:i/>
                <w:iCs/>
              </w:rPr>
              <w:t xml:space="preserve">(rows retained and marked; de-counted)</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−1</w:t>
            </w:r>
          </w:p>
        </w:tc>
        <w:tc>
          <w:tcPr/>
          <w:p>
            <w:pPr>
              <w:pStyle w:val="Compact"/>
            </w:pPr>
            <w:r>
              <w:rPr>
                <w:b/>
                <w:bCs/>
              </w:rPr>
              <w:t xml:space="preserve">−1</w:t>
            </w:r>
          </w:p>
        </w:tc>
        <w:tc>
          <w:tcPr/>
          <w:p>
            <w:pPr>
              <w:pStyle w:val="Compact"/>
            </w:pPr>
            <w:r>
              <w:rPr>
                <w:b/>
                <w:bCs/>
              </w:rPr>
              <w:t xml:space="preserve">−2</w:t>
            </w:r>
          </w:p>
        </w:tc>
      </w:tr>
      <w:tr>
        <w:tc>
          <w:tcPr/>
          <w:p>
            <w:pPr>
              <w:pStyle w:val="Compact"/>
            </w:pPr>
            <w:r>
              <w:rPr>
                <w:b/>
                <w:bCs/>
              </w:rPr>
              <w:t xml:space="preserve">FINALISE — ruling 1f</w:t>
            </w:r>
            <w:r>
              <w:t xml:space="preserve"> </w:t>
            </w:r>
            <w:r>
              <w:t xml:space="preserve">·</w:t>
            </w:r>
            <w:r>
              <w:t xml:space="preserve"> </w:t>
            </w:r>
            <w:r>
              <w:rPr>
                <w:rStyle w:val="VerbatimChar"/>
              </w:rPr>
              <w:t xml:space="preserve">ADM-D5</w:t>
            </w:r>
            <w:r>
              <w:t xml:space="preserve"> </w:t>
            </w:r>
            <w:r>
              <w:t xml:space="preserve">Low to</w:t>
            </w:r>
            <w:r>
              <w:t xml:space="preserve"> </w:t>
            </w:r>
            <w:r>
              <w:rPr>
                <w:b/>
                <w:bCs/>
              </w:rPr>
              <w:t xml:space="preserve">Medium 5.3</w:t>
            </w:r>
          </w:p>
        </w:tc>
        <w:tc>
          <w:tcPr/>
          <w:p>
            <w:pPr>
              <w:pStyle w:val="Compact"/>
            </w:pPr>
            <w:r>
              <w:t xml:space="preserve">0</w:t>
            </w:r>
          </w:p>
        </w:tc>
        <w:tc>
          <w:tcPr/>
          <w:p>
            <w:pPr>
              <w:pStyle w:val="Compact"/>
            </w:pPr>
            <w:r>
              <w:t xml:space="preserve">0</w:t>
            </w:r>
          </w:p>
        </w:tc>
        <w:tc>
          <w:tcPr/>
          <w:p>
            <w:pPr>
              <w:pStyle w:val="Compact"/>
            </w:pPr>
            <w:r>
              <w:rPr>
                <w:b/>
                <w:bCs/>
              </w:rPr>
              <w:t xml:space="preserve">+1</w:t>
            </w:r>
          </w:p>
        </w:tc>
        <w:tc>
          <w:tcPr/>
          <w:p>
            <w:pPr>
              <w:pStyle w:val="Compact"/>
            </w:pPr>
            <w:r>
              <w:rPr>
                <w:b/>
                <w:bCs/>
              </w:rPr>
              <w:t xml:space="preserve">−1</w:t>
            </w:r>
          </w:p>
        </w:tc>
        <w:tc>
          <w:tcPr/>
          <w:p>
            <w:pPr>
              <w:pStyle w:val="Compact"/>
            </w:pPr>
            <w:r>
              <w:t xml:space="preserve">0</w:t>
            </w:r>
          </w:p>
        </w:tc>
        <w:tc>
          <w:tcPr/>
          <w:p>
            <w:pPr>
              <w:pStyle w:val="Compact"/>
            </w:pPr>
            <w:r>
              <w:rPr>
                <w:b/>
                <w:bCs/>
              </w:rPr>
              <w:t xml:space="preserve">±0</w:t>
            </w:r>
          </w:p>
        </w:tc>
      </w:tr>
      <w:tr>
        <w:tc>
          <w:tcPr/>
          <w:p>
            <w:pPr>
              <w:pStyle w:val="Compact"/>
            </w:pPr>
            <w:r>
              <w:rPr>
                <w:b/>
                <w:bCs/>
              </w:rPr>
              <w:t xml:space="preserve">ESTATE TOTAL</w:t>
            </w:r>
          </w:p>
        </w:tc>
        <w:tc>
          <w:tcPr/>
          <w:p>
            <w:pPr>
              <w:pStyle w:val="Compact"/>
            </w:pPr>
            <w:r>
              <w:rPr>
                <w:b/>
                <w:bCs/>
              </w:rPr>
              <w:t xml:space="preserve">28</w:t>
            </w:r>
          </w:p>
        </w:tc>
        <w:tc>
          <w:tcPr/>
          <w:p>
            <w:pPr>
              <w:pStyle w:val="Compact"/>
            </w:pPr>
            <w:r>
              <w:rPr>
                <w:b/>
                <w:bCs/>
              </w:rPr>
              <w:t xml:space="preserve">76</w:t>
            </w:r>
          </w:p>
        </w:tc>
        <w:tc>
          <w:tcPr/>
          <w:p>
            <w:pPr>
              <w:pStyle w:val="Compact"/>
            </w:pPr>
            <w:r>
              <w:rPr>
                <w:b/>
                <w:bCs/>
              </w:rPr>
              <w:t xml:space="preserve">126</w:t>
            </w:r>
          </w:p>
        </w:tc>
        <w:tc>
          <w:tcPr/>
          <w:p>
            <w:pPr>
              <w:pStyle w:val="Compact"/>
            </w:pPr>
            <w:r>
              <w:rPr>
                <w:b/>
                <w:bCs/>
              </w:rPr>
              <w:t xml:space="preserve">73</w:t>
            </w:r>
          </w:p>
        </w:tc>
        <w:tc>
          <w:tcPr/>
          <w:p>
            <w:pPr>
              <w:pStyle w:val="Compact"/>
            </w:pPr>
            <w:r>
              <w:rPr>
                <w:b/>
                <w:bCs/>
              </w:rPr>
              <w:t xml:space="preserve">39</w:t>
            </w:r>
          </w:p>
        </w:tc>
        <w:tc>
          <w:tcPr/>
          <w:p>
            <w:pPr>
              <w:pStyle w:val="Compact"/>
            </w:pPr>
            <w:r>
              <w:rPr>
                <w:b/>
                <w:bCs/>
              </w:rPr>
              <w:t xml:space="preserve">342</w:t>
            </w:r>
          </w:p>
        </w:tc>
      </w:tr>
    </w:tbl>
    <w:p>
      <w:pPr>
        <w:pStyle w:val="BodyText"/>
      </w:pPr>
      <w:r>
        <w:rPr>
          <w:b/>
          <w:bCs/>
        </w:rPr>
        <w:t xml:space="preserve">Both sums were computed independently.</w:t>
      </w:r>
      <w:r>
        <w:t xml:space="preserve"> </w:t>
      </w:r>
      <w:r>
        <w:t xml:space="preserve">By row, across the seven contributing populations:</w:t>
      </w:r>
      <w:r>
        <w:t xml:space="preserve"> </w:t>
      </w:r>
      <w:r>
        <w:t xml:space="preserve">188 + 31 + 22 + 1 + 62 + 37 + 1 =</w:t>
      </w:r>
      <w:r>
        <w:t xml:space="preserve"> </w:t>
      </w:r>
      <w:r>
        <w:rPr>
          <w:b/>
          <w:bCs/>
        </w:rPr>
        <w:t xml:space="preserve">342</w:t>
      </w:r>
      <w:r>
        <w:t xml:space="preserve">. By column, across the five severity bands:</w:t>
      </w:r>
      <w:r>
        <w:t xml:space="preserve"> </w:t>
      </w:r>
      <w:r>
        <w:t xml:space="preserve">28 + 76 + 126 + 73 + 39 =</w:t>
      </w:r>
      <w:r>
        <w:t xml:space="preserve"> </w:t>
      </w:r>
      <w:r>
        <w:rPr>
          <w:b/>
          <w:bCs/>
        </w:rPr>
        <w:t xml:space="preserve">342</w:t>
      </w:r>
      <w:r>
        <w:t xml:space="preserve">.</w:t>
      </w:r>
      <w:r>
        <w:t xml:space="preserve"> </w:t>
      </w:r>
      <w:r>
        <w:rPr>
          <w:b/>
          <w:bCs/>
        </w:rPr>
        <w:t xml:space="preserve">It balances both ways, and no cell was adjusted to make it</w:t>
      </w:r>
      <w:r>
        <w:rPr>
          <w:b/>
          <w:bCs/>
        </w:rPr>
        <w:t xml:space="preserve"> </w:t>
      </w:r>
      <w:r>
        <w:rPr>
          <w:b/>
          <w:bCs/>
        </w:rPr>
        <w:t xml:space="preserve">balance.</w:t>
      </w:r>
    </w:p>
    <w:p>
      <w:pPr>
        <w:pStyle w:val="BodyText"/>
      </w:pPr>
      <w:r>
        <w:rPr>
          <w:b/>
          <w:bCs/>
        </w:rPr>
        <w:t xml:space="preserve">This register's share of the estate</w:t>
      </w:r>
      <w:r>
        <w:t xml:space="preserve">, re-added independently from its own populations:</w:t>
      </w:r>
      <w:r>
        <w:t xml:space="preserve"> </w:t>
      </w:r>
      <w:r>
        <w:t xml:space="preserve">10 Critical + 27 High + 46 Medium + 33 Low + 16 Informational =</w:t>
      </w:r>
      <w:r>
        <w:t xml:space="preserve"> </w:t>
      </w:r>
      <w:r>
        <w:rPr>
          <w:b/>
          <w:bCs/>
        </w:rPr>
        <w:t xml:space="preserve">132</w:t>
      </w:r>
      <w:r>
        <w:t xml:space="preserve">. The companion HP</w:t>
      </w:r>
      <w:r>
        <w:t xml:space="preserve"> </w:t>
      </w:r>
      <w:r>
        <w:t xml:space="preserve">Authentication Suite register carries 18 + 49 + 80 + 40 + 23 =</w:t>
      </w:r>
      <w:r>
        <w:t xml:space="preserve"> </w:t>
      </w:r>
      <w:r>
        <w:rPr>
          <w:b/>
          <w:bCs/>
        </w:rPr>
        <w:t xml:space="preserve">210</w:t>
      </w:r>
      <w:r>
        <w:t xml:space="preserve">.</w:t>
      </w:r>
      <w:r>
        <w:t xml:space="preserve"> </w:t>
      </w:r>
      <w:r>
        <w:rPr>
          <w:b/>
          <w:bCs/>
        </w:rPr>
        <w:t xml:space="preserve">132 + 210 = 342</w:t>
      </w:r>
      <w:r>
        <w:t xml:space="preserve">, and the</w:t>
      </w:r>
      <w:r>
        <w:t xml:space="preserve"> </w:t>
      </w:r>
      <w:r>
        <w:t xml:space="preserve">two registers agree with the estate total band by band.</w:t>
      </w:r>
    </w:p>
    <w:p>
      <w:pPr>
        <w:pStyle w:val="BodyText"/>
      </w:pPr>
      <w:r>
        <w:rPr>
          <w:b/>
          <w:bCs/>
        </w:rPr>
        <w:t xml:space="preserve">Five rows in the combined estate are printed and not counted, and none was deleted:</w:t>
      </w:r>
      <w:r>
        <w:t xml:space="preserve"> </w:t>
      </w:r>
      <w:r>
        <w:t xml:space="preserve">three marked</w:t>
      </w:r>
      <w:r>
        <w:t xml:space="preserve"> </w:t>
      </w:r>
      <w:r>
        <w:t xml:space="preserve">withdrawals and two retained split parents.</w:t>
      </w:r>
      <w:r>
        <w:t xml:space="preserve"> </w:t>
      </w:r>
      <w:r>
        <w:rPr>
          <w:b/>
          <w:bCs/>
        </w:rPr>
        <w:t xml:space="preserve">All five belong to the companion register</w:t>
      </w:r>
      <w:r>
        <w:t xml:space="preserve">, so every</w:t>
      </w:r>
      <w:r>
        <w:t xml:space="preserve"> </w:t>
      </w:r>
      <w:r>
        <w:t xml:space="preserve">row printed in this register is also counted in it.</w:t>
      </w:r>
    </w:p>
    <w:p>
      <w:r>
        <w:pict>
          <v:rect style="width:0;height:1.5pt" o:hralign="center" o:hrstd="t" o:hr="t"/>
        </w:pict>
      </w:r>
    </w:p>
    <w:p>
      <w:pPr>
        <w:pStyle w:val="FirstParagraph"/>
      </w:pPr>
      <w:r>
        <w:rPr>
          <w:i/>
          <w:iCs/>
        </w:rPr>
        <w:t xml:space="preserve">End of register. Client Confidential.</w:t>
      </w:r>
    </w:p>
    <w:bookmarkEnd w:id="66"/>
    <w:bookmarkEnd w:id="67"/>
    <w:sectPr>
      <w:headerReference r:id="rId9" w:type="default"/>
      <w:footerReference r:id="rId10" w:type="default"/>
      <w:footnotePr>
        <w:numRestart w:val="eachSect"/>
      </w:footnotePr>
      <w:pgSz w:h="16838" w:w="11906"/>
      <w:pgMar w:bottom="1134" w:footer="567" w:header="567" w:left="1247" w:right="1247" w:top="13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
      <w:rPr>
        <w:rFonts w:ascii="Calibri" w:hAnsi="Calibri"/>
        <w:color w:val="777777"/>
        <w:sz w:val="16"/>
      </w:rPr>
      <w:t>Commercial-in-Confidence  ·  Datasec Solutions Pty Ltd</w:t>
      <w:tab/>
    </w:r>
    <w:r>
      <w:rPr>
        <w:color w:val="777777"/>
        <w:sz w:val="16"/>
      </w:rPr>
      <w:t xml:space="preserve">Page </w:t>
      <w:fldChar w:fldCharType="begin"/>
      <w:instrText xml:space="preserve">PAGE</w:instrText>
      <w:fldChar w:fldCharType="end"/>
    </w:r>
    <w:r>
      <w:rPr>
        <w:color w:val="777777"/>
        <w:sz w:val="16"/>
      </w:rPr>
      <w:t xml:space="preserve"> of </w:t>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8" w:space="6" w:color="F88123"/>
      </w:pBdr>
    </w:pPr>
    <w:r/>
    <w:r>
      <w:drawing>
        <wp:inline xmlns:a="http://schemas.openxmlformats.org/drawingml/2006/main" xmlns:pic="http://schemas.openxmlformats.org/drawingml/2006/picture">
          <wp:extent cx="1655999" cy="208878"/>
          <wp:docPr id="1" name="Picture 1"/>
          <wp:cNvGraphicFramePr>
            <a:graphicFrameLocks noChangeAspect="1"/>
          </wp:cNvGraphicFramePr>
          <a:graphic>
            <a:graphicData uri="http://schemas.openxmlformats.org/drawingml/2006/picture">
              <pic:pic>
                <pic:nvPicPr>
                  <pic:cNvPr id="0" name="datasec-logo.png"/>
                  <pic:cNvPicPr/>
                </pic:nvPicPr>
                <pic:blipFill>
                  <a:blip r:embed="rId1"/>
                  <a:stretch>
                    <a:fillRect/>
                  </a:stretch>
                </pic:blipFill>
                <pic:spPr>
                  <a:xfrm>
                    <a:off x="0" y="0"/>
                    <a:ext cx="1655999" cy="208878"/>
                  </a:xfrm>
                  <a:prstGeom prst="rect"/>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333333"/>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Light" w:asciiTheme="majorHAnsi" w:cstheme="majorBidi" w:eastAsiaTheme="majorEastAsia" w:hAnsi="Calibri Light" w:hAnsiTheme="majorHAnsi"/>
      <w:b/>
      <w:color w:val="14344C"/>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Light" w:cstheme="majorBidi" w:eastAsiaTheme="majorEastAsia" w:hAnsi="Calibri Light"/>
      <w:b w:val="0"/>
      <w:color w:val="2E4A5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Light" w:asciiTheme="majorHAnsi" w:cstheme="majorBidi" w:eastAsiaTheme="majorEastAsia" w:hAnsi="Calibri Light" w:hAnsiTheme="majorHAnsi"/>
      <w:b/>
      <w:color w:val="14344C"/>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Light" w:asciiTheme="majorHAnsi" w:cstheme="majorBidi" w:eastAsiaTheme="majorEastAsia" w:hAnsi="Calibri Light" w:hAnsiTheme="majorHAnsi"/>
      <w:b/>
      <w:color w:val="1B3A52"/>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b/>
      <w:color w:val="2E4A5E"/>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Theme="majorEastAsia" w:hAnsi="Calibri"/>
      <w:b/>
      <w:i/>
      <w:iCs/>
      <w:color w:val="2E4A5E"/>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Consolidated Findings Register — Datasec Product Portfolio</dc:title>
  <dc:creator>Datasec Solutions Pty Ltd — Independent Security Assessment</dc:creator>
  <cp:keywords/>
  <dcterms:created xsi:type="dcterms:W3CDTF">2026-09-10T00:03:37Z</dcterms:created>
  <dcterms:modified xsi:type="dcterms:W3CDTF">2026-09-10T00:03:37Z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2026-09-09</vt:lpwstr>
  </property>
</Properties>
</file>