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Novus Capital Management</w:t>
      </w:r>
    </w:p>
    <w:p w:rsidR="00000000" w:rsidDel="00000000" w:rsidP="00000000" w:rsidRDefault="00000000" w:rsidRPr="00000000" w14:paraId="00000002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Company Meeting 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Investment Division: Stock &amp; Crypto Assets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Date:</w:t>
      </w:r>
      <w:r w:rsidDel="00000000" w:rsidR="00000000" w:rsidRPr="00000000">
        <w:rPr>
          <w:rtl w:val="0"/>
        </w:rPr>
        <w:t xml:space="preserve"> April 15, 2025</w:t>
        <w:br w:type="textWrapping"/>
      </w:r>
      <w:r w:rsidDel="00000000" w:rsidR="00000000" w:rsidRPr="00000000">
        <w:rPr>
          <w:b w:val="1"/>
          <w:rtl w:val="0"/>
        </w:rPr>
        <w:t xml:space="preserve">Location:</w:t>
      </w:r>
      <w:r w:rsidDel="00000000" w:rsidR="00000000" w:rsidRPr="00000000">
        <w:rPr>
          <w:rtl w:val="0"/>
        </w:rPr>
        <w:t xml:space="preserve"> Main Conference Room / Zoom Hybrid Meeting</w:t>
        <w:br w:type="textWrapping"/>
      </w:r>
      <w:r w:rsidDel="00000000" w:rsidR="00000000" w:rsidRPr="00000000">
        <w:rPr>
          <w:b w:val="1"/>
          <w:rtl w:val="0"/>
        </w:rPr>
        <w:t xml:space="preserve">Attendees: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John Whitman (Head of Investment)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Alice Chen (Senior Analyst)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Derek Miles (Crypto Portfolio Manager)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Sofia Ramos (Equity Trader)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Helen Liu (Risk Management)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Jake Morrison (Junior Analyst)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1. Market Overview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i w:val="1"/>
          <w:rtl w:val="0"/>
        </w:rPr>
        <w:t xml:space="preserve">Presented by: Alice Chen &amp; Derek Miles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Equities: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rtl w:val="0"/>
        </w:rPr>
        <w:t xml:space="preserve">The S&amp;P 500 saw a 4.2% gain in Q1 2025, led by tech and green energy sectors.</w:t>
      </w:r>
    </w:p>
    <w:p w:rsidR="00000000" w:rsidDel="00000000" w:rsidP="00000000" w:rsidRDefault="00000000" w:rsidRPr="00000000" w14:paraId="00000010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rtl w:val="0"/>
        </w:rPr>
        <w:t xml:space="preserve">Key outperformers: NVIDIA, Tesla, and First Solar.</w:t>
      </w:r>
    </w:p>
    <w:p w:rsidR="00000000" w:rsidDel="00000000" w:rsidP="00000000" w:rsidRDefault="00000000" w:rsidRPr="00000000" w14:paraId="00000011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rtl w:val="0"/>
        </w:rPr>
        <w:t xml:space="preserve">Banking sector remains volatile due to persistent rate uncertainties and recent regulatory updates.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Crypto: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rtl w:val="0"/>
        </w:rPr>
        <w:t xml:space="preserve">Bitcoin stabilized around $63,000, with moderate volatility.</w:t>
      </w:r>
    </w:p>
    <w:p w:rsidR="00000000" w:rsidDel="00000000" w:rsidP="00000000" w:rsidRDefault="00000000" w:rsidRPr="00000000" w14:paraId="00000014">
      <w:pPr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rtl w:val="0"/>
        </w:rPr>
        <w:t xml:space="preserve">Ethereum showed a 7% rise post-Ethereum Cancun upgrade.</w:t>
      </w:r>
    </w:p>
    <w:p w:rsidR="00000000" w:rsidDel="00000000" w:rsidP="00000000" w:rsidRDefault="00000000" w:rsidRPr="00000000" w14:paraId="00000015">
      <w:pPr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rtl w:val="0"/>
        </w:rPr>
        <w:t xml:space="preserve">Regulatory clarity from the SEC in early April led to increased institutional interest.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rtl w:val="0"/>
        </w:rPr>
        <w:t xml:space="preserve">Outlook: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5"/>
        </w:numPr>
        <w:ind w:left="720" w:hanging="360"/>
        <w:rPr/>
      </w:pPr>
      <w:r w:rsidDel="00000000" w:rsidR="00000000" w:rsidRPr="00000000">
        <w:rPr>
          <w:rtl w:val="0"/>
        </w:rPr>
        <w:t xml:space="preserve">Bullish trend for tech and energy sectors.</w:t>
      </w:r>
    </w:p>
    <w:p w:rsidR="00000000" w:rsidDel="00000000" w:rsidP="00000000" w:rsidRDefault="00000000" w:rsidRPr="00000000" w14:paraId="00000018">
      <w:pPr>
        <w:numPr>
          <w:ilvl w:val="0"/>
          <w:numId w:val="15"/>
        </w:numPr>
        <w:ind w:left="720" w:hanging="360"/>
        <w:rPr/>
      </w:pPr>
      <w:r w:rsidDel="00000000" w:rsidR="00000000" w:rsidRPr="00000000">
        <w:rPr>
          <w:rtl w:val="0"/>
        </w:rPr>
        <w:t xml:space="preserve">Cautiously optimistic on crypto, especially ETH and Solana.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b w:val="1"/>
          <w:rtl w:val="0"/>
        </w:rPr>
        <w:t xml:space="preserve">2. Portfolio Performance Review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i w:val="1"/>
          <w:rtl w:val="0"/>
        </w:rPr>
        <w:t xml:space="preserve">Presented by: John Whitman &amp; Sofia Ramos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b w:val="1"/>
          <w:rtl w:val="0"/>
        </w:rPr>
        <w:t xml:space="preserve">Stock Portfolio (YTD):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6"/>
        </w:numPr>
        <w:ind w:left="720" w:hanging="360"/>
        <w:rPr/>
      </w:pPr>
      <w:r w:rsidDel="00000000" w:rsidR="00000000" w:rsidRPr="00000000">
        <w:rPr>
          <w:rtl w:val="0"/>
        </w:rPr>
        <w:t xml:space="preserve">Total Return: +11.6%</w:t>
      </w:r>
    </w:p>
    <w:p w:rsidR="00000000" w:rsidDel="00000000" w:rsidP="00000000" w:rsidRDefault="00000000" w:rsidRPr="00000000" w14:paraId="0000001E">
      <w:pPr>
        <w:numPr>
          <w:ilvl w:val="0"/>
          <w:numId w:val="16"/>
        </w:numPr>
        <w:ind w:left="720" w:hanging="360"/>
        <w:rPr/>
      </w:pPr>
      <w:r w:rsidDel="00000000" w:rsidR="00000000" w:rsidRPr="00000000">
        <w:rPr>
          <w:rtl w:val="0"/>
        </w:rPr>
        <w:t xml:space="preserve">Best Performing Assets:</w:t>
      </w:r>
    </w:p>
    <w:p w:rsidR="00000000" w:rsidDel="00000000" w:rsidP="00000000" w:rsidRDefault="00000000" w:rsidRPr="00000000" w14:paraId="0000001F">
      <w:pPr>
        <w:numPr>
          <w:ilvl w:val="1"/>
          <w:numId w:val="16"/>
        </w:numPr>
        <w:ind w:left="1440" w:hanging="360"/>
        <w:rPr/>
      </w:pPr>
      <w:r w:rsidDel="00000000" w:rsidR="00000000" w:rsidRPr="00000000">
        <w:rPr>
          <w:rtl w:val="0"/>
        </w:rPr>
        <w:t xml:space="preserve">NVIDIA (+25%)</w:t>
      </w:r>
    </w:p>
    <w:p w:rsidR="00000000" w:rsidDel="00000000" w:rsidP="00000000" w:rsidRDefault="00000000" w:rsidRPr="00000000" w14:paraId="00000020">
      <w:pPr>
        <w:numPr>
          <w:ilvl w:val="1"/>
          <w:numId w:val="16"/>
        </w:numPr>
        <w:ind w:left="1440" w:hanging="360"/>
        <w:rPr/>
      </w:pPr>
      <w:r w:rsidDel="00000000" w:rsidR="00000000" w:rsidRPr="00000000">
        <w:rPr>
          <w:rtl w:val="0"/>
        </w:rPr>
        <w:t xml:space="preserve">Apple (+13%)</w:t>
      </w:r>
    </w:p>
    <w:p w:rsidR="00000000" w:rsidDel="00000000" w:rsidP="00000000" w:rsidRDefault="00000000" w:rsidRPr="00000000" w14:paraId="00000021">
      <w:pPr>
        <w:numPr>
          <w:ilvl w:val="1"/>
          <w:numId w:val="16"/>
        </w:numPr>
        <w:ind w:left="1440" w:hanging="360"/>
        <w:rPr/>
      </w:pPr>
      <w:r w:rsidDel="00000000" w:rsidR="00000000" w:rsidRPr="00000000">
        <w:rPr>
          <w:rtl w:val="0"/>
        </w:rPr>
        <w:t xml:space="preserve">Enphase Energy (+17%)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b w:val="1"/>
          <w:rtl w:val="0"/>
        </w:rPr>
        <w:t xml:space="preserve">Crypto Portfolio (YTD):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7"/>
        </w:numPr>
        <w:ind w:left="720" w:hanging="360"/>
        <w:rPr/>
      </w:pPr>
      <w:r w:rsidDel="00000000" w:rsidR="00000000" w:rsidRPr="00000000">
        <w:rPr>
          <w:rtl w:val="0"/>
        </w:rPr>
        <w:t xml:space="preserve">Total Return: +18.4%</w:t>
      </w:r>
    </w:p>
    <w:p w:rsidR="00000000" w:rsidDel="00000000" w:rsidP="00000000" w:rsidRDefault="00000000" w:rsidRPr="00000000" w14:paraId="00000024">
      <w:pPr>
        <w:numPr>
          <w:ilvl w:val="0"/>
          <w:numId w:val="17"/>
        </w:numPr>
        <w:ind w:left="720" w:hanging="360"/>
        <w:rPr/>
      </w:pPr>
      <w:r w:rsidDel="00000000" w:rsidR="00000000" w:rsidRPr="00000000">
        <w:rPr>
          <w:rtl w:val="0"/>
        </w:rPr>
        <w:t xml:space="preserve">Best Performing Assets:</w:t>
      </w:r>
    </w:p>
    <w:p w:rsidR="00000000" w:rsidDel="00000000" w:rsidP="00000000" w:rsidRDefault="00000000" w:rsidRPr="00000000" w14:paraId="00000025">
      <w:pPr>
        <w:numPr>
          <w:ilvl w:val="1"/>
          <w:numId w:val="17"/>
        </w:numPr>
        <w:ind w:left="1440" w:hanging="360"/>
        <w:rPr/>
      </w:pPr>
      <w:r w:rsidDel="00000000" w:rsidR="00000000" w:rsidRPr="00000000">
        <w:rPr>
          <w:rtl w:val="0"/>
        </w:rPr>
        <w:t xml:space="preserve">ETH (+22%)</w:t>
      </w:r>
    </w:p>
    <w:p w:rsidR="00000000" w:rsidDel="00000000" w:rsidP="00000000" w:rsidRDefault="00000000" w:rsidRPr="00000000" w14:paraId="00000026">
      <w:pPr>
        <w:numPr>
          <w:ilvl w:val="1"/>
          <w:numId w:val="17"/>
        </w:numPr>
        <w:ind w:left="1440" w:hanging="360"/>
        <w:rPr/>
      </w:pPr>
      <w:r w:rsidDel="00000000" w:rsidR="00000000" w:rsidRPr="00000000">
        <w:rPr>
          <w:rtl w:val="0"/>
        </w:rPr>
        <w:t xml:space="preserve">SOL (+27%)</w:t>
      </w:r>
    </w:p>
    <w:p w:rsidR="00000000" w:rsidDel="00000000" w:rsidP="00000000" w:rsidRDefault="00000000" w:rsidRPr="00000000" w14:paraId="00000027">
      <w:pPr>
        <w:numPr>
          <w:ilvl w:val="1"/>
          <w:numId w:val="17"/>
        </w:numPr>
        <w:ind w:left="1440" w:hanging="360"/>
        <w:rPr/>
      </w:pPr>
      <w:r w:rsidDel="00000000" w:rsidR="00000000" w:rsidRPr="00000000">
        <w:rPr>
          <w:rtl w:val="0"/>
        </w:rPr>
        <w:t xml:space="preserve">LINK (+15%)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b w:val="1"/>
          <w:rtl w:val="0"/>
        </w:rPr>
        <w:t xml:space="preserve">Underperformers: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8"/>
        </w:numPr>
        <w:ind w:left="720" w:hanging="360"/>
        <w:rPr/>
      </w:pPr>
      <w:r w:rsidDel="00000000" w:rsidR="00000000" w:rsidRPr="00000000">
        <w:rPr>
          <w:rtl w:val="0"/>
        </w:rPr>
        <w:t xml:space="preserve">Coinbase (COIN): -9%</w:t>
      </w:r>
    </w:p>
    <w:p w:rsidR="00000000" w:rsidDel="00000000" w:rsidP="00000000" w:rsidRDefault="00000000" w:rsidRPr="00000000" w14:paraId="0000002A">
      <w:pPr>
        <w:numPr>
          <w:ilvl w:val="0"/>
          <w:numId w:val="18"/>
        </w:numPr>
        <w:ind w:left="720" w:hanging="360"/>
        <w:rPr/>
      </w:pPr>
      <w:r w:rsidDel="00000000" w:rsidR="00000000" w:rsidRPr="00000000">
        <w:rPr>
          <w:rtl w:val="0"/>
        </w:rPr>
        <w:t xml:space="preserve">BNB Token: -5% due to regulatory pressure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b w:val="1"/>
          <w:rtl w:val="0"/>
        </w:rPr>
        <w:t xml:space="preserve">Adjustments Recommended: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9"/>
        </w:numPr>
        <w:ind w:left="720" w:hanging="360"/>
        <w:rPr/>
      </w:pPr>
      <w:r w:rsidDel="00000000" w:rsidR="00000000" w:rsidRPr="00000000">
        <w:rPr>
          <w:rtl w:val="0"/>
        </w:rPr>
        <w:t xml:space="preserve">Reduce exposure to underperforming centralized exchanges.</w:t>
      </w:r>
    </w:p>
    <w:p w:rsidR="00000000" w:rsidDel="00000000" w:rsidP="00000000" w:rsidRDefault="00000000" w:rsidRPr="00000000" w14:paraId="0000002D">
      <w:pPr>
        <w:numPr>
          <w:ilvl w:val="0"/>
          <w:numId w:val="19"/>
        </w:numPr>
        <w:ind w:left="720" w:hanging="360"/>
        <w:rPr/>
      </w:pPr>
      <w:r w:rsidDel="00000000" w:rsidR="00000000" w:rsidRPr="00000000">
        <w:rPr>
          <w:rtl w:val="0"/>
        </w:rPr>
        <w:t xml:space="preserve">Increase positions in layer-2 and staking-based projects.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b w:val="1"/>
          <w:rtl w:val="0"/>
        </w:rPr>
        <w:t xml:space="preserve">3. Strategic Initiatives (Q2 2025)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i w:val="1"/>
          <w:rtl w:val="0"/>
        </w:rPr>
        <w:t xml:space="preserve">Presented by: Helen Liu &amp; Jake Morrison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20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Risk Management Update: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1"/>
          <w:numId w:val="20"/>
        </w:numPr>
        <w:ind w:left="1440" w:hanging="360"/>
        <w:rPr/>
      </w:pPr>
      <w:r w:rsidDel="00000000" w:rsidR="00000000" w:rsidRPr="00000000">
        <w:rPr>
          <w:rtl w:val="0"/>
        </w:rPr>
        <w:t xml:space="preserve">New VaR model under development to better address crypto volatility.</w:t>
      </w:r>
    </w:p>
    <w:p w:rsidR="00000000" w:rsidDel="00000000" w:rsidP="00000000" w:rsidRDefault="00000000" w:rsidRPr="00000000" w14:paraId="00000033">
      <w:pPr>
        <w:numPr>
          <w:ilvl w:val="1"/>
          <w:numId w:val="20"/>
        </w:numPr>
        <w:ind w:left="1440" w:hanging="360"/>
        <w:rPr/>
      </w:pPr>
      <w:r w:rsidDel="00000000" w:rsidR="00000000" w:rsidRPr="00000000">
        <w:rPr>
          <w:rtl w:val="0"/>
        </w:rPr>
        <w:t xml:space="preserve">Beta-testing ML-based risk detection system using transaction data.</w:t>
      </w:r>
    </w:p>
    <w:p w:rsidR="00000000" w:rsidDel="00000000" w:rsidP="00000000" w:rsidRDefault="00000000" w:rsidRPr="00000000" w14:paraId="00000034">
      <w:pPr>
        <w:numPr>
          <w:ilvl w:val="0"/>
          <w:numId w:val="20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ESG Integration: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20"/>
        </w:numPr>
        <w:ind w:left="1440" w:hanging="360"/>
        <w:rPr/>
      </w:pPr>
      <w:r w:rsidDel="00000000" w:rsidR="00000000" w:rsidRPr="00000000">
        <w:rPr>
          <w:rtl w:val="0"/>
        </w:rPr>
        <w:t xml:space="preserve">Proposed divestment from coal-based utilities in stock portfolio.</w:t>
      </w:r>
    </w:p>
    <w:p w:rsidR="00000000" w:rsidDel="00000000" w:rsidP="00000000" w:rsidRDefault="00000000" w:rsidRPr="00000000" w14:paraId="00000036">
      <w:pPr>
        <w:numPr>
          <w:ilvl w:val="1"/>
          <w:numId w:val="20"/>
        </w:numPr>
        <w:ind w:left="1440" w:hanging="360"/>
        <w:rPr/>
      </w:pPr>
      <w:r w:rsidDel="00000000" w:rsidR="00000000" w:rsidRPr="00000000">
        <w:rPr>
          <w:rtl w:val="0"/>
        </w:rPr>
        <w:t xml:space="preserve">Increase stake in companies with verified sustainability ratings.</w:t>
      </w:r>
    </w:p>
    <w:p w:rsidR="00000000" w:rsidDel="00000000" w:rsidP="00000000" w:rsidRDefault="00000000" w:rsidRPr="00000000" w14:paraId="00000037">
      <w:pPr>
        <w:numPr>
          <w:ilvl w:val="0"/>
          <w:numId w:val="20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Crypto Custody Enhancement: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20"/>
        </w:numPr>
        <w:ind w:left="1440" w:hanging="360"/>
        <w:rPr/>
      </w:pPr>
      <w:r w:rsidDel="00000000" w:rsidR="00000000" w:rsidRPr="00000000">
        <w:rPr>
          <w:rtl w:val="0"/>
        </w:rPr>
        <w:t xml:space="preserve">Migration of cold wallets to a multi-signature scheme by May 15.</w:t>
      </w:r>
    </w:p>
    <w:p w:rsidR="00000000" w:rsidDel="00000000" w:rsidP="00000000" w:rsidRDefault="00000000" w:rsidRPr="00000000" w14:paraId="00000039">
      <w:pPr>
        <w:numPr>
          <w:ilvl w:val="1"/>
          <w:numId w:val="20"/>
        </w:numPr>
        <w:ind w:left="1440" w:hanging="360"/>
        <w:rPr/>
      </w:pPr>
      <w:r w:rsidDel="00000000" w:rsidR="00000000" w:rsidRPr="00000000">
        <w:rPr>
          <w:rtl w:val="0"/>
        </w:rPr>
        <w:t xml:space="preserve">Initiated vendor assessment for insured custody providers.</w:t>
      </w:r>
    </w:p>
    <w:p w:rsidR="00000000" w:rsidDel="00000000" w:rsidP="00000000" w:rsidRDefault="00000000" w:rsidRPr="00000000" w14:paraId="0000003A">
      <w:pPr>
        <w:numPr>
          <w:ilvl w:val="0"/>
          <w:numId w:val="20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Research &amp; Development: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20"/>
        </w:numPr>
        <w:ind w:left="1440" w:hanging="360"/>
        <w:rPr/>
      </w:pPr>
      <w:r w:rsidDel="00000000" w:rsidR="00000000" w:rsidRPr="00000000">
        <w:rPr>
          <w:rtl w:val="0"/>
        </w:rPr>
        <w:t xml:space="preserve">Launch internal R&amp;D for AI-powered asset screening.</w:t>
      </w:r>
    </w:p>
    <w:p w:rsidR="00000000" w:rsidDel="00000000" w:rsidP="00000000" w:rsidRDefault="00000000" w:rsidRPr="00000000" w14:paraId="0000003C">
      <w:pPr>
        <w:numPr>
          <w:ilvl w:val="1"/>
          <w:numId w:val="20"/>
        </w:numPr>
        <w:ind w:left="1440" w:hanging="360"/>
        <w:rPr/>
      </w:pPr>
      <w:r w:rsidDel="00000000" w:rsidR="00000000" w:rsidRPr="00000000">
        <w:rPr>
          <w:rtl w:val="0"/>
        </w:rPr>
        <w:t xml:space="preserve">Allocate $150,000 for pilot testing of blockchain-based trade settlement.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b w:val="1"/>
          <w:rtl w:val="0"/>
        </w:rPr>
        <w:t xml:space="preserve">4. Regulatory &amp; Compliance Updates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i w:val="1"/>
          <w:rtl w:val="0"/>
        </w:rPr>
        <w:t xml:space="preserve">Presented by: Helen Liu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SEC's recent approval of spot Bitcoin ETFs expected to bring more retail volume.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New EU MiCA regulations for crypto platforms: Implementation needed by Q3.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Internal KYC/AML audit scheduled for May 10.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IRS digital asset reporting requirements expanded for FY2025.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b w:val="1"/>
          <w:rtl w:val="0"/>
        </w:rPr>
        <w:t xml:space="preserve">Action Items: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Update compliance policies for EU operations.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Begin quarterly legal reviews to track emerging global policies.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Align crypto asset reporting procedures with updated IRS guidance.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b w:val="1"/>
          <w:rtl w:val="0"/>
        </w:rPr>
        <w:t xml:space="preserve">5. Q&amp;A and Open Discussion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Alice Chen</w:t>
      </w:r>
      <w:r w:rsidDel="00000000" w:rsidR="00000000" w:rsidRPr="00000000">
        <w:rPr>
          <w:rtl w:val="0"/>
        </w:rPr>
        <w:t xml:space="preserve"> raised concerns about AI-driven trading algorithms increasing market correlation.</w:t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Sofia Ramos</w:t>
      </w:r>
      <w:r w:rsidDel="00000000" w:rsidR="00000000" w:rsidRPr="00000000">
        <w:rPr>
          <w:rtl w:val="0"/>
        </w:rPr>
        <w:t xml:space="preserve"> suggested exploring exposure to emerging markets (e.g., India &amp; Southeast Asia).</w:t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Derek Miles</w:t>
      </w:r>
      <w:r w:rsidDel="00000000" w:rsidR="00000000" w:rsidRPr="00000000">
        <w:rPr>
          <w:rtl w:val="0"/>
        </w:rPr>
        <w:t xml:space="preserve"> proposed creating an internal research group for DePIN and RWA crypto sectors.</w:t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John Whitman</w:t>
      </w:r>
      <w:r w:rsidDel="00000000" w:rsidR="00000000" w:rsidRPr="00000000">
        <w:rPr>
          <w:rtl w:val="0"/>
        </w:rPr>
        <w:t xml:space="preserve"> emphasized the need to improve internal collaboration tools and knowledge sharing across teams.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b w:val="1"/>
          <w:rtl w:val="0"/>
        </w:rPr>
        <w:t xml:space="preserve">Decisions Made: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Approved trial budget for DePIN/RWA research group.</w:t>
      </w:r>
    </w:p>
    <w:p w:rsidR="00000000" w:rsidDel="00000000" w:rsidP="00000000" w:rsidRDefault="00000000" w:rsidRPr="00000000" w14:paraId="00000050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Agreed to reallocate 2% of crypto portfolio to Solana ecosystem projects.</w:t>
      </w:r>
    </w:p>
    <w:p w:rsidR="00000000" w:rsidDel="00000000" w:rsidP="00000000" w:rsidRDefault="00000000" w:rsidRPr="00000000" w14:paraId="00000051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Initiated procurement process for new internal research collaboration platform.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b w:val="1"/>
          <w:rtl w:val="0"/>
        </w:rPr>
        <w:t xml:space="preserve">6. Client &amp; Partner Engagement Updates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i w:val="1"/>
          <w:rtl w:val="0"/>
        </w:rPr>
        <w:t xml:space="preserve">Presented by: Sofia Ramos &amp; John Whitman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New institutional client onboarded from Singapore.</w:t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Quarterly investor briefing scheduled for April 25.</w:t>
      </w:r>
    </w:p>
    <w:p w:rsidR="00000000" w:rsidDel="00000000" w:rsidP="00000000" w:rsidRDefault="00000000" w:rsidRPr="00000000" w14:paraId="00000057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Partnership talks initiated with a leading DeFi index protocol.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b w:val="1"/>
          <w:rtl w:val="0"/>
        </w:rPr>
        <w:t xml:space="preserve">Marketing Update: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Social media engagement up 14% QoQ.</w:t>
      </w:r>
    </w:p>
    <w:p w:rsidR="00000000" w:rsidDel="00000000" w:rsidP="00000000" w:rsidRDefault="00000000" w:rsidRPr="00000000" w14:paraId="0000005A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Planned whitepaper on "Sustainable Crypto Investing" in progress.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b w:val="1"/>
          <w:rtl w:val="0"/>
        </w:rPr>
        <w:t xml:space="preserve">7. Operational Improvements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i w:val="1"/>
          <w:rtl w:val="0"/>
        </w:rPr>
        <w:t xml:space="preserve">Presented by: Jake Morrison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Implemented ticketing system for trade reconciliation requests.</w:t>
      </w:r>
    </w:p>
    <w:p w:rsidR="00000000" w:rsidDel="00000000" w:rsidP="00000000" w:rsidRDefault="00000000" w:rsidRPr="00000000" w14:paraId="0000005F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Ongoing migration of internal dashboards to a unified BI platform.</w:t>
      </w:r>
    </w:p>
    <w:p w:rsidR="00000000" w:rsidDel="00000000" w:rsidP="00000000" w:rsidRDefault="00000000" w:rsidRPr="00000000" w14:paraId="00000060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Trading desk optimization reduced average execution latency by 11%.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b w:val="1"/>
          <w:rtl w:val="0"/>
        </w:rPr>
        <w:t xml:space="preserve">8. Human Resource &amp; Talent Development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i w:val="1"/>
          <w:rtl w:val="0"/>
        </w:rPr>
        <w:t xml:space="preserve">Presented by: Helen Liu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Recruitment underway for two new quantitative analysts and a blockchain developer.</w:t>
      </w:r>
    </w:p>
    <w:p w:rsidR="00000000" w:rsidDel="00000000" w:rsidP="00000000" w:rsidRDefault="00000000" w:rsidRPr="00000000" w14:paraId="00000065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Launched leadership development program for mid-level managers.</w:t>
      </w:r>
    </w:p>
    <w:p w:rsidR="00000000" w:rsidDel="00000000" w:rsidP="00000000" w:rsidRDefault="00000000" w:rsidRPr="00000000" w14:paraId="00000066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Performance review cycle to be updated with new KPIs focused on innovation and ESG alignment.</w:t>
      </w:r>
    </w:p>
    <w:p w:rsidR="00000000" w:rsidDel="00000000" w:rsidP="00000000" w:rsidRDefault="00000000" w:rsidRPr="00000000" w14:paraId="00000067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Internship program to expand with university partnerships across the US and Singapore.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b w:val="1"/>
          <w:rtl w:val="0"/>
        </w:rPr>
        <w:t xml:space="preserve">9. AI Investment &amp; Innovation Strategy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i w:val="1"/>
          <w:rtl w:val="0"/>
        </w:rPr>
        <w:t xml:space="preserve">Presented by: Alice Chen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Identified AI-driven asset managers for potential partnerships.</w:t>
      </w:r>
    </w:p>
    <w:p w:rsidR="00000000" w:rsidDel="00000000" w:rsidP="00000000" w:rsidRDefault="00000000" w:rsidRPr="00000000" w14:paraId="0000006C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Developing proprietary AI models for predictive market sentiment analysis.</w:t>
      </w:r>
    </w:p>
    <w:p w:rsidR="00000000" w:rsidDel="00000000" w:rsidP="00000000" w:rsidRDefault="00000000" w:rsidRPr="00000000" w14:paraId="0000006D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Exploring synthetic data generation for backtesting new crypto strategies.</w:t>
      </w:r>
    </w:p>
    <w:p w:rsidR="00000000" w:rsidDel="00000000" w:rsidP="00000000" w:rsidRDefault="00000000" w:rsidRPr="00000000" w14:paraId="0000006E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Internal hackathon on "AI x DeFi" scheduled for June 2025.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b w:val="1"/>
          <w:rtl w:val="0"/>
        </w:rPr>
        <w:t xml:space="preserve">10. Social Responsibility &amp; Charity Contributions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i w:val="1"/>
          <w:rtl w:val="0"/>
        </w:rPr>
        <w:t xml:space="preserve">Presented by: John Whitman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tl w:val="0"/>
        </w:rPr>
        <w:t xml:space="preserve">Approved $200,000 donation to global humanitarian funds, with focus on disaster recovery and financial education.</w:t>
      </w:r>
    </w:p>
    <w:p w:rsidR="00000000" w:rsidDel="00000000" w:rsidP="00000000" w:rsidRDefault="00000000" w:rsidRPr="00000000" w14:paraId="00000073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tl w:val="0"/>
        </w:rPr>
        <w:t xml:space="preserve">Partnered with NGOs to support blockchain-based aid tracking.</w:t>
      </w:r>
    </w:p>
    <w:p w:rsidR="00000000" w:rsidDel="00000000" w:rsidP="00000000" w:rsidRDefault="00000000" w:rsidRPr="00000000" w14:paraId="00000074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tl w:val="0"/>
        </w:rPr>
        <w:t xml:space="preserve">Created volunteer opportunities for staff to mentor underserved youth in financial literacy.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b w:val="1"/>
          <w:rtl w:val="0"/>
        </w:rPr>
        <w:t xml:space="preserve">Next Steps &amp; Follow-Ups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rtl w:val="0"/>
        </w:rPr>
        <w:t xml:space="preserve">Finalize crypto custody migration plan by April 30.</w:t>
      </w:r>
    </w:p>
    <w:p w:rsidR="00000000" w:rsidDel="00000000" w:rsidP="00000000" w:rsidRDefault="00000000" w:rsidRPr="00000000" w14:paraId="00000078">
      <w:pPr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rtl w:val="0"/>
        </w:rPr>
        <w:t xml:space="preserve">Present ESG-compliant investment shortlist by May 5.</w:t>
      </w:r>
    </w:p>
    <w:p w:rsidR="00000000" w:rsidDel="00000000" w:rsidP="00000000" w:rsidRDefault="00000000" w:rsidRPr="00000000" w14:paraId="00000079">
      <w:pPr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rtl w:val="0"/>
        </w:rPr>
        <w:t xml:space="preserve">Schedule mid-quarter performance review on May 20.</w:t>
      </w:r>
    </w:p>
    <w:p w:rsidR="00000000" w:rsidDel="00000000" w:rsidP="00000000" w:rsidRDefault="00000000" w:rsidRPr="00000000" w14:paraId="0000007A">
      <w:pPr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rtl w:val="0"/>
        </w:rPr>
        <w:t xml:space="preserve">Launch beta of AI screening model by June 10.</w:t>
      </w:r>
    </w:p>
    <w:p w:rsidR="00000000" w:rsidDel="00000000" w:rsidP="00000000" w:rsidRDefault="00000000" w:rsidRPr="00000000" w14:paraId="0000007B">
      <w:pPr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rtl w:val="0"/>
        </w:rPr>
        <w:t xml:space="preserve">Submit draft of sustainability whitepaper by June 1.</w:t>
      </w:r>
    </w:p>
    <w:p w:rsidR="00000000" w:rsidDel="00000000" w:rsidP="00000000" w:rsidRDefault="00000000" w:rsidRPr="00000000" w14:paraId="0000007C">
      <w:pPr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rtl w:val="0"/>
        </w:rPr>
        <w:t xml:space="preserve">Publish internal HR policy updates by May 15.</w:t>
      </w:r>
    </w:p>
    <w:p w:rsidR="00000000" w:rsidDel="00000000" w:rsidP="00000000" w:rsidRDefault="00000000" w:rsidRPr="00000000" w14:paraId="0000007D">
      <w:pPr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rtl w:val="0"/>
        </w:rPr>
        <w:t xml:space="preserve">Announce selected AI partnership candidates by June 5.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b w:val="1"/>
          <w:rtl w:val="0"/>
        </w:rPr>
        <w:t xml:space="preserve">Meeting Adjourned: 11:42 AM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Minutes Prepared by:</w:t>
      </w:r>
      <w:r w:rsidDel="00000000" w:rsidR="00000000" w:rsidRPr="00000000">
        <w:rPr>
          <w:rtl w:val="0"/>
        </w:rPr>
        <w:t xml:space="preserve"> Jake Morrison </w:t>
      </w:r>
      <w:r w:rsidDel="00000000" w:rsidR="00000000" w:rsidRPr="00000000">
        <w:rPr>
          <w:b w:val="1"/>
          <w:rtl w:val="0"/>
        </w:rPr>
        <w:t xml:space="preserve">Document Reference:</w:t>
      </w:r>
      <w:r w:rsidDel="00000000" w:rsidR="00000000" w:rsidRPr="00000000">
        <w:rPr>
          <w:rtl w:val="0"/>
        </w:rPr>
        <w:t xml:space="preserve"> IM-APR-2025-MEETING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-ID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