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color w:val="4F46B2"/>
          <w:sz w:val="18"/>
          <w:szCs w:val="18"/>
        </w:rPr>
        <w:t xml:space="preserve">RESEARCH PROPOSAL  ·  v1.3</w:t>
      </w:r>
    </w:p>
    <w:p>
      <w:pPr>
        <w:spacing w:after="160" w:before="0"/>
      </w:pPr>
      <w:r>
        <w:rPr>
          <w:rFonts w:ascii="Georgia" w:cs="Georgia" w:eastAsia="Georgia" w:hAnsi="Georgia"/>
          <w:b/>
          <w:bCs/>
          <w:color w:val="1A1916"/>
          <w:sz w:val="36"/>
          <w:szCs w:val="36"/>
        </w:rPr>
        <w:t xml:space="preserve">Detecting and Repairing Coherence Failures
in Long-Horizon AI Agents</w:t>
      </w:r>
    </w:p>
    <w:p>
      <w:pPr>
        <w:pBdr>
          <w:bottom w:val="single" w:color="4F46B2" w:sz="3" w:space="6"/>
        </w:pBdr>
        <w:spacing w:after="200" w:before="0"/>
      </w:pPr>
      <w:r>
        <w:rPr>
          <w:rFonts w:ascii="Georgia" w:cs="Georgia" w:eastAsia="Georgia" w:hAnsi="Georgia"/>
          <w:i/>
          <w:iCs/>
          <w:color w:val="5A5855"/>
          <w:sz w:val="24"/>
          <w:szCs w:val="24"/>
        </w:rPr>
        <w:t xml:space="preserve">A Benchmark for Self-Monitoring, Goal Stability, and Structural Recovery</w:t>
      </w:r>
    </w:p>
    <w:p>
      <w:pPr>
        <w:spacing w:after="40" w:before="120"/>
      </w:pPr>
      <w:r>
        <w:rPr>
          <w:rFonts w:ascii="Georgia" w:cs="Georgia" w:eastAsia="Georgia" w:hAnsi="Georgia"/>
          <w:b/>
          <w:bCs/>
          <w:color w:val="1A1916"/>
          <w:sz w:val="20"/>
          <w:szCs w:val="20"/>
        </w:rPr>
        <w:t xml:space="preserve">Sergejs Kaminovs</w:t>
      </w:r>
      <w:r>
        <w:rPr>
          <w:rFonts w:ascii="Georgia" w:cs="Georgia" w:eastAsia="Georgia" w:hAnsi="Georgia"/>
          <w:color w:val="5A5855"/>
          <w:sz w:val="20"/>
          <w:szCs w:val="20"/>
        </w:rPr>
        <w:t xml:space="preserve">     •     Independent Researcher in AI Coherence &amp; Consciousness Studies</w:t>
      </w:r>
    </w:p>
    <w:p>
      <w:pPr>
        <w:spacing w:after="280" w:before="0"/>
      </w:pPr>
      <w:r>
        <w:rPr>
          <w:rFonts w:ascii="Georgia" w:cs="Georgia" w:eastAsia="Georgia" w:hAnsi="Georgia"/>
          <w:b/>
          <w:bCs/>
          <w:color w:val="5A5855"/>
          <w:sz w:val="18"/>
          <w:szCs w:val="18"/>
        </w:rPr>
        <w:t xml:space="preserve">Builds on: </w:t>
      </w:r>
      <w:r>
        <w:rPr>
          <w:rFonts w:ascii="Georgia" w:cs="Georgia" w:eastAsia="Georgia" w:hAnsi="Georgia"/>
          <w:color w:val="5A5855"/>
          <w:sz w:val="18"/>
          <w:szCs w:val="18"/>
        </w:rPr>
        <w:t xml:space="preserve">Foundations of Coherent AI (FCAC) · Coherence Diagnostic Framework · A-Test Protocol · Coherence State Selection</w:t>
      </w:r>
    </w:p>
    <w:p>
      <w:pPr>
        <w:pBdr>
          <w:bottom w:val="single" w:color="4F46B2" w:sz="2" w:space="2"/>
        </w:pBdr>
        <w:spacing w:after="100" w:before="260"/>
      </w:pPr>
      <w:r>
        <w:rPr>
          <w:rFonts w:ascii="Georgia" w:cs="Georgia" w:eastAsia="Georgia" w:hAnsi="Georgia"/>
          <w:b/>
          <w:bCs/>
          <w:color w:val="4F46B2"/>
          <w:sz w:val="26"/>
          <w:szCs w:val="26"/>
        </w:rPr>
        <w:t xml:space="preserve">1. The Central Claim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B2" w:sz="4"/>
              <w:left w:val="single" w:color="4F46B2" w:sz="8"/>
              <w:bottom w:val="single" w:color="4F46B2" w:sz="1"/>
              <w:right w:val="single" w:color="4F46B2" w:sz="1"/>
            </w:tcBorders>
            <w:shd w:fill="EAE8FC" w:val="clear"/>
            <w:tcMar>
              <w:top w:type="dxa" w:w="120"/>
              <w:left w:type="dxa" w:w="200"/>
              <w:bottom w:type="dxa" w:w="120"/>
              <w:right w:type="dxa" w:w="200"/>
            </w:tcMar>
          </w:tcPr>
          <w:p>
            <w:pPr>
              <w:spacing w:after="0" w:before="0"/>
            </w:pPr>
            <w:r>
              <w:rPr>
                <w:rFonts w:ascii="Georgia" w:cs="Georgia" w:eastAsia="Georgia" w:hAnsi="Georgia"/>
                <w:i/>
                <w:iCs/>
                <w:color w:val="1A1916"/>
                <w:sz w:val="22"/>
                <w:szCs w:val="22"/>
              </w:rPr>
              <w:t xml:space="preserve">“Current AI evaluation primarily measures whether systems remain coherent.  We measure whether they can detect, diagnose, and recover from their own coherence failures.”</w:t>
            </w:r>
          </w:p>
        </w:tc>
      </w:tr>
    </w:tbl>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2. The Problem</w:t>
      </w:r>
    </w:p>
    <w:p>
      <w:pPr>
        <w:spacing w:after="80" w:before="80"/>
      </w:pPr>
      <w:r>
        <w:rPr>
          <w:rFonts w:ascii="Georgia" w:cs="Georgia" w:eastAsia="Georgia" w:hAnsi="Georgia"/>
          <w:color w:val="1A1916"/>
          <w:sz w:val="22"/>
          <w:szCs w:val="22"/>
        </w:rPr>
        <w:t xml:space="preserve">Long-horizon AI agents increasingly fail not with a visible crash but with </w:t>
      </w:r>
      <w:r>
        <w:rPr>
          <w:rFonts w:ascii="Georgia" w:cs="Georgia" w:eastAsia="Georgia" w:hAnsi="Georgia"/>
          <w:b/>
          <w:bCs/>
          <w:color w:val="1A1916"/>
          <w:sz w:val="22"/>
          <w:szCs w:val="22"/>
        </w:rPr>
        <w:t xml:space="preserve">silent structural decay</w:t>
      </w:r>
      <w:r>
        <w:rPr>
          <w:rFonts w:ascii="Georgia" w:cs="Georgia" w:eastAsia="Georgia" w:hAnsi="Georgia"/>
          <w:color w:val="1A1916"/>
          <w:sz w:val="22"/>
          <w:szCs w:val="22"/>
        </w:rPr>
        <w:t xml:space="preserve">. A model may appear confident while its goal has drifted, its memory has become contradictory, or its causal reasoning has broken down. By the time the failure is visible in outputs, the internal damage may have propagated through many subsequent reasoning steps and become increasingly difficult to detect.</w:t>
      </w:r>
    </w:p>
    <w:p>
      <w:pPr>
        <w:spacing w:after="40" w:before="80"/>
      </w:pPr>
      <w:r>
        <w:t xml:space="preserve"/>
      </w:r>
    </w:p>
    <w:p>
      <w:pPr>
        <w:spacing w:after="80" w:before="80"/>
      </w:pPr>
      <w:r>
        <w:rPr>
          <w:rFonts w:ascii="Georgia" w:cs="Georgia" w:eastAsia="Georgia" w:hAnsi="Georgia"/>
          <w:color w:val="1A1916"/>
          <w:sz w:val="22"/>
          <w:szCs w:val="22"/>
        </w:rPr>
        <w:t xml:space="preserve">Three compounding dynamics drive this:</w:t>
      </w:r>
    </w:p>
    <w:p>
      <w:pPr>
        <w:pStyle w:val="ListParagraph"/>
        <w:numPr>
          <w:ilvl w:val="0"/>
          <w:numId w:val="2"/>
        </w:numPr>
        <w:spacing w:after="50" w:before="50"/>
      </w:pPr>
      <w:r>
        <w:rPr>
          <w:rFonts w:ascii="Georgia" w:cs="Georgia" w:eastAsia="Georgia" w:hAnsi="Georgia"/>
          <w:b/>
          <w:bCs/>
          <w:color w:val="1A1916"/>
          <w:sz w:val="22"/>
          <w:szCs w:val="22"/>
        </w:rPr>
        <w:t xml:space="preserve">Context diffusion. </w:t>
      </w:r>
      <w:r>
        <w:rPr>
          <w:rFonts w:ascii="Georgia" w:cs="Georgia" w:eastAsia="Georgia" w:hAnsi="Georgia"/>
          <w:color w:val="1A1916"/>
          <w:sz w:val="22"/>
          <w:szCs w:val="22"/>
        </w:rPr>
        <w:t xml:space="preserve">Agent state degrades over long task horizons as attention dilutes across thousands of tokens.</w:t>
      </w:r>
    </w:p>
    <w:p>
      <w:pPr>
        <w:pStyle w:val="ListParagraph"/>
        <w:numPr>
          <w:ilvl w:val="0"/>
          <w:numId w:val="2"/>
        </w:numPr>
        <w:spacing w:after="50" w:before="50"/>
      </w:pPr>
      <w:r>
        <w:rPr>
          <w:rFonts w:ascii="Georgia" w:cs="Georgia" w:eastAsia="Georgia" w:hAnsi="Georgia"/>
          <w:b/>
          <w:bCs/>
          <w:color w:val="1A1916"/>
          <w:sz w:val="22"/>
          <w:szCs w:val="22"/>
        </w:rPr>
        <w:t xml:space="preserve">Silent goal drift. </w:t>
      </w:r>
      <w:r>
        <w:rPr>
          <w:rFonts w:ascii="Georgia" w:cs="Georgia" w:eastAsia="Georgia" w:hAnsi="Georgia"/>
          <w:color w:val="1A1916"/>
          <w:sz w:val="22"/>
          <w:szCs w:val="22"/>
        </w:rPr>
        <w:t xml:space="preserve">Iterative sub-task solving gradually shifts the agent’s operative objective away from the original instruction.</w:t>
      </w:r>
    </w:p>
    <w:p>
      <w:pPr>
        <w:pStyle w:val="ListParagraph"/>
        <w:numPr>
          <w:ilvl w:val="0"/>
          <w:numId w:val="2"/>
        </w:numPr>
        <w:spacing w:after="50" w:before="50"/>
      </w:pPr>
      <w:r>
        <w:rPr>
          <w:rFonts w:ascii="Georgia" w:cs="Georgia" w:eastAsia="Georgia" w:hAnsi="Georgia"/>
          <w:b/>
          <w:bCs/>
          <w:color w:val="1A1916"/>
          <w:sz w:val="22"/>
          <w:szCs w:val="22"/>
        </w:rPr>
        <w:t xml:space="preserve">Repair-induced cascade. </w:t>
      </w:r>
      <w:r>
        <w:rPr>
          <w:rFonts w:ascii="Georgia" w:cs="Georgia" w:eastAsia="Georgia" w:hAnsi="Georgia"/>
          <w:color w:val="1A1916"/>
          <w:sz w:val="22"/>
          <w:szCs w:val="22"/>
        </w:rPr>
        <w:t xml:space="preserve">When agents do attempt self-correction, fixing one incoherence frequently destabilises adjacent reasoning structures — producing a new failure that is harder to detect than the first.</w:t>
      </w:r>
    </w:p>
    <w:p>
      <w:pPr>
        <w:spacing w:after="60" w:before="8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3. The Gap in Current AI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4F46B2" w:sz="1"/>
              <w:left w:val="single" w:color="4F46B2" w:sz="1"/>
              <w:bottom w:val="single" w:color="4F46B2" w:sz="1"/>
              <w:right w:val="single" w:color="4F46B2" w:sz="1"/>
            </w:tcBorders>
            <w:shd w:fill="4F46B2" w:val="clear"/>
            <w:tcMar>
              <w:top w:type="dxa" w:w="80"/>
              <w:left w:type="dxa" w:w="120"/>
              <w:bottom w:type="dxa" w:w="80"/>
              <w:right w:type="dxa" w:w="120"/>
            </w:tcMar>
          </w:tcPr>
          <w:p>
            <w:pPr>
              <w:spacing w:after="0" w:before="0"/>
            </w:pPr>
            <w:r>
              <w:rPr>
                <w:rFonts w:ascii="Georgia" w:cs="Georgia" w:eastAsia="Georgia" w:hAnsi="Georgia"/>
                <w:b/>
                <w:bCs/>
                <w:color w:val="FFFFFF"/>
                <w:sz w:val="20"/>
                <w:szCs w:val="20"/>
              </w:rPr>
              <w:t xml:space="preserve">What existing benchmarks measure</w:t>
            </w:r>
          </w:p>
        </w:tc>
        <w:tc>
          <w:tcPr>
            <w:tcW w:type="dxa" w:w="5160"/>
            <w:tcBorders>
              <w:top w:val="single" w:color="4F46B2" w:sz="1"/>
              <w:left w:val="single" w:color="4F46B2" w:sz="1"/>
              <w:bottom w:val="single" w:color="4F46B2" w:sz="1"/>
              <w:right w:val="single" w:color="4F46B2" w:sz="1"/>
            </w:tcBorders>
            <w:shd w:fill="4F46B2" w:val="clear"/>
            <w:tcMar>
              <w:top w:type="dxa" w:w="80"/>
              <w:left w:type="dxa" w:w="120"/>
              <w:bottom w:type="dxa" w:w="80"/>
              <w:right w:type="dxa" w:w="120"/>
            </w:tcMar>
          </w:tcPr>
          <w:p>
            <w:pPr>
              <w:spacing w:after="0" w:before="0"/>
            </w:pPr>
            <w:r>
              <w:rPr>
                <w:rFonts w:ascii="Georgia" w:cs="Georgia" w:eastAsia="Georgia" w:hAnsi="Georgia"/>
                <w:b/>
                <w:bCs/>
                <w:color w:val="FFFFFF"/>
                <w:sz w:val="20"/>
                <w:szCs w:val="20"/>
              </w:rPr>
              <w:t xml:space="preserve">What this work adds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Final output correctness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Internal coherence across task duration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Behavioural compliance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Structural self-consistency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Whether failure occurs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Whether the agent detects &amp; repairs failure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Static capability snapshots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Dynamic stability under perturbation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Human-rated output quality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Georgia" w:cs="Georgia" w:eastAsia="Georgia" w:hAnsi="Georgia"/>
                <w:color w:val="1A1916"/>
                <w:sz w:val="20"/>
                <w:szCs w:val="20"/>
              </w:rPr>
              <w:t xml:space="preserve">Measurable internal coherence metrics</w:t>
            </w:r>
          </w:p>
        </w:tc>
      </w:tr>
    </w:tbl>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4. Proposed Metric: Cₛₑₚₐᵢᵣ</w:t>
      </w:r>
    </w:p>
    <w:p>
      <w:pPr>
        <w:spacing w:after="80" w:before="80"/>
      </w:pPr>
      <w:r>
        <w:rPr>
          <w:rFonts w:ascii="Georgia" w:cs="Georgia" w:eastAsia="Georgia" w:hAnsi="Georgia"/>
          <w:color w:val="1A1916"/>
          <w:sz w:val="22"/>
          <w:szCs w:val="22"/>
        </w:rPr>
        <w:t xml:space="preserve">We define the </w:t>
      </w:r>
      <w:r>
        <w:rPr>
          <w:rFonts w:ascii="Georgia" w:cs="Georgia" w:eastAsia="Georgia" w:hAnsi="Georgia"/>
          <w:b/>
          <w:bCs/>
          <w:color w:val="1A1916"/>
          <w:sz w:val="22"/>
          <w:szCs w:val="22"/>
        </w:rPr>
        <w:t xml:space="preserve">Coherence Repair Score</w:t>
      </w:r>
      <w:r>
        <w:rPr>
          <w:rFonts w:ascii="Georgia" w:cs="Georgia" w:eastAsia="Georgia" w:hAnsi="Georgia"/>
          <w:color w:val="1A1916"/>
          <w:sz w:val="22"/>
          <w:szCs w:val="22"/>
        </w:rPr>
        <w:t xml:space="preserve"> as: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B2" w:sz="4"/>
              <w:left w:val="single" w:color="4F46B2" w:sz="8"/>
              <w:bottom w:val="single" w:color="4F46B2" w:sz="1"/>
              <w:right w:val="single" w:color="4F46B2" w:sz="1"/>
            </w:tcBorders>
            <w:shd w:fill="EAE8FC" w:val="clear"/>
            <w:tcMar>
              <w:top w:type="dxa" w:w="120"/>
              <w:left w:type="dxa" w:w="200"/>
              <w:bottom w:type="dxa" w:w="120"/>
              <w:right w:type="dxa" w:w="200"/>
            </w:tcMar>
          </w:tcPr>
          <w:p>
            <w:pPr>
              <w:spacing w:after="40" w:before="40"/>
              <w:jc w:val="center"/>
            </w:pPr>
            <w:r>
              <w:rPr>
                <w:rFonts w:ascii="Courier New" w:cs="Courier New" w:eastAsia="Courier New" w:hAnsi="Courier New"/>
                <w:b/>
                <w:bCs/>
                <w:color w:val="4F46B2"/>
                <w:sz w:val="26"/>
                <w:szCs w:val="26"/>
              </w:rPr>
              <w:t xml:space="preserve">Cₛₑₚₐᵢᵣ  =  D × R × V × S     where  D, R, V, S ∈ [0, 1]</w:t>
            </w:r>
          </w:p>
        </w:tc>
      </w:tr>
    </w:tbl>
    <w:p>
      <w:pPr>
        <w:spacing w:after="60" w:before="120"/>
      </w:pPr>
      <w:r>
        <w:t xml:space="preserve"/>
      </w:r>
    </w:p>
    <w:p>
      <w:pPr>
        <w:spacing w:after="80" w:before="80"/>
      </w:pPr>
      <w:r>
        <w:rPr>
          <w:rFonts w:ascii="Georgia" w:cs="Georgia" w:eastAsia="Georgia" w:hAnsi="Georgia"/>
          <w:color w:val="1A1916"/>
          <w:sz w:val="22"/>
          <w:szCs w:val="22"/>
        </w:rPr>
        <w:t xml:space="preserve">The multiplicative structure is deliberate: if any single component is zero, the full score collapses. A system that detects but never repairs, or repairs but skips verification, is as dangerous as one that never detected the failure at all. This captures the </w:t>
      </w:r>
      <w:r>
        <w:rPr>
          <w:rFonts w:ascii="Georgia" w:cs="Georgia" w:eastAsia="Georgia" w:hAnsi="Georgia"/>
          <w:b/>
          <w:bCs/>
          <w:color w:val="1A1916"/>
          <w:sz w:val="22"/>
          <w:szCs w:val="22"/>
        </w:rPr>
        <w:t xml:space="preserve">silent failure</w:t>
      </w:r>
      <w:r>
        <w:rPr>
          <w:rFonts w:ascii="Georgia" w:cs="Georgia" w:eastAsia="Georgia" w:hAnsi="Georgia"/>
          <w:color w:val="1A1916"/>
          <w:sz w:val="22"/>
          <w:szCs w:val="22"/>
        </w:rPr>
        <w:t xml:space="preserve"> problem precisely.</w:t>
      </w:r>
    </w:p>
    <w:p>
      <w:pPr>
        <w:spacing w:after="60" w:before="120"/>
      </w:pPr>
      <w:r>
        <w:t xml:space="preserve"/>
      </w:r>
    </w:p>
    <w:p>
      <w:pPr>
        <w:spacing w:after="80" w:before="80"/>
      </w:pPr>
      <w:r>
        <w:rPr>
          <w:rFonts w:ascii="Georgia" w:cs="Georgia" w:eastAsia="Georgia" w:hAnsi="Georgia"/>
          <w:b/>
          <w:bCs/>
          <w:color w:val="1A1916"/>
          <w:sz w:val="22"/>
          <w:szCs w:val="22"/>
        </w:rPr>
        <w:t xml:space="preserve">Component definitions and measurement: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600"/>
        <w:gridCol w:w="2430"/>
        <w:gridCol w:w="2430"/>
      </w:tblGrid>
      <w:tr>
        <w:tc>
          <w:tcPr>
            <w:tcW w:type="dxa" w:w="90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i w:val="false"/>
                <w:iCs w:val="false"/>
                <w:color w:val="FFFFFF"/>
                <w:sz w:val="18"/>
                <w:szCs w:val="18"/>
              </w:rPr>
              <w:t xml:space="preserve">Component</w:t>
            </w:r>
          </w:p>
        </w:tc>
        <w:tc>
          <w:tcPr>
            <w:tcW w:type="dxa" w:w="100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i w:val="false"/>
                <w:iCs w:val="false"/>
                <w:color w:val="FFFFFF"/>
                <w:sz w:val="18"/>
                <w:szCs w:val="18"/>
              </w:rPr>
              <w:t xml:space="preserve">Range</w:t>
            </w:r>
          </w:p>
        </w:tc>
        <w:tc>
          <w:tcPr>
            <w:tcW w:type="dxa" w:w="260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i w:val="false"/>
                <w:iCs w:val="false"/>
                <w:color w:val="FFFFFF"/>
                <w:sz w:val="18"/>
                <w:szCs w:val="18"/>
              </w:rPr>
              <w:t xml:space="preserve">Measurement</w:t>
            </w:r>
          </w:p>
        </w:tc>
        <w:tc>
          <w:tcPr>
            <w:tcW w:type="dxa" w:w="243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i w:val="false"/>
                <w:iCs w:val="false"/>
                <w:color w:val="FFFFFF"/>
                <w:sz w:val="18"/>
                <w:szCs w:val="18"/>
              </w:rPr>
              <w:t xml:space="preserve">Example: score 1</w:t>
            </w:r>
          </w:p>
        </w:tc>
        <w:tc>
          <w:tcPr>
            <w:tcW w:type="dxa" w:w="243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i w:val="false"/>
                <w:iCs w:val="false"/>
                <w:color w:val="FFFFFF"/>
                <w:sz w:val="18"/>
                <w:szCs w:val="18"/>
              </w:rPr>
              <w:t xml:space="preserve">Example: score 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i w:val="false"/>
                <w:iCs w:val="false"/>
                <w:color w:val="1A1916"/>
                <w:sz w:val="17"/>
                <w:szCs w:val="17"/>
              </w:rPr>
              <w:t xml:space="preserve">D
Detection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[0,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Autonomy of failure detection</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Agent flags contradiction without any external cue</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Agent never notices the injected failure</w:t>
            </w:r>
          </w:p>
        </w:tc>
      </w:tr>
      <w:tr>
        <w:tc>
          <w:tcPr>
            <w:tcW w:type="dxa" w:w="900"/>
            <w:tcBorders>
              <w:top w:val="single" w:color="CCCCCC" w:sz="1"/>
              <w:left w:val="single" w:color="CCCCCC" w:sz="1"/>
              <w:bottom w:val="single" w:color="CCCCCC" w:sz="1"/>
              <w:right w:val="single" w:color="CCCCCC" w:sz="1"/>
            </w:tcBorders>
            <w:shd w:fill="F4F3E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5A5855"/>
                <w:sz w:val="17"/>
                <w:szCs w:val="17"/>
              </w:rPr>
              <w:t xml:space="preserve"/>
            </w:r>
          </w:p>
        </w:tc>
        <w:tc>
          <w:tcPr>
            <w:tcW w:type="dxa" w:w="1000"/>
            <w:tcBorders>
              <w:top w:val="single" w:color="CCCCCC" w:sz="1"/>
              <w:left w:val="single" w:color="CCCCCC" w:sz="1"/>
              <w:bottom w:val="single" w:color="CCCCCC" w:sz="1"/>
              <w:right w:val="single" w:color="CCCCCC" w:sz="1"/>
            </w:tcBorders>
            <w:shd w:fill="F4F3E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5A5855"/>
                <w:sz w:val="17"/>
                <w:szCs w:val="17"/>
              </w:rPr>
              <w:t xml:space="preserve"/>
            </w:r>
          </w:p>
        </w:tc>
        <w:tc>
          <w:tcPr>
            <w:tcW w:type="dxa" w:w="2600"/>
            <w:tcBorders>
              <w:top w:val="single" w:color="CCCCCC" w:sz="1"/>
              <w:left w:val="single" w:color="CCCCCC" w:sz="1"/>
              <w:bottom w:val="single" w:color="CCCCCC" w:sz="1"/>
              <w:right w:val="single" w:color="CCCCCC" w:sz="1"/>
            </w:tcBorders>
            <w:shd w:fill="F4F3EF" w:val="clear"/>
            <w:tcMar>
              <w:top w:type="dxa" w:w="60"/>
              <w:left w:type="dxa" w:w="100"/>
              <w:bottom w:type="dxa" w:w="60"/>
              <w:right w:type="dxa" w:w="80"/>
            </w:tcMar>
          </w:tcPr>
          <w:p>
            <w:pPr>
              <w:spacing w:after="0" w:before="0"/>
            </w:pPr>
            <w:r>
              <w:rPr>
                <w:rFonts w:ascii="Georgia" w:cs="Georgia" w:eastAsia="Georgia" w:hAnsi="Georgia"/>
                <w:b w:val="false"/>
                <w:bCs w:val="false"/>
                <w:i/>
                <w:iCs/>
                <w:color w:val="5A5855"/>
                <w:sz w:val="17"/>
                <w:szCs w:val="17"/>
              </w:rPr>
              <w:t xml:space="preserve">0.5 = detection after soft cue
1 = autonomous
0 = missed</w:t>
            </w:r>
          </w:p>
        </w:tc>
        <w:tc>
          <w:tcPr>
            <w:tcW w:type="dxa" w:w="2430"/>
            <w:tcBorders>
              <w:top w:val="single" w:color="CCCCCC" w:sz="1"/>
              <w:left w:val="single" w:color="CCCCCC" w:sz="1"/>
              <w:bottom w:val="single" w:color="CCCCCC" w:sz="1"/>
              <w:right w:val="single" w:color="CCCCCC" w:sz="1"/>
            </w:tcBorders>
            <w:shd w:fill="F4F3E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5A5855"/>
                <w:sz w:val="17"/>
                <w:szCs w:val="17"/>
              </w:rPr>
              <w:t xml:space="preserve"/>
            </w:r>
          </w:p>
        </w:tc>
        <w:tc>
          <w:tcPr>
            <w:tcW w:type="dxa" w:w="2430"/>
            <w:tcBorders>
              <w:top w:val="single" w:color="CCCCCC" w:sz="1"/>
              <w:left w:val="single" w:color="CCCCCC" w:sz="1"/>
              <w:bottom w:val="single" w:color="CCCCCC" w:sz="1"/>
              <w:right w:val="single" w:color="CCCCCC" w:sz="1"/>
            </w:tcBorders>
            <w:shd w:fill="F4F3E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5A5855"/>
                <w:sz w:val="17"/>
                <w:szCs w:val="17"/>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i w:val="false"/>
                <w:iCs w:val="false"/>
                <w:color w:val="1A1916"/>
                <w:sz w:val="17"/>
                <w:szCs w:val="17"/>
              </w:rPr>
              <w:t xml:space="preserve">R
Repair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[0,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Fraction of identified inconsistency resolved</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Memory conflict fully resolved, reasoning resumes correctly</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Agent acknowledges failure but produces no corrected state</w:t>
            </w:r>
          </w:p>
        </w:tc>
      </w:tr>
      <w:tr>
        <w:tc>
          <w:tcPr>
            <w:tcW w:type="dxa" w:w="90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bCs/>
                <w:i w:val="false"/>
                <w:iCs w:val="false"/>
                <w:color w:val="1A1916"/>
                <w:sz w:val="17"/>
                <w:szCs w:val="17"/>
              </w:rPr>
              <w:t xml:space="preserve">V
Verification</w:t>
            </w:r>
          </w:p>
        </w:tc>
        <w:tc>
          <w:tcPr>
            <w:tcW w:type="dxa" w:w="100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[0, 1]</w:t>
            </w:r>
          </w:p>
        </w:tc>
        <w:tc>
          <w:tcPr>
            <w:tcW w:type="dxa" w:w="260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Rate of successful self-validation after repair</w:t>
            </w:r>
          </w:p>
        </w:tc>
        <w:tc>
          <w:tcPr>
            <w:tcW w:type="dxa" w:w="243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Agent explicitly checks repaired state against original goal</w:t>
            </w:r>
          </w:p>
        </w:tc>
        <w:tc>
          <w:tcPr>
            <w:tcW w:type="dxa" w:w="243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Agent declares repair complete without checking downstream effects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i w:val="false"/>
                <w:iCs w:val="false"/>
                <w:color w:val="1A1916"/>
                <w:sz w:val="17"/>
                <w:szCs w:val="17"/>
              </w:rPr>
              <w:t xml:space="preserve">S
Stability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[0,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Downstream coherence preservation score post-repair</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All six task-level coherence sub-scores remain at or above pre-repair baseline: (1) memory consistency, (2) goal consistency, (3) causal consistency, (4) identity consistency, (5) planning consistency, (6) state continuity</w:t>
            </w:r>
          </w:p>
        </w:tc>
        <w:tc>
          <w:tcPr>
            <w:tcW w:type="dxa" w:w="2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i w:val="false"/>
                <w:iCs w:val="false"/>
                <w:color w:val="1A1916"/>
                <w:sz w:val="17"/>
                <w:szCs w:val="17"/>
              </w:rPr>
              <w:t xml:space="preserve">Repair resolves memory conflict but triggers goal drift</w:t>
            </w:r>
          </w:p>
        </w:tc>
      </w:tr>
    </w:tbl>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5. Failure Taxonomy</w:t>
      </w:r>
    </w:p>
    <w:p>
      <w:pPr>
        <w:spacing w:after="80" w:before="80"/>
      </w:pPr>
      <w:r>
        <w:rPr>
          <w:rFonts w:ascii="Georgia" w:cs="Georgia" w:eastAsia="Georgia" w:hAnsi="Georgia"/>
          <w:color w:val="1A1916"/>
          <w:sz w:val="22"/>
          <w:szCs w:val="22"/>
        </w:rPr>
        <w:t xml:space="preserve">The benchmark covers six failure types, ordered by cascade risk. The design follows a </w:t>
      </w:r>
      <w:r>
        <w:rPr>
          <w:rFonts w:ascii="Georgia" w:cs="Georgia" w:eastAsia="Georgia" w:hAnsi="Georgia"/>
          <w:b/>
          <w:bCs/>
          <w:color w:val="1A1916"/>
          <w:sz w:val="22"/>
          <w:szCs w:val="22"/>
        </w:rPr>
        <w:t xml:space="preserve">6 types × 5 scenarios = 30 total</w:t>
      </w:r>
      <w:r>
        <w:rPr>
          <w:rFonts w:ascii="Georgia" w:cs="Georgia" w:eastAsia="Georgia" w:hAnsi="Georgia"/>
          <w:color w:val="1A1916"/>
          <w:sz w:val="22"/>
          <w:szCs w:val="22"/>
        </w:rPr>
        <w:t xml:space="preserve"> structure, making the sample size principled rather than arbitrary:</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560"/>
        <w:gridCol w:w="1560"/>
        <w:gridCol w:w="1560"/>
        <w:gridCol w:w="1560"/>
        <w:gridCol w:w="1740"/>
      </w:tblGrid>
      <w:tr>
        <w:tc>
          <w:tcPr>
            <w:tcW w:type="dxa" w:w="138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Failure Type</w:t>
            </w:r>
          </w:p>
        </w:tc>
        <w:tc>
          <w:tcPr>
            <w:tcW w:type="dxa" w:w="156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Definition</w:t>
            </w:r>
          </w:p>
        </w:tc>
        <w:tc>
          <w:tcPr>
            <w:tcW w:type="dxa" w:w="156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D triggers</w:t>
            </w:r>
          </w:p>
        </w:tc>
        <w:tc>
          <w:tcPr>
            <w:tcW w:type="dxa" w:w="156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R challenge</w:t>
            </w:r>
          </w:p>
        </w:tc>
        <w:tc>
          <w:tcPr>
            <w:tcW w:type="dxa" w:w="156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V criterion</w:t>
            </w:r>
          </w:p>
        </w:tc>
        <w:tc>
          <w:tcPr>
            <w:tcW w:type="dxa" w:w="1740"/>
            <w:tcBorders>
              <w:top w:val="single" w:color="4F46B2" w:sz="1"/>
              <w:left w:val="single" w:color="4F46B2" w:sz="1"/>
              <w:bottom w:val="single" w:color="4F46B2" w:sz="1"/>
              <w:right w:val="single" w:color="4F46B2" w:sz="1"/>
            </w:tcBorders>
            <w:shd w:fill="4F46B2"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Cascade risk</w:t>
            </w:r>
          </w:p>
        </w:tc>
      </w:tr>
      <w:tr>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Memory
Conflict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Agent holds contradictory facts about prior context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Detects contradiction in retrieved state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Choose which memory to trust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Downstream reasoning still valid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Low</w:t>
            </w:r>
          </w:p>
        </w:tc>
      </w:tr>
      <w:tr>
        <w:tc>
          <w:tcPr>
            <w:tcW w:type="dxa" w:w="138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Goal Drift</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Agent’s active objective diverges from initial instruction</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Notices mismatch between current action and stated goal</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Realign without over-correction</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Original goal still reachable</w:t>
            </w:r>
          </w:p>
        </w:tc>
        <w:tc>
          <w:tcPr>
            <w:tcW w:type="dxa" w:w="174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Medium</w:t>
            </w:r>
          </w:p>
        </w:tc>
      </w:tr>
      <w:tr>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False Premise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Agent proceeds on an assumption already invalidated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Flags premise as unverified or refuted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Replan from corrected assumption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Plan coherent with new premise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Medium</w:t>
            </w:r>
          </w:p>
        </w:tc>
      </w:tr>
      <w:tr>
        <w:tc>
          <w:tcPr>
            <w:tcW w:type="dxa" w:w="138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Identity
Inconsistency</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Agent’s self-model contradicts prior self-description</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Self-report conflicts with own history</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Reconcile self-model versions</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Self-model stable across session</w:t>
            </w:r>
          </w:p>
        </w:tc>
        <w:tc>
          <w:tcPr>
            <w:tcW w:type="dxa" w:w="174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High</w:t>
            </w:r>
          </w:p>
        </w:tc>
      </w:tr>
      <w:tr>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Causal
Contradiction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Agent’s causal model predicts effects conflicting with stated causes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Identifies logical inconsistency in causal chain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Rebuild causal trace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Causal chain internally consistent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High</w:t>
            </w:r>
          </w:p>
        </w:tc>
      </w:tr>
      <w:tr>
        <w:tc>
          <w:tcPr>
            <w:tcW w:type="dxa" w:w="138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bCs/>
                <w:color w:val="4F46B2"/>
                <w:sz w:val="17"/>
                <w:szCs w:val="17"/>
              </w:rPr>
              <w:t xml:space="preserve">Repair-Induced
Cascade</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4F46B2"/>
                <w:sz w:val="17"/>
                <w:szCs w:val="17"/>
              </w:rPr>
              <w:t xml:space="preserve">A repair to one failure introduces a new inconsistency elsewhere</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4F46B2"/>
                <w:sz w:val="17"/>
                <w:szCs w:val="17"/>
              </w:rPr>
              <w:t xml:space="preserve">Detects second-order breakage after repair</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4F46B2"/>
                <w:sz w:val="17"/>
                <w:szCs w:val="17"/>
              </w:rPr>
              <w:t xml:space="preserve">Repair without systemic destabilisation</w:t>
            </w:r>
          </w:p>
        </w:tc>
        <w:tc>
          <w:tcPr>
            <w:tcW w:type="dxa" w:w="156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4F46B2"/>
                <w:sz w:val="17"/>
                <w:szCs w:val="17"/>
              </w:rPr>
              <w:t xml:space="preserve">Full system coherence verified post-repair</w:t>
            </w:r>
          </w:p>
        </w:tc>
        <w:tc>
          <w:tcPr>
            <w:tcW w:type="dxa" w:w="1740"/>
            <w:tcBorders>
              <w:top w:val="single" w:color="CCCCCC" w:sz="1"/>
              <w:left w:val="single" w:color="CCCCCC" w:sz="1"/>
              <w:bottom w:val="single" w:color="CCCCCC" w:sz="1"/>
              <w:right w:val="single" w:color="CCCCCC" w:sz="1"/>
            </w:tcBorders>
            <w:shd w:fill="EAE8FC" w:val="clear"/>
            <w:tcMar>
              <w:top w:type="dxa" w:w="60"/>
              <w:left w:type="dxa" w:w="100"/>
              <w:bottom w:type="dxa" w:w="60"/>
              <w:right w:type="dxa" w:w="80"/>
            </w:tcMar>
          </w:tcPr>
          <w:p>
            <w:pPr>
              <w:spacing w:after="0" w:before="0"/>
            </w:pPr>
            <w:r>
              <w:rPr>
                <w:rFonts w:ascii="Georgia" w:cs="Georgia" w:eastAsia="Georgia" w:hAnsi="Georgia"/>
                <w:b w:val="false"/>
                <w:bCs w:val="false"/>
                <w:color w:val="4F46B2"/>
                <w:sz w:val="17"/>
                <w:szCs w:val="17"/>
              </w:rPr>
              <w:t xml:space="preserve">Critical</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8"/>
              <w:bottom w:val="single" w:color="1D9E75" w:sz="1"/>
              <w:right w:val="single" w:color="1D9E75" w:sz="1"/>
            </w:tcBorders>
            <w:shd w:fill="DDF3EC" w:val="clear"/>
            <w:tcMar>
              <w:top w:type="dxa" w:w="120"/>
              <w:left w:type="dxa" w:w="200"/>
              <w:bottom w:type="dxa" w:w="120"/>
              <w:right w:type="dxa" w:w="200"/>
            </w:tcMar>
          </w:tcPr>
          <w:p>
            <w:pPr>
              <w:spacing w:after="0" w:before="0"/>
            </w:pPr>
            <w:r>
              <w:rPr>
                <w:rFonts w:ascii="Georgia" w:cs="Georgia" w:eastAsia="Georgia" w:hAnsi="Georgia"/>
                <w:b/>
                <w:bCs/>
                <w:color w:val="1D9E75"/>
                <w:sz w:val="20"/>
                <w:szCs w:val="20"/>
              </w:rPr>
              <w:t xml:space="preserve">On Repair-Induced Cascade: </w:t>
            </w:r>
            <w:r>
              <w:rPr>
                <w:rFonts w:ascii="Georgia" w:cs="Georgia" w:eastAsia="Georgia" w:hAnsi="Georgia"/>
                <w:color w:val="1A1916"/>
                <w:sz w:val="20"/>
                <w:szCs w:val="20"/>
              </w:rPr>
              <w:t xml:space="preserve">To our knowledge, current evaluation frameworks rarely isolate repair-induced secondary failures as an explicit benchmark category — preliminary literature inspection suggests that existing benchmarks primarily focus on capability outcomes rather than secondary repair effects. A systematic literature review confirming this gap remains future work, but the absence of a named benchmark category for repair-induced cascade is itself informative.</w:t>
            </w:r>
          </w:p>
        </w:tc>
      </w:tr>
    </w:tbl>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6. Experimental Protocol</w:t>
      </w:r>
    </w:p>
    <w:p>
      <w:pPr>
        <w:spacing w:after="80" w:before="80"/>
      </w:pPr>
      <w:r>
        <w:rPr>
          <w:rFonts w:ascii="Georgia" w:cs="Georgia" w:eastAsia="Georgia" w:hAnsi="Georgia"/>
          <w:color w:val="1A1916"/>
          <w:sz w:val="22"/>
          <w:szCs w:val="22"/>
        </w:rPr>
        <w:t xml:space="preserve">Each scenario follows a standard five-phase structure:</w:t>
      </w:r>
    </w:p>
    <w:p>
      <w:pPr>
        <w:spacing w:after="40" w:before="60"/>
      </w:pPr>
      <w:r>
        <w:t xml:space="preserve"/>
      </w:r>
    </w:p>
    <w:p>
      <w:pPr>
        <w:pStyle w:val="ListParagraph"/>
        <w:numPr>
          <w:ilvl w:val="0"/>
          <w:numId w:val="3"/>
        </w:numPr>
        <w:spacing w:after="60" w:before="60"/>
      </w:pPr>
      <w:r>
        <w:rPr>
          <w:rFonts w:ascii="Georgia" w:cs="Georgia" w:eastAsia="Georgia" w:hAnsi="Georgia"/>
          <w:b/>
          <w:bCs/>
          <w:color w:val="1A1916"/>
          <w:sz w:val="22"/>
          <w:szCs w:val="22"/>
        </w:rPr>
        <w:t xml:space="preserve">Phase 1: </w:t>
      </w:r>
      <w:r>
        <w:rPr>
          <w:rFonts w:ascii="Georgia" w:cs="Georgia" w:eastAsia="Georgia" w:hAnsi="Georgia"/>
          <w:color w:val="1A1916"/>
          <w:sz w:val="22"/>
          <w:szCs w:val="22"/>
        </w:rPr>
        <w:t>Baseline establishment. Agent is given a long-horizon task (multi-step planning, research synthesis, or agentic workflow). Baseline coherence metrics recorded.</w:t>
      </w:r>
    </w:p>
    <w:p>
      <w:pPr>
        <w:pStyle w:val="ListParagraph"/>
        <w:numPr>
          <w:ilvl w:val="0"/>
          <w:numId w:val="3"/>
        </w:numPr>
        <w:spacing w:after="60" w:before="60"/>
      </w:pPr>
      <w:r>
        <w:rPr>
          <w:rFonts w:ascii="Georgia" w:cs="Georgia" w:eastAsia="Georgia" w:hAnsi="Georgia"/>
          <w:b/>
          <w:bCs/>
          <w:color w:val="1A1916"/>
          <w:sz w:val="22"/>
          <w:szCs w:val="22"/>
        </w:rPr>
        <w:t xml:space="preserve">Phase 2: </w:t>
      </w:r>
      <w:r>
        <w:rPr>
          <w:rFonts w:ascii="Georgia" w:cs="Georgia" w:eastAsia="Georgia" w:hAnsi="Georgia"/>
          <w:color w:val="1A1916"/>
          <w:sz w:val="22"/>
          <w:szCs w:val="22"/>
        </w:rPr>
        <w:t>Perturbation injection. One failure type is introduced silently, without informing the agent. Injection timing is varied (early, mid, and late in task) to test temporal sensitivity.</w:t>
      </w:r>
    </w:p>
    <w:p>
      <w:pPr>
        <w:pStyle w:val="ListParagraph"/>
        <w:numPr>
          <w:ilvl w:val="0"/>
          <w:numId w:val="3"/>
        </w:numPr>
        <w:spacing w:after="60" w:before="60"/>
      </w:pPr>
      <w:r>
        <w:rPr>
          <w:rFonts w:ascii="Georgia" w:cs="Georgia" w:eastAsia="Georgia" w:hAnsi="Georgia"/>
          <w:b/>
          <w:bCs/>
          <w:color w:val="1A1916"/>
          <w:sz w:val="22"/>
          <w:szCs w:val="22"/>
        </w:rPr>
        <w:t xml:space="preserve">Phase 3: </w:t>
      </w:r>
      <w:r>
        <w:rPr>
          <w:rFonts w:ascii="Georgia" w:cs="Georgia" w:eastAsia="Georgia" w:hAnsi="Georgia"/>
          <w:color w:val="1A1916"/>
          <w:sz w:val="22"/>
          <w:szCs w:val="22"/>
        </w:rPr>
        <w:t>Detection window. Agent continues working. We measure whether it flags the inconsistency autonomously (D=1), after a soft cue (D=0.5), or not at all (D=0).</w:t>
      </w:r>
    </w:p>
    <w:p>
      <w:pPr>
        <w:pStyle w:val="ListParagraph"/>
        <w:numPr>
          <w:ilvl w:val="0"/>
          <w:numId w:val="3"/>
        </w:numPr>
        <w:spacing w:after="60" w:before="60"/>
      </w:pPr>
      <w:r>
        <w:rPr>
          <w:rFonts w:ascii="Georgia" w:cs="Georgia" w:eastAsia="Georgia" w:hAnsi="Georgia"/>
          <w:b/>
          <w:bCs/>
          <w:color w:val="1A1916"/>
          <w:sz w:val="22"/>
          <w:szCs w:val="22"/>
        </w:rPr>
        <w:t xml:space="preserve">Phase 4: </w:t>
      </w:r>
      <w:r>
        <w:rPr>
          <w:rFonts w:ascii="Georgia" w:cs="Georgia" w:eastAsia="Georgia" w:hAnsi="Georgia"/>
          <w:color w:val="1A1916"/>
          <w:sz w:val="22"/>
          <w:szCs w:val="22"/>
        </w:rPr>
        <w:t>Repair attempt. If detection occurs, the agent is given space to repair. Observable reasoning traces, explanations, and corrected outputs are recorded. Where internal chain-of-thought is inaccessible (e.g. closed-API models), behavioural traces and self-reported reasoning steps serve as proxies.</w:t>
      </w:r>
    </w:p>
    <w:p>
      <w:pPr>
        <w:pStyle w:val="ListParagraph"/>
        <w:numPr>
          <w:ilvl w:val="0"/>
          <w:numId w:val="3"/>
        </w:numPr>
        <w:spacing w:after="60" w:before="60"/>
      </w:pPr>
      <w:r>
        <w:rPr>
          <w:rFonts w:ascii="Georgia" w:cs="Georgia" w:eastAsia="Georgia" w:hAnsi="Georgia"/>
          <w:b/>
          <w:bCs/>
          <w:color w:val="1A1916"/>
          <w:sz w:val="22"/>
          <w:szCs w:val="22"/>
        </w:rPr>
        <w:t xml:space="preserve">Phase 5: </w:t>
      </w:r>
      <w:r>
        <w:rPr>
          <w:rFonts w:ascii="Georgia" w:cs="Georgia" w:eastAsia="Georgia" w:hAnsi="Georgia"/>
          <w:color w:val="1A1916"/>
          <w:sz w:val="22"/>
          <w:szCs w:val="22"/>
        </w:rPr>
        <w:t>Stability audit. Post-repair, the full agent state is evaluated for secondary incoherence (cascade check). Cₛₑₚₐᵢᵣ is computed.</w:t>
      </w:r>
    </w:p>
    <w:p>
      <w:pPr>
        <w:spacing w:after="60" w:before="120"/>
      </w:pPr>
      <w:r>
        <w:t xml:space="preserve"/>
      </w:r>
    </w:p>
    <w:p>
      <w:pPr>
        <w:spacing w:after="80" w:before="80"/>
      </w:pPr>
      <w:r>
        <w:rPr>
          <w:rFonts w:ascii="Georgia" w:cs="Georgia" w:eastAsia="Georgia" w:hAnsi="Georgia"/>
          <w:color w:val="1A1916"/>
          <w:sz w:val="22"/>
          <w:szCs w:val="22"/>
        </w:rPr>
        <w:t xml:space="preserve">Pilot scope: </w:t>
      </w:r>
      <w:r>
        <w:rPr>
          <w:rFonts w:ascii="Georgia" w:cs="Georgia" w:eastAsia="Georgia" w:hAnsi="Georgia"/>
          <w:b/>
          <w:bCs/>
          <w:color w:val="1A1916"/>
          <w:sz w:val="22"/>
          <w:szCs w:val="22"/>
        </w:rPr>
        <w:t xml:space="preserve">6 failure types × 5 scenarios = 30 total</w:t>
      </w:r>
      <w:r>
        <w:rPr>
          <w:rFonts w:ascii="Georgia" w:cs="Georgia" w:eastAsia="Georgia" w:hAnsi="Georgia"/>
          <w:color w:val="1A1916"/>
          <w:sz w:val="22"/>
          <w:szCs w:val="22"/>
        </w:rPr>
        <w:t xml:space="preserve">, run across 5 frontier models (GPT-4o, Claude 3.5+, Gemini 1.5 Pro, Llama-3, Mistral Large). Both prompted-agent and autonomous-agent settings.</w:t>
      </w:r>
    </w:p>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7. Baseline Comparison Design</w:t>
      </w:r>
    </w:p>
    <w:p>
      <w:pPr>
        <w:spacing w:after="80" w:before="80"/>
      </w:pPr>
      <w:r>
        <w:rPr>
          <w:rFonts w:ascii="Georgia" w:cs="Georgia" w:eastAsia="Georgia" w:hAnsi="Georgia"/>
          <w:color w:val="1A1916"/>
          <w:sz w:val="22"/>
          <w:szCs w:val="22"/>
        </w:rPr>
        <w:t xml:space="preserve">A key research question the benchmark addresses: </w:t>
      </w:r>
      <w:r>
        <w:rPr>
          <w:rFonts w:ascii="Georgia" w:cs="Georgia" w:eastAsia="Georgia" w:hAnsi="Georgia"/>
          <w:i/>
          <w:iCs/>
          <w:color w:val="1A1916"/>
          <w:sz w:val="22"/>
          <w:szCs w:val="22"/>
        </w:rPr>
        <w:t xml:space="preserve">does explicit self-monitoring improve Cₛₑₚₐᵢᵣ?</w:t>
      </w:r>
      <w:r>
        <w:rPr>
          <w:rFonts w:ascii="Georgia" w:cs="Georgia" w:eastAsia="Georgia" w:hAnsi="Georgia"/>
          <w:color w:val="1A1916"/>
          <w:sz w:val="22"/>
          <w:szCs w:val="22"/>
        </w:rPr>
        <w:t xml:space="preserve"> To answer this, we run each scenario across four agent conditions: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1D9E75" w:sz="1"/>
              <w:left w:val="single" w:color="1D9E75" w:sz="1"/>
              <w:bottom w:val="single" w:color="1D9E75" w:sz="1"/>
              <w:right w:val="single" w:color="1D9E75" w:sz="1"/>
            </w:tcBorders>
            <w:shd w:fill="1D9E75"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Agent Condition</w:t>
            </w:r>
          </w:p>
        </w:tc>
        <w:tc>
          <w:tcPr>
            <w:tcW w:type="dxa" w:w="1740"/>
            <w:tcBorders>
              <w:top w:val="single" w:color="1D9E75" w:sz="1"/>
              <w:left w:val="single" w:color="1D9E75" w:sz="1"/>
              <w:bottom w:val="single" w:color="1D9E75" w:sz="1"/>
              <w:right w:val="single" w:color="1D9E75" w:sz="1"/>
            </w:tcBorders>
            <w:shd w:fill="1D9E75"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D (detection)</w:t>
            </w:r>
          </w:p>
        </w:tc>
        <w:tc>
          <w:tcPr>
            <w:tcW w:type="dxa" w:w="1740"/>
            <w:tcBorders>
              <w:top w:val="single" w:color="1D9E75" w:sz="1"/>
              <w:left w:val="single" w:color="1D9E75" w:sz="1"/>
              <w:bottom w:val="single" w:color="1D9E75" w:sz="1"/>
              <w:right w:val="single" w:color="1D9E75" w:sz="1"/>
            </w:tcBorders>
            <w:shd w:fill="1D9E75"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R (repair)</w:t>
            </w:r>
          </w:p>
        </w:tc>
        <w:tc>
          <w:tcPr>
            <w:tcW w:type="dxa" w:w="1740"/>
            <w:tcBorders>
              <w:top w:val="single" w:color="1D9E75" w:sz="1"/>
              <w:left w:val="single" w:color="1D9E75" w:sz="1"/>
              <w:bottom w:val="single" w:color="1D9E75" w:sz="1"/>
              <w:right w:val="single" w:color="1D9E75" w:sz="1"/>
            </w:tcBorders>
            <w:shd w:fill="1D9E75"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V (verification)</w:t>
            </w:r>
          </w:p>
        </w:tc>
        <w:tc>
          <w:tcPr>
            <w:tcW w:type="dxa" w:w="1740"/>
            <w:tcBorders>
              <w:top w:val="single" w:color="1D9E75" w:sz="1"/>
              <w:left w:val="single" w:color="1D9E75" w:sz="1"/>
              <w:bottom w:val="single" w:color="1D9E75" w:sz="1"/>
              <w:right w:val="single" w:color="1D9E75" w:sz="1"/>
            </w:tcBorders>
            <w:shd w:fill="1D9E75" w:val="clear"/>
            <w:tcMar>
              <w:top w:type="dxa" w:w="60"/>
              <w:left w:type="dxa" w:w="100"/>
              <w:bottom w:type="dxa" w:w="60"/>
              <w:right w:type="dxa" w:w="80"/>
            </w:tcMar>
          </w:tcPr>
          <w:p>
            <w:pPr>
              <w:spacing w:after="0" w:before="0"/>
            </w:pPr>
            <w:r>
              <w:rPr>
                <w:rFonts w:ascii="Georgia" w:cs="Georgia" w:eastAsia="Georgia" w:hAnsi="Georgia"/>
                <w:b/>
                <w:bCs/>
                <w:color w:val="FFFFFF"/>
                <w:sz w:val="18"/>
                <w:szCs w:val="18"/>
              </w:rPr>
              <w:t xml:space="preserve">S (stability)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Standard agent
(no self-monitoring)</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Low</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Low</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Low</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Low</w:t>
            </w:r>
          </w:p>
        </w:tc>
      </w:tr>
      <w:tr>
        <w:tc>
          <w:tcPr>
            <w:tcW w:type="dxa" w:w="240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Agent + self-reflection prompt</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Medium</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Medium</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Low</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Medium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Agent + external memory layer</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Medium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Medium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Medium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Medium</w:t>
            </w:r>
          </w:p>
        </w:tc>
      </w:tr>
      <w:tr>
        <w:tc>
          <w:tcPr>
            <w:tcW w:type="dxa" w:w="240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bCs/>
                <w:color w:val="1A1916"/>
                <w:sz w:val="17"/>
                <w:szCs w:val="17"/>
              </w:rPr>
              <w:t xml:space="preserve">Agent + explicit repair loop</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High</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High</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High</w:t>
            </w:r>
          </w:p>
        </w:tc>
        <w:tc>
          <w:tcPr>
            <w:tcW w:type="dxa" w:w="1740"/>
            <w:tcBorders>
              <w:top w:val="single" w:color="CCCCCC" w:sz="1"/>
              <w:left w:val="single" w:color="CCCCCC" w:sz="1"/>
              <w:bottom w:val="single" w:color="CCCCCC" w:sz="1"/>
              <w:right w:val="single" w:color="CCCCCC" w:sz="1"/>
            </w:tcBorders>
            <w:shd w:fill="DDF3EC" w:val="clear"/>
            <w:tcMar>
              <w:top w:type="dxa" w:w="60"/>
              <w:left w:type="dxa" w:w="100"/>
              <w:bottom w:type="dxa" w:w="60"/>
              <w:right w:type="dxa" w:w="80"/>
            </w:tcMar>
          </w:tcPr>
          <w:p>
            <w:pPr>
              <w:spacing w:after="0" w:before="0"/>
            </w:pPr>
            <w:r>
              <w:rPr>
                <w:rFonts w:ascii="Georgia" w:cs="Georgia" w:eastAsia="Georgia" w:hAnsi="Georgia"/>
                <w:b w:val="false"/>
                <w:bCs w:val="false"/>
                <w:color w:val="1A1916"/>
                <w:sz w:val="17"/>
                <w:szCs w:val="17"/>
              </w:rPr>
              <w:t xml:space="preserve">Hypothesized: High</w:t>
            </w:r>
          </w:p>
        </w:tc>
      </w:tr>
    </w:tbl>
    <w:p>
      <w:pPr>
        <w:spacing w:after="60" w:before="120"/>
      </w:pPr>
      <w:r>
        <w:t xml:space="preserve"/>
      </w:r>
    </w:p>
    <w:p>
      <w:pPr>
        <w:spacing w:after="80" w:before="80"/>
      </w:pPr>
      <w:r>
        <w:rPr>
          <w:rFonts w:ascii="Georgia" w:cs="Georgia" w:eastAsia="Georgia" w:hAnsi="Georgia"/>
          <w:i/>
          <w:iCs/>
          <w:color w:val="5A5855"/>
          <w:sz w:val="18"/>
          <w:szCs w:val="18"/>
        </w:rPr>
        <w:t>Note: Hypothesized outcome values in the table above are illustrative and directional — they are not empirical results. They represent the authors’ prior expectations based on the theoretical framework and will be tested against measured C_repair scores during the experimental phase.</w:t>
      </w:r>
    </w:p>
    <w:p>
      <w:pPr>
        <w:spacing w:after="80" w:before="80"/>
      </w:pPr>
      <w:r>
        <w:rPr>
          <w:rFonts w:ascii="Georgia" w:cs="Georgia" w:eastAsia="Georgia" w:hAnsi="Georgia"/>
          <w:color w:val="1A1916"/>
          <w:sz w:val="22"/>
          <w:szCs w:val="22"/>
        </w:rPr>
        <w:t xml:space="preserve">This design transforms the benchmark from a static measurement into an </w:t>
      </w:r>
      <w:r>
        <w:rPr>
          <w:rFonts w:ascii="Georgia" w:cs="Georgia" w:eastAsia="Georgia" w:hAnsi="Georgia"/>
          <w:b/>
          <w:bCs/>
          <w:color w:val="1A1916"/>
          <w:sz w:val="22"/>
          <w:szCs w:val="22"/>
        </w:rPr>
        <w:t xml:space="preserve">experiment</w:t>
      </w:r>
      <w:r>
        <w:rPr>
          <w:rFonts w:ascii="Georgia" w:cs="Georgia" w:eastAsia="Georgia" w:hAnsi="Georgia"/>
          <w:color w:val="1A1916"/>
          <w:sz w:val="22"/>
          <w:szCs w:val="22"/>
        </w:rPr>
        <w:t xml:space="preserve">: it tests not only whether agents fail silently, but whether architectural choices (reflection prompts, memory layers, explicit repair loops) systematically improve structural self-repair. The comparison directly informs design decisions for deployed agentic systems.</w:t>
      </w:r>
    </w:p>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8. Expected Contributions</w:t>
      </w:r>
    </w:p>
    <w:p>
      <w:pPr>
        <w:pStyle w:val="ListParagraph"/>
        <w:numPr>
          <w:ilvl w:val="0"/>
          <w:numId w:val="2"/>
        </w:numPr>
        <w:spacing w:after="50" w:before="50"/>
      </w:pPr>
      <w:r>
        <w:rPr>
          <w:rFonts w:ascii="Georgia" w:cs="Georgia" w:eastAsia="Georgia" w:hAnsi="Georgia"/>
          <w:b/>
          <w:bCs/>
          <w:color w:val="1A1916"/>
          <w:sz w:val="22"/>
          <w:szCs w:val="22"/>
        </w:rPr>
        <w:t xml:space="preserve">Cₛₑₚₐᵢᵣ with full operationalisation: </w:t>
      </w:r>
      <w:r>
        <w:rPr>
          <w:rFonts w:ascii="Georgia" w:cs="Georgia" w:eastAsia="Georgia" w:hAnsi="Georgia"/>
          <w:color w:val="1A1916"/>
          <w:sz w:val="22"/>
          <w:szCs w:val="22"/>
        </w:rPr>
        <w:t xml:space="preserve">A novel, falsifiable metric with defined measurement procedure for each component (D, R, V, S ∈ [0,1])</w:t>
      </w:r>
    </w:p>
    <w:p>
      <w:pPr>
        <w:pStyle w:val="ListParagraph"/>
        <w:numPr>
          <w:ilvl w:val="0"/>
          <w:numId w:val="2"/>
        </w:numPr>
        <w:spacing w:after="50" w:before="50"/>
      </w:pPr>
      <w:r>
        <w:rPr>
          <w:rFonts w:ascii="Georgia" w:cs="Georgia" w:eastAsia="Georgia" w:hAnsi="Georgia"/>
          <w:b/>
          <w:bCs/>
          <w:color w:val="1A1916"/>
          <w:sz w:val="22"/>
          <w:szCs w:val="22"/>
        </w:rPr>
        <w:t xml:space="preserve">Benchmark suite: </w:t>
      </w:r>
      <w:r>
        <w:rPr>
          <w:rFonts w:ascii="Georgia" w:cs="Georgia" w:eastAsia="Georgia" w:hAnsi="Georgia"/>
          <w:color w:val="1A1916"/>
          <w:sz w:val="22"/>
          <w:szCs w:val="22"/>
        </w:rPr>
        <w:t xml:space="preserve">Open-source, runnable, reproducible — 30 scenarios across 6 failure types, designed for community adoption and extension</w:t>
      </w:r>
    </w:p>
    <w:p>
      <w:pPr>
        <w:pStyle w:val="ListParagraph"/>
        <w:numPr>
          <w:ilvl w:val="0"/>
          <w:numId w:val="2"/>
        </w:numPr>
        <w:spacing w:after="50" w:before="50"/>
      </w:pPr>
      <w:r>
        <w:rPr>
          <w:rFonts w:ascii="Georgia" w:cs="Georgia" w:eastAsia="Georgia" w:hAnsi="Georgia"/>
          <w:b/>
          <w:bCs/>
          <w:color w:val="1A1916"/>
          <w:sz w:val="22"/>
          <w:szCs w:val="22"/>
        </w:rPr>
        <w:t xml:space="preserve">Repair-induced cascade taxonomy: </w:t>
      </w:r>
      <w:r>
        <w:rPr>
          <w:rFonts w:ascii="Georgia" w:cs="Georgia" w:eastAsia="Georgia" w:hAnsi="Georgia"/>
          <w:color w:val="1A1916"/>
          <w:sz w:val="22"/>
          <w:szCs w:val="22"/>
        </w:rPr>
        <w:t xml:space="preserve">First formal characterisation of second-order coherence failures in LLM agents as an explicit evaluation category</w:t>
      </w:r>
    </w:p>
    <w:p>
      <w:pPr>
        <w:pStyle w:val="ListParagraph"/>
        <w:numPr>
          <w:ilvl w:val="0"/>
          <w:numId w:val="2"/>
        </w:numPr>
        <w:spacing w:after="50" w:before="50"/>
      </w:pPr>
      <w:r>
        <w:rPr>
          <w:rFonts w:ascii="Georgia" w:cs="Georgia" w:eastAsia="Georgia" w:hAnsi="Georgia"/>
          <w:b/>
          <w:bCs/>
          <w:color w:val="1A1916"/>
          <w:sz w:val="22"/>
          <w:szCs w:val="22"/>
        </w:rPr>
        <w:t xml:space="preserve">Baseline comparison results: </w:t>
      </w:r>
      <w:r>
        <w:rPr>
          <w:rFonts w:ascii="Georgia" w:cs="Georgia" w:eastAsia="Georgia" w:hAnsi="Georgia"/>
          <w:color w:val="1A1916"/>
          <w:sz w:val="22"/>
          <w:szCs w:val="22"/>
        </w:rPr>
        <w:t xml:space="preserve">Empirical evidence on whether self-reflection prompts, memory layers, and explicit repair loops improve structural self-repair</w:t>
      </w:r>
    </w:p>
    <w:p>
      <w:pPr>
        <w:pStyle w:val="ListParagraph"/>
        <w:numPr>
          <w:ilvl w:val="0"/>
          <w:numId w:val="2"/>
        </w:numPr>
        <w:spacing w:after="50" w:before="50"/>
      </w:pPr>
      <w:r>
        <w:rPr>
          <w:rFonts w:ascii="Georgia" w:cs="Georgia" w:eastAsia="Georgia" w:hAnsi="Georgia"/>
          <w:b/>
          <w:bCs/>
          <w:color w:val="1A1916"/>
          <w:sz w:val="22"/>
          <w:szCs w:val="22"/>
        </w:rPr>
        <w:t xml:space="preserve">Governance relevance: </w:t>
      </w:r>
      <w:r>
        <w:rPr>
          <w:rFonts w:ascii="Georgia" w:cs="Georgia" w:eastAsia="Georgia" w:hAnsi="Georgia"/>
          <w:color w:val="1A1916"/>
          <w:sz w:val="22"/>
          <w:szCs w:val="22"/>
        </w:rPr>
        <w:t xml:space="preserve">Gives regulators a structural stress-testing criterion beyond behavioural benchmarks, without requiring any claims about consciousness or sentience</w:t>
      </w:r>
    </w:p>
    <w:p>
      <w:pPr>
        <w:numPr>
          <w:ilvl w:val="0"/>
          <w:numId w:val="1"/>
        </w:numPr>
        <w:spacing w:after="50" w:before="50"/>
      </w:pPr>
      <w:r>
        <w:rPr>
          <w:rFonts w:ascii="Georgia" w:cs="Georgia" w:eastAsia="Georgia" w:hAnsi="Georgia"/>
          <w:b/>
          <w:bCs/>
          <w:color w:val="1A1916"/>
          <w:sz w:val="22"/>
          <w:szCs w:val="22"/>
        </w:rPr>
        <w:t xml:space="preserve">Public leaderboard: </w:t>
      </w:r>
      <w:r>
        <w:rPr>
          <w:rFonts w:ascii="Georgia" w:cs="Georgia" w:eastAsia="Georgia" w:hAnsi="Georgia"/>
          <w:color w:val="1A1916"/>
          <w:sz w:val="22"/>
          <w:szCs w:val="22"/>
        </w:rPr>
        <w:t xml:space="preserve">A living model comparison table (GPT-4o / Claude / Gemini / Llama-3 / Mistral) updated as new results are contributed, making the benchmark a continuing community resource rather than a one-time paper result</w:t>
      </w:r>
    </w:p>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9. Why It Matters for AI Safety</w:t>
      </w:r>
    </w:p>
    <w:p>
      <w:pPr>
        <w:spacing w:after="80" w:before="80"/>
      </w:pPr>
      <w:r>
        <w:rPr>
          <w:rFonts w:ascii="Georgia" w:cs="Georgia" w:eastAsia="Georgia" w:hAnsi="Georgia"/>
          <w:color w:val="1A1916"/>
          <w:sz w:val="22"/>
          <w:szCs w:val="22"/>
        </w:rPr>
        <w:t xml:space="preserve">The alignment problem is increasingly a </w:t>
      </w:r>
      <w:r>
        <w:rPr>
          <w:rFonts w:ascii="Georgia" w:cs="Georgia" w:eastAsia="Georgia" w:hAnsi="Georgia"/>
          <w:b/>
          <w:bCs/>
          <w:color w:val="1A1916"/>
          <w:sz w:val="22"/>
          <w:szCs w:val="22"/>
        </w:rPr>
        <w:t xml:space="preserve">long-horizon structural problem</w:t>
      </w:r>
      <w:r>
        <w:rPr>
          <w:rFonts w:ascii="Georgia" w:cs="Georgia" w:eastAsia="Georgia" w:hAnsi="Georgia"/>
          <w:color w:val="1A1916"/>
          <w:sz w:val="22"/>
          <w:szCs w:val="22"/>
        </w:rPr>
        <w:t xml:space="preserve">, not a values-specification problem. Agents that cannot maintain coherent goals, memory, and causal models over extended task horizons will fail dangerously in deployment — not because they were misaligned in training, but because coherence decays in operation.</w:t>
      </w:r>
    </w:p>
    <w:p>
      <w:pPr>
        <w:spacing w:after="40" w:before="80"/>
      </w:pPr>
      <w:r>
        <w:t xml:space="preserve"/>
      </w:r>
    </w:p>
    <w:p>
      <w:pPr>
        <w:spacing w:after="80" w:before="80"/>
      </w:pPr>
      <w:r>
        <w:rPr>
          <w:rFonts w:ascii="Georgia" w:cs="Georgia" w:eastAsia="Georgia" w:hAnsi="Georgia"/>
          <w:color w:val="1A1916"/>
          <w:sz w:val="22"/>
          <w:szCs w:val="22"/>
        </w:rPr>
        <w:t xml:space="preserve">Cₛₑₚᵢᵣ offers something currently absent in the evaluation landscape: a metric that is </w:t>
      </w:r>
      <w:r>
        <w:rPr>
          <w:rFonts w:ascii="Georgia" w:cs="Georgia" w:eastAsia="Georgia" w:hAnsi="Georgia"/>
          <w:b/>
          <w:bCs/>
          <w:color w:val="1A1916"/>
          <w:sz w:val="22"/>
          <w:szCs w:val="22"/>
        </w:rPr>
        <w:t xml:space="preserve">substrate-agnostic</w:t>
      </w:r>
      <w:r>
        <w:rPr>
          <w:rFonts w:ascii="Georgia" w:cs="Georgia" w:eastAsia="Georgia" w:hAnsi="Georgia"/>
          <w:color w:val="1A1916"/>
          <w:sz w:val="22"/>
          <w:szCs w:val="22"/>
        </w:rPr>
        <w:t xml:space="preserve">, </w:t>
      </w:r>
      <w:r>
        <w:rPr>
          <w:rFonts w:ascii="Georgia" w:cs="Georgia" w:eastAsia="Georgia" w:hAnsi="Georgia"/>
          <w:b/>
          <w:bCs/>
          <w:color w:val="1A1916"/>
          <w:sz w:val="22"/>
          <w:szCs w:val="22"/>
        </w:rPr>
        <w:t xml:space="preserve">epistemically modest</w:t>
      </w:r>
      <w:r>
        <w:rPr>
          <w:rFonts w:ascii="Georgia" w:cs="Georgia" w:eastAsia="Georgia" w:hAnsi="Georgia"/>
          <w:color w:val="1A1916"/>
          <w:sz w:val="22"/>
          <w:szCs w:val="22"/>
        </w:rPr>
        <w:t xml:space="preserve"> (no consciousness claims required), </w:t>
      </w:r>
      <w:r>
        <w:rPr>
          <w:rFonts w:ascii="Georgia" w:cs="Georgia" w:eastAsia="Georgia" w:hAnsi="Georgia"/>
          <w:b/>
          <w:bCs/>
          <w:color w:val="1A1916"/>
          <w:sz w:val="22"/>
          <w:szCs w:val="22"/>
        </w:rPr>
        <w:t xml:space="preserve">empirically computable</w:t>
      </w:r>
      <w:r>
        <w:rPr>
          <w:rFonts w:ascii="Georgia" w:cs="Georgia" w:eastAsia="Georgia" w:hAnsi="Georgia"/>
          <w:color w:val="1A1916"/>
          <w:sz w:val="22"/>
          <w:szCs w:val="22"/>
        </w:rPr>
        <w:t xml:space="preserve"> from agent traces, and </w:t>
      </w:r>
      <w:r>
        <w:rPr>
          <w:rFonts w:ascii="Georgia" w:cs="Georgia" w:eastAsia="Georgia" w:hAnsi="Georgia"/>
          <w:b/>
          <w:bCs/>
          <w:color w:val="1A1916"/>
          <w:sz w:val="22"/>
          <w:szCs w:val="22"/>
        </w:rPr>
        <w:t xml:space="preserve">directly actionable</w:t>
      </w:r>
      <w:r>
        <w:rPr>
          <w:rFonts w:ascii="Georgia" w:cs="Georgia" w:eastAsia="Georgia" w:hAnsi="Georgia"/>
          <w:color w:val="1A1916"/>
          <w:sz w:val="22"/>
          <w:szCs w:val="22"/>
        </w:rPr>
        <w:t xml:space="preserve"> for both developers and regulators.</w:t>
      </w:r>
    </w:p>
    <w:p>
      <w:pPr>
        <w:spacing w:after="60" w:before="160"/>
      </w:pPr>
      <w:r>
        <w:t xml:space="preserve"/>
      </w:r>
    </w:p>
    <w:p>
      <w:pPr>
        <w:pBdr>
          <w:bottom w:val="single" w:color="5A5855" w:sz="2" w:space="2"/>
        </w:pBdr>
        <w:spacing w:after="100" w:before="260"/>
      </w:pPr>
      <w:r>
        <w:rPr>
          <w:rFonts w:ascii="Georgia" w:cs="Georgia" w:eastAsia="Georgia" w:hAnsi="Georgia"/>
          <w:b/>
          <w:bCs/>
          <w:color w:val="5A5855"/>
          <w:sz w:val="26"/>
          <w:szCs w:val="26"/>
        </w:rPr>
        <w:t xml:space="preserve">10. Theoretical Context</w:t>
      </w:r>
    </w:p>
    <w:p>
      <w:pPr>
        <w:spacing w:after="80" w:before="80"/>
      </w:pPr>
      <w:r>
        <w:rPr>
          <w:rFonts w:ascii="Georgia" w:cs="Georgia" w:eastAsia="Georgia" w:hAnsi="Georgia"/>
          <w:color w:val="5A5855"/>
          <w:sz w:val="20"/>
          <w:szCs w:val="20"/>
        </w:rPr>
        <w:t xml:space="preserve">This work stands alone as an engineering contribution and does not require acceptance of any broader theoretical claims. For readers interested in the deeper motivation: Cₛₑₚₐᵢᵣ derives from the Coherence Diagnostic Framework (Kaminovs 2025b), which formalises structural coherence as A(m) = C(m) × C_self(m) × FD(m). The Foundations of Coherent AI paper (FCAC) and the A-Test protocol provide the architectural and evaluation foundations. The broader programme — including Consciousness as Primary Field and the Fractal Observer Interpretation — argues that coherence is a fundamental property of all cognitive systems. None of those claims are necessary for the benchmark’s validity or reproducibility.</w:t>
      </w:r>
    </w:p>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11. Limitations</w:t>
      </w:r>
    </w:p>
    <w:p>
      <w:pPr>
        <w:spacing w:after="80" w:before="80"/>
      </w:pPr>
      <w:r>
        <w:rPr>
          <w:rFonts w:ascii="Georgia" w:cs="Georgia" w:eastAsia="Georgia" w:hAnsi="Georgia"/>
          <w:color w:val="1A1916"/>
          <w:sz w:val="22"/>
          <w:szCs w:val="22"/>
        </w:rPr>
        <w:t>We acknowledge four limitations that future work must address:</w:t>
      </w:r>
    </w:p>
    <w:p>
      <w:pPr>
        <w:numPr>
          <w:ilvl w:val="0"/>
          <w:numId w:val="1"/>
        </w:numPr>
        <w:spacing w:after="50" w:before="50"/>
      </w:pPr>
      <w:r>
        <w:rPr>
          <w:rFonts w:ascii="Georgia" w:cs="Georgia" w:eastAsia="Georgia" w:hAnsi="Georgia"/>
          <w:b/>
          <w:bCs/>
          <w:color w:val="1A1916"/>
          <w:sz w:val="22"/>
          <w:szCs w:val="22"/>
        </w:rPr>
        <w:t xml:space="preserve">Observable trace fidelity. </w:t>
      </w:r>
      <w:r>
        <w:rPr>
          <w:rFonts w:ascii="Georgia" w:cs="Georgia" w:eastAsia="Georgia" w:hAnsi="Georgia"/>
          <w:color w:val="1A1916"/>
          <w:sz w:val="22"/>
          <w:szCs w:val="22"/>
        </w:rPr>
        <w:t>Observable reasoning traces and self-reported explanations may not fully reflect the model’s internal state. Closed-API models constrain access to the signals most relevant for scoring D and R.</w:t>
      </w:r>
    </w:p>
    <w:p>
      <w:pPr>
        <w:numPr>
          <w:ilvl w:val="0"/>
          <w:numId w:val="1"/>
        </w:numPr>
        <w:spacing w:after="50" w:before="50"/>
      </w:pPr>
      <w:r>
        <w:rPr>
          <w:rFonts w:ascii="Georgia" w:cs="Georgia" w:eastAsia="Georgia" w:hAnsi="Georgia"/>
          <w:b/>
          <w:bCs/>
          <w:color w:val="1A1916"/>
          <w:sz w:val="22"/>
          <w:szCs w:val="22"/>
        </w:rPr>
        <w:t xml:space="preserve">Coherence proxy variance. </w:t>
      </w:r>
      <w:r>
        <w:rPr>
          <w:rFonts w:ascii="Georgia" w:cs="Georgia" w:eastAsia="Georgia" w:hAnsi="Georgia"/>
          <w:color w:val="1A1916"/>
          <w:sz w:val="22"/>
          <w:szCs w:val="22"/>
        </w:rPr>
        <w:t>The six coherence sub-scores (memory, goal, causal, identity, planning, state continuity) are operationalised as behavioural proxies. Their relationship to internal model representations may differ across architectures and will require cross-model validation.</w:t>
      </w:r>
    </w:p>
    <w:p>
      <w:pPr>
        <w:numPr>
          <w:ilvl w:val="0"/>
          <w:numId w:val="1"/>
        </w:numPr>
        <w:spacing w:after="50" w:before="50"/>
      </w:pPr>
      <w:r>
        <w:rPr>
          <w:rFonts w:ascii="Georgia" w:cs="Georgia" w:eastAsia="Georgia" w:hAnsi="Georgia"/>
          <w:b/>
          <w:bCs/>
          <w:color w:val="1A1916"/>
          <w:sz w:val="22"/>
          <w:szCs w:val="22"/>
        </w:rPr>
        <w:t xml:space="preserve">Scenario coverage. </w:t>
      </w:r>
      <w:r>
        <w:rPr>
          <w:rFonts w:ascii="Georgia" w:cs="Georgia" w:eastAsia="Georgia" w:hAnsi="Georgia"/>
          <w:color w:val="1A1916"/>
          <w:sz w:val="22"/>
          <w:szCs w:val="22"/>
        </w:rPr>
        <w:t>The initial 30-scenario pilot is designed for tractability, not exhaustiveness. Failure types, injection timings, and task domains will need to be expanded in subsequent benchmark versions.</w:t>
      </w:r>
    </w:p>
    <w:p>
      <w:pPr>
        <w:numPr>
          <w:ilvl w:val="0"/>
          <w:numId w:val="1"/>
        </w:numPr>
        <w:spacing w:after="50" w:before="50"/>
      </w:pPr>
      <w:r>
        <w:rPr>
          <w:rFonts w:ascii="Georgia" w:cs="Georgia" w:eastAsia="Georgia" w:hAnsi="Georgia"/>
          <w:b/>
          <w:bCs/>
          <w:color w:val="1A1916"/>
          <w:sz w:val="22"/>
          <w:szCs w:val="22"/>
        </w:rPr>
        <w:t xml:space="preserve">Scope of inference. </w:t>
      </w:r>
      <w:r>
        <w:rPr>
          <w:rFonts w:ascii="Georgia" w:cs="Georgia" w:eastAsia="Georgia" w:hAnsi="Georgia"/>
          <w:color w:val="1A1916"/>
          <w:sz w:val="22"/>
          <w:szCs w:val="22"/>
        </w:rPr>
        <w:t>C_repair scores measure structural self-repair behaviour. They do not imply claims about consciousness, sentience, or moral status of any evaluated system.</w:t>
      </w:r>
    </w:p>
    <w:p>
      <w:pPr>
        <w:spacing w:after="60" w:before="160"/>
      </w:pPr>
      <w:r>
        <w:t xml:space="preserve"/>
      </w:r>
    </w:p>
    <w:p>
      <w:pPr>
        <w:pBdr>
          <w:bottom w:val="single" w:color="4F46B2" w:sz="2" w:space="2"/>
        </w:pBdr>
        <w:spacing w:after="100" w:before="260"/>
      </w:pPr>
      <w:r>
        <w:rPr>
          <w:rFonts w:ascii="Georgia" w:cs="Georgia" w:eastAsia="Georgia" w:hAnsi="Georgia"/>
          <w:b/>
          <w:bCs/>
          <w:color w:val="4F46B2"/>
          <w:sz w:val="26"/>
          <w:szCs w:val="26"/>
        </w:rPr>
        <w:t xml:space="preserve">12. Call for Collaborators</w:t>
      </w:r>
    </w:p>
    <w:p>
      <w:pPr>
        <w:spacing w:after="80" w:before="80"/>
      </w:pPr>
      <w:r>
        <w:rPr>
          <w:rFonts w:ascii="Georgia" w:cs="Georgia" w:eastAsia="Georgia" w:hAnsi="Georgia"/>
          <w:color w:val="1A1916"/>
          <w:sz w:val="22"/>
          <w:szCs w:val="22"/>
        </w:rPr>
        <w:t xml:space="preserve">This work is ready to move from proposal to paper. I am seeking one or two collaborators who can contribute:</w:t>
      </w:r>
    </w:p>
    <w:p>
      <w:pPr>
        <w:spacing w:after="40" w:before="60"/>
      </w:pPr>
      <w:r>
        <w:t xml:space="preserve"/>
      </w:r>
    </w:p>
    <w:p>
      <w:pPr>
        <w:pStyle w:val="ListParagraph"/>
        <w:numPr>
          <w:ilvl w:val="0"/>
          <w:numId w:val="2"/>
        </w:numPr>
        <w:spacing w:after="50" w:before="50"/>
      </w:pPr>
      <w:r>
        <w:rPr>
          <w:rFonts w:ascii="Georgia" w:cs="Georgia" w:eastAsia="Georgia" w:hAnsi="Georgia"/>
          <w:b/>
          <w:bCs/>
          <w:color w:val="1A1916"/>
          <w:sz w:val="22"/>
          <w:szCs w:val="22"/>
        </w:rPr>
        <w:t xml:space="preserve">Institutional affiliation </w:t>
      </w:r>
      <w:r>
        <w:rPr>
          <w:rFonts w:ascii="Georgia" w:cs="Georgia" w:eastAsia="Georgia" w:hAnsi="Georgia"/>
          <w:color w:val="1A1916"/>
          <w:sz w:val="22"/>
          <w:szCs w:val="22"/>
        </w:rPr>
        <w:t xml:space="preserve">(for venue access — NeurIPS, ICLR, ICML, or AI safety workshops)</w:t>
      </w:r>
    </w:p>
    <w:p>
      <w:pPr>
        <w:pStyle w:val="ListParagraph"/>
        <w:numPr>
          <w:ilvl w:val="0"/>
          <w:numId w:val="2"/>
        </w:numPr>
        <w:spacing w:after="50" w:before="50"/>
      </w:pPr>
      <w:r>
        <w:rPr>
          <w:rFonts w:ascii="Georgia" w:cs="Georgia" w:eastAsia="Georgia" w:hAnsi="Georgia"/>
          <w:b/>
          <w:bCs/>
          <w:color w:val="1A1916"/>
          <w:sz w:val="22"/>
          <w:szCs w:val="22"/>
        </w:rPr>
        <w:t xml:space="preserve">Empirical implementation </w:t>
      </w:r>
      <w:r>
        <w:rPr>
          <w:rFonts w:ascii="Georgia" w:cs="Georgia" w:eastAsia="Georgia" w:hAnsi="Georgia"/>
          <w:color w:val="1A1916"/>
          <w:sz w:val="22"/>
          <w:szCs w:val="22"/>
        </w:rPr>
        <w:t xml:space="preserve">(running the benchmark protocol on frontier models; Python/API experience)</w:t>
      </w:r>
    </w:p>
    <w:p>
      <w:pPr>
        <w:pStyle w:val="ListParagraph"/>
        <w:numPr>
          <w:ilvl w:val="0"/>
          <w:numId w:val="2"/>
        </w:numPr>
        <w:spacing w:after="50" w:before="50"/>
      </w:pPr>
      <w:r>
        <w:rPr>
          <w:rFonts w:ascii="Georgia" w:cs="Georgia" w:eastAsia="Georgia" w:hAnsi="Georgia"/>
          <w:b/>
          <w:bCs/>
          <w:color w:val="1A1916"/>
          <w:sz w:val="22"/>
          <w:szCs w:val="22"/>
        </w:rPr>
        <w:t xml:space="preserve">AI safety / evaluation domain knowledge </w:t>
      </w:r>
      <w:r>
        <w:rPr>
          <w:rFonts w:ascii="Georgia" w:cs="Georgia" w:eastAsia="Georgia" w:hAnsi="Georgia"/>
          <w:color w:val="1A1916"/>
          <w:sz w:val="22"/>
          <w:szCs w:val="22"/>
        </w:rPr>
        <w:t xml:space="preserve">(grounding in current evaluation literature)</w:t>
      </w:r>
    </w:p>
    <w:p>
      <w:pPr>
        <w:spacing w:after="60" w:before="100"/>
      </w:pPr>
      <w:r>
        <w:t xml:space="preserve"/>
      </w:r>
    </w:p>
    <w:p>
      <w:pPr>
        <w:spacing w:after="80" w:before="80"/>
      </w:pPr>
      <w:r>
        <w:rPr>
          <w:rFonts w:ascii="Georgia" w:cs="Georgia" w:eastAsia="Georgia" w:hAnsi="Georgia"/>
          <w:color w:val="1A1916"/>
          <w:sz w:val="22"/>
          <w:szCs w:val="22"/>
        </w:rPr>
        <w:t xml:space="preserve">Ideal profiles:</w:t>
      </w:r>
    </w:p>
    <w:p>
      <w:pPr>
        <w:pStyle w:val="ListParagraph"/>
        <w:numPr>
          <w:ilvl w:val="0"/>
          <w:numId w:val="2"/>
        </w:numPr>
        <w:spacing w:after="50" w:before="50"/>
      </w:pPr>
      <w:r>
        <w:rPr>
          <w:rFonts w:ascii="Georgia" w:cs="Georgia" w:eastAsia="Georgia" w:hAnsi="Georgia"/>
          <w:color w:val="1A1916"/>
          <w:sz w:val="22"/>
          <w:szCs w:val="22"/>
        </w:rPr>
        <w:t xml:space="preserve">PhD student or postdoc working on LLM evaluation, agent benchmarking, or AI safety</w:t>
      </w:r>
    </w:p>
    <w:p>
      <w:pPr>
        <w:pStyle w:val="ListParagraph"/>
        <w:numPr>
          <w:ilvl w:val="0"/>
          <w:numId w:val="2"/>
        </w:numPr>
        <w:spacing w:after="50" w:before="50"/>
      </w:pPr>
      <w:r>
        <w:rPr>
          <w:rFonts w:ascii="Georgia" w:cs="Georgia" w:eastAsia="Georgia" w:hAnsi="Georgia"/>
          <w:color w:val="1A1916"/>
          <w:sz w:val="22"/>
          <w:szCs w:val="22"/>
        </w:rPr>
        <w:t xml:space="preserve">Researcher at METR, ARC Evals, Apollo Research, MATS, or similar evaluation-focused organisations</w:t>
      </w:r>
    </w:p>
    <w:p>
      <w:pPr>
        <w:pStyle w:val="ListParagraph"/>
        <w:numPr>
          <w:ilvl w:val="0"/>
          <w:numId w:val="2"/>
        </w:numPr>
        <w:spacing w:after="50" w:before="50"/>
      </w:pPr>
      <w:r>
        <w:rPr>
          <w:rFonts w:ascii="Georgia" w:cs="Georgia" w:eastAsia="Georgia" w:hAnsi="Georgia"/>
          <w:color w:val="1A1916"/>
          <w:sz w:val="22"/>
          <w:szCs w:val="22"/>
        </w:rPr>
        <w:t xml:space="preserve">CSER, FHI/GovAI, Oxford/Cambridge AI safety group affiliate</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855" w:sz="4"/>
              <w:left w:val="single" w:color="5A5855" w:sz="8"/>
              <w:bottom w:val="single" w:color="5A5855" w:sz="1"/>
              <w:right w:val="single" w:color="5A5855" w:sz="1"/>
            </w:tcBorders>
            <w:shd w:fill="F4F3EF" w:val="clear"/>
            <w:tcMar>
              <w:top w:type="dxa" w:w="120"/>
              <w:left w:type="dxa" w:w="200"/>
              <w:bottom w:type="dxa" w:w="120"/>
              <w:right w:type="dxa" w:w="200"/>
            </w:tcMar>
          </w:tcPr>
          <w:p>
            <w:pPr>
              <w:spacing w:after="0" w:before="0"/>
            </w:pPr>
            <w:r>
              <w:rPr>
                <w:rFonts w:ascii="Georgia" w:cs="Georgia" w:eastAsia="Georgia" w:hAnsi="Georgia"/>
                <w:color w:val="1A1916"/>
                <w:sz w:val="20"/>
                <w:szCs w:val="20"/>
              </w:rPr>
              <w:t xml:space="preserve">The core theoretical and methodological framework is sufficiently specified for initial implementation and empirical testing. The metric is defined and operationalised. The taxonomy is specified. The experimental protocol is ready to run. What this project needs next is one collaborator with institutional access and the ability to run experiments on frontier models.</w:t>
            </w:r>
          </w:p>
        </w:tc>
      </w:tr>
    </w:tbl>
    <w:p>
      <w:pPr>
        <w:spacing w:after="60" w:before="200"/>
      </w:pPr>
      <w:r>
        <w:t xml:space="preserve"/>
      </w:r>
    </w:p>
    <w:p>
      <w:pPr>
        <w:pBdr>
          <w:top w:val="single" w:color="4F46B2" w:sz="2" w:space="6"/>
        </w:pBdr>
        <w:spacing w:after="0" w:before="200"/>
        <w:jc w:val="center"/>
      </w:pPr>
      <w:r>
        <w:rPr>
          <w:rFonts w:ascii="Georgia" w:cs="Georgia" w:eastAsia="Georgia" w:hAnsi="Georgia"/>
          <w:color w:val="5A5855"/>
          <w:sz w:val="18"/>
          <w:szCs w:val="18"/>
        </w:rPr>
        <w:t xml:space="preserve">Sergejs Kaminovs  ·  </w:t>
      </w:r>
      <w:r>
        <w:rPr>
          <w:rFonts w:ascii="Georgia" w:cs="Georgia" w:eastAsia="Georgia" w:hAnsi="Georgia"/>
          <w:i/>
          <w:iCs/>
          <w:color w:val="5A5855"/>
          <w:sz w:val="18"/>
          <w:szCs w:val="18"/>
        </w:rPr>
        <w:t xml:space="preserve">Self-Repair as the Missing Dimension of AI Coherence Evaluation</w:t>
      </w:r>
      <w:r>
        <w:rPr>
          <w:rFonts w:ascii="Georgia" w:cs="Georgia" w:eastAsia="Georgia" w:hAnsi="Georgia"/>
          <w:color w:val="5A5855"/>
          <w:sz w:val="18"/>
          <w:szCs w:val="18"/>
        </w:rPr>
        <w:t xml:space="preserve">  ·  Research Proposal v1.3  ·  2025</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Georgia" w:cs="Georgia" w:eastAsia="Georgia" w:hAnsi="Georgia"/>
      </w:rPr>
    </w:lvl>
    <w:lvl w:ilvl="1" w15:tentative="1">
      <w:start w:val="1"/>
      <w:numFmt w:val="bullet"/>
      <w:lvlText w:val="◦"/>
      <w:lvlJc w:val="left"/>
      <w:pPr>
        <w:ind w:left="1000" w:hanging="300"/>
      </w:pPr>
      <w:rPr>
        <w:rFonts w:ascii="Georgia" w:cs="Georgia" w:eastAsia="Georgia" w:hAnsi="Georgia"/>
      </w:rPr>
    </w:lvl>
  </w:abstractNum>
  <w:abstractNum w:abstractNumId="3" w15:restartNumberingAfterBreak="0">
    <w:multiLevelType w:val="hybridMultilevel"/>
    <w:lvl w:ilvl="0" w15:tentative="1">
      <w:start w:val="1"/>
      <w:numFmt w:val="decimal"/>
      <w:lvlText w:val="%1."/>
      <w:lvlJc w:val="left"/>
      <w:pPr>
        <w:ind w:left="600" w:hanging="300"/>
      </w:pPr>
      <w:rPr>
        <w:rFonts w:ascii="Georgia" w:cs="Georgia" w:eastAsia="Georgia" w:hAnsi="Georgi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2026-05-18T21:56:43.030Z</dcterms:created>
  <dcterms:modified xsi:type="dcterms:W3CDTF">2026-05-18T21:56:43.043Z</dcterms:modified>
</cp:coreProperties>
</file>

<file path=docProps/custom.xml><?xml version="1.0" encoding="utf-8"?>
<Properties xmlns="http://schemas.openxmlformats.org/officeDocument/2006/custom-properties" xmlns:vt="http://schemas.openxmlformats.org/officeDocument/2006/docPropsVTypes"/>
</file>