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000000"/>
          <w:sz w:val="30"/>
          <w:szCs w:val="30"/>
        </w:rPr>
        <w:t xml:space="preserve">VMS “Phish-Guard”</w:t>
      </w:r>
    </w:p>
    <w:p>
      <w:pPr>
        <w:spacing w:after="120"/>
        <w:jc w:val="center"/>
      </w:pPr>
      <w:r>
        <w:rPr>
          <w:rFonts w:ascii="Times New Roman" w:cs="Times New Roman" w:eastAsia="Times New Roman" w:hAnsi="Times New Roman"/>
          <w:b/>
          <w:bCs/>
          <w:color w:val="000000"/>
          <w:sz w:val="26"/>
          <w:szCs w:val="26"/>
        </w:rPr>
        <w:t xml:space="preserve">Workload Matrix</w:t>
      </w:r>
    </w:p>
    <w:p>
      <w:pPr>
        <w:spacing w:after="240"/>
        <w:jc w:val="center"/>
      </w:pPr>
      <w:r>
        <w:rPr>
          <w:rFonts w:ascii="Times New Roman" w:cs="Times New Roman" w:eastAsia="Times New Roman" w:hAnsi="Times New Roman"/>
          <w:i/>
          <w:iCs/>
          <w:sz w:val="20"/>
          <w:szCs w:val="20"/>
        </w:rPr>
        <w:t xml:space="preserve">Prepared by Kamira Sherman  •  September 13, 2026  •  Reconstructed at project close</w:t>
      </w:r>
    </w:p>
    <w:p>
      <w:pPr>
        <w:spacing w:after="200" w:line="276" w:lineRule="auto"/>
        <w:jc w:val="left"/>
      </w:pPr>
      <w:r>
        <w:rPr>
          <w:rFonts w:ascii="Times New Roman" w:cs="Times New Roman" w:eastAsia="Times New Roman" w:hAnsi="Times New Roman"/>
          <w:i w:val="false"/>
          <w:iCs w:val="false"/>
          <w:sz w:val="22"/>
          <w:szCs w:val="22"/>
        </w:rPr>
        <w:t xml:space="preserve">The Agile Decision Log records that a Workload Matrix was proposed on 5/30/26 (Sprint 2) and assigned to John Milling, with status left “In Progress” and no later entry marking it complete. Because the Transition Strategy, Lessons Learned report, and Sprint 3 Review Packet all describe this artifact as delivered, this document reconstructs it from the Project Charter, the Decision Log, and Sprint 1–3 records so the handoff package matches what was actually done rather than what was reported. It should be kept current by whoever inherits the project.</w:t>
      </w:r>
    </w:p>
    <w:p>
      <w:pPr>
        <w:pStyle w:val="Heading2"/>
        <w:spacing w:after="100" w:before="280"/>
      </w:pPr>
      <w:r>
        <w:rPr>
          <w:rFonts w:ascii="Times New Roman" w:cs="Times New Roman" w:eastAsia="Times New Roman" w:hAnsi="Times New Roman"/>
          <w:b/>
          <w:bCs/>
          <w:color w:val="000000"/>
          <w:sz w:val="24"/>
          <w:szCs w:val="24"/>
        </w:rPr>
        <w:t xml:space="preserve">Team Roster &amp; Core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960"/>
      </w:tblGrid>
      <w:tr>
        <w:trPr>
          <w:tblHeader/>
        </w:trPr>
        <w:tc>
          <w:tcPr>
            <w:tcW w:type="dxa" w:w="1700"/>
            <w:shd w:fill="D9D9D9" w:val="clear"/>
            <w:tcMar>
              <w:top w:type="dxa" w:w="80"/>
              <w:left w:type="dxa" w:w="100"/>
              <w:bottom w:type="dxa" w:w="80"/>
              <w:right w:type="dxa" w:w="100"/>
            </w:tcMar>
            <w:vAlign w:val="center"/>
          </w:tcPr>
          <w:p>
            <w:pPr>
              <w:spacing w:line="240" w:lineRule="auto"/>
            </w:pPr>
            <w:r>
              <w:rPr>
                <w:rFonts w:ascii="Times New Roman" w:cs="Times New Roman" w:eastAsia="Times New Roman" w:hAnsi="Times New Roman"/>
                <w:b/>
                <w:bCs/>
                <w:sz w:val="18"/>
                <w:szCs w:val="18"/>
              </w:rPr>
              <w:t xml:space="preserve">Team Member</w:t>
            </w:r>
          </w:p>
        </w:tc>
        <w:tc>
          <w:tcPr>
            <w:tcW w:type="dxa" w:w="1700"/>
            <w:shd w:fill="D9D9D9" w:val="clear"/>
            <w:tcMar>
              <w:top w:type="dxa" w:w="80"/>
              <w:left w:type="dxa" w:w="100"/>
              <w:bottom w:type="dxa" w:w="80"/>
              <w:right w:type="dxa" w:w="100"/>
            </w:tcMar>
            <w:vAlign w:val="center"/>
          </w:tcPr>
          <w:p>
            <w:pPr>
              <w:spacing w:line="240" w:lineRule="auto"/>
            </w:pPr>
            <w:r>
              <w:rPr>
                <w:rFonts w:ascii="Times New Roman" w:cs="Times New Roman" w:eastAsia="Times New Roman" w:hAnsi="Times New Roman"/>
                <w:b/>
                <w:bCs/>
                <w:sz w:val="18"/>
                <w:szCs w:val="18"/>
              </w:rPr>
              <w:t xml:space="preserve">Role</w:t>
            </w:r>
          </w:p>
        </w:tc>
        <w:tc>
          <w:tcPr>
            <w:tcW w:type="dxa" w:w="5960"/>
            <w:shd w:fill="D9D9D9" w:val="clear"/>
            <w:tcMar>
              <w:top w:type="dxa" w:w="80"/>
              <w:left w:type="dxa" w:w="100"/>
              <w:bottom w:type="dxa" w:w="80"/>
              <w:right w:type="dxa" w:w="100"/>
            </w:tcMar>
            <w:vAlign w:val="center"/>
          </w:tcPr>
          <w:p>
            <w:pPr>
              <w:spacing w:line="240" w:lineRule="auto"/>
            </w:pPr>
            <w:r>
              <w:rPr>
                <w:rFonts w:ascii="Times New Roman" w:cs="Times New Roman" w:eastAsia="Times New Roman" w:hAnsi="Times New Roman"/>
                <w:b/>
                <w:bCs/>
                <w:sz w:val="18"/>
                <w:szCs w:val="18"/>
              </w:rPr>
              <w:t xml:space="preserve">Core Responsibility (per Project Charter)</w:t>
            </w:r>
          </w:p>
        </w:tc>
      </w:tr>
      <w:tr>
        <w:tc>
          <w:tcPr>
            <w:tcW w:type="dxa" w:w="17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Kamira Sherman</w:t>
            </w:r>
          </w:p>
        </w:tc>
        <w:tc>
          <w:tcPr>
            <w:tcW w:type="dxa" w:w="17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Project Manager / Scrum Master</w:t>
            </w:r>
          </w:p>
        </w:tc>
        <w:tc>
          <w:tcPr>
            <w:tcW w:type="dxa" w:w="596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Coordinates project activities, facilitates meetings, maintains sprint visibility, tracks risks, supports client communication, and ensures deliverables stay aligned with objectives.</w:t>
            </w:r>
          </w:p>
        </w:tc>
      </w:tr>
      <w:tr>
        <w:tc>
          <w:tcPr>
            <w:tcW w:type="dxa" w:w="17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Eddie Valdes</w:t>
            </w:r>
          </w:p>
        </w:tc>
        <w:tc>
          <w:tcPr>
            <w:tcW w:type="dxa" w:w="17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Front-End Developer</w:t>
            </w:r>
          </w:p>
        </w:tc>
        <w:tc>
          <w:tcPr>
            <w:tcW w:type="dxa" w:w="596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Designs and supports user-facing portal components, the landing-page experience, and the education-module interface.</w:t>
            </w:r>
          </w:p>
        </w:tc>
      </w:tr>
      <w:tr>
        <w:tc>
          <w:tcPr>
            <w:tcW w:type="dxa" w:w="17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Aron Queen</w:t>
            </w:r>
          </w:p>
        </w:tc>
        <w:tc>
          <w:tcPr>
            <w:tcW w:type="dxa" w:w="17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Backend Developer</w:t>
            </w:r>
          </w:p>
        </w:tc>
        <w:tc>
          <w:tcPr>
            <w:tcW w:type="dxa" w:w="596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Supports server-side functionality, event-tracking logic, data flow, and integration between simulation actions and reporting.</w:t>
            </w:r>
          </w:p>
        </w:tc>
      </w:tr>
      <w:tr>
        <w:tc>
          <w:tcPr>
            <w:tcW w:type="dxa" w:w="17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John Milling</w:t>
            </w:r>
          </w:p>
        </w:tc>
        <w:tc>
          <w:tcPr>
            <w:tcW w:type="dxa" w:w="17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Security Content Creator</w:t>
            </w:r>
          </w:p>
        </w:tc>
        <w:tc>
          <w:tcPr>
            <w:tcW w:type="dxa" w:w="596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Develops phishing-awareness content, simulated email indicators, quiz questions, and training material aligned with safe user education.</w:t>
            </w:r>
          </w:p>
        </w:tc>
      </w:tr>
      <w:tr>
        <w:tc>
          <w:tcPr>
            <w:tcW w:type="dxa" w:w="17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Aaron Thomas / Chelissia Sumbry</w:t>
            </w:r>
          </w:p>
        </w:tc>
        <w:tc>
          <w:tcPr>
            <w:tcW w:type="dxa" w:w="17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Systems Administrators (shared)</w:t>
            </w:r>
          </w:p>
        </w:tc>
        <w:tc>
          <w:tcPr>
            <w:tcW w:type="dxa" w:w="596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Support hosting, system configuration, environment setup, access management, and operational documentation.</w:t>
            </w:r>
          </w:p>
        </w:tc>
      </w:tr>
    </w:tbl>
    <w:p>
      <w:pPr>
        <w:pStyle w:val="Heading2"/>
        <w:spacing w:after="100" w:before="280"/>
      </w:pPr>
      <w:r>
        <w:rPr>
          <w:rFonts w:ascii="Times New Roman" w:cs="Times New Roman" w:eastAsia="Times New Roman" w:hAnsi="Times New Roman"/>
          <w:b/>
          <w:bCs/>
          <w:color w:val="000000"/>
          <w:sz w:val="24"/>
          <w:szCs w:val="24"/>
        </w:rPr>
        <w:t xml:space="preserve">Governance &amp; Documentation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80"/>
        <w:gridCol w:w="2380"/>
      </w:tblGrid>
      <w:tr>
        <w:trPr>
          <w:tblHeader/>
        </w:trPr>
        <w:tc>
          <w:tcPr>
            <w:tcW w:type="dxa" w:w="4600"/>
            <w:shd w:fill="D9D9D9" w:val="clear"/>
            <w:tcMar>
              <w:top w:type="dxa" w:w="80"/>
              <w:left w:type="dxa" w:w="100"/>
              <w:bottom w:type="dxa" w:w="80"/>
              <w:right w:type="dxa" w:w="100"/>
            </w:tcMar>
            <w:vAlign w:val="center"/>
          </w:tcPr>
          <w:p>
            <w:pPr>
              <w:spacing w:line="240" w:lineRule="auto"/>
            </w:pPr>
            <w:r>
              <w:rPr>
                <w:rFonts w:ascii="Times New Roman" w:cs="Times New Roman" w:eastAsia="Times New Roman" w:hAnsi="Times New Roman"/>
                <w:b/>
                <w:bCs/>
                <w:sz w:val="18"/>
                <w:szCs w:val="18"/>
              </w:rPr>
              <w:t xml:space="preserve">Governance Artifact</w:t>
            </w:r>
          </w:p>
        </w:tc>
        <w:tc>
          <w:tcPr>
            <w:tcW w:type="dxa" w:w="2380"/>
            <w:shd w:fill="D9D9D9" w:val="clear"/>
            <w:tcMar>
              <w:top w:type="dxa" w:w="80"/>
              <w:left w:type="dxa" w:w="100"/>
              <w:bottom w:type="dxa" w:w="80"/>
              <w:right w:type="dxa" w:w="100"/>
            </w:tcMar>
            <w:vAlign w:val="center"/>
          </w:tcPr>
          <w:p>
            <w:pPr>
              <w:spacing w:line="240" w:lineRule="auto"/>
            </w:pPr>
            <w:r>
              <w:rPr>
                <w:rFonts w:ascii="Times New Roman" w:cs="Times New Roman" w:eastAsia="Times New Roman" w:hAnsi="Times New Roman"/>
                <w:b/>
                <w:bCs/>
                <w:sz w:val="18"/>
                <w:szCs w:val="18"/>
              </w:rPr>
              <w:t xml:space="preserve">Owner</w:t>
            </w:r>
          </w:p>
        </w:tc>
        <w:tc>
          <w:tcPr>
            <w:tcW w:type="dxa" w:w="2380"/>
            <w:shd w:fill="D9D9D9" w:val="clear"/>
            <w:tcMar>
              <w:top w:type="dxa" w:w="80"/>
              <w:left w:type="dxa" w:w="100"/>
              <w:bottom w:type="dxa" w:w="80"/>
              <w:right w:type="dxa" w:w="100"/>
            </w:tcMar>
            <w:vAlign w:val="center"/>
          </w:tcPr>
          <w:p>
            <w:pPr>
              <w:spacing w:line="240" w:lineRule="auto"/>
            </w:pPr>
            <w:r>
              <w:rPr>
                <w:rFonts w:ascii="Times New Roman" w:cs="Times New Roman" w:eastAsia="Times New Roman" w:hAnsi="Times New Roman"/>
                <w:b/>
                <w:bCs/>
                <w:sz w:val="18"/>
                <w:szCs w:val="18"/>
              </w:rPr>
              <w:t xml:space="preserve">Status</w:t>
            </w:r>
          </w:p>
        </w:tc>
      </w:tr>
      <w:tr>
        <w:tc>
          <w:tcPr>
            <w:tcW w:type="dxa" w:w="46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Project Charter &amp; Agile Decision Log</w:t>
            </w:r>
          </w:p>
        </w:tc>
        <w:tc>
          <w:tcPr>
            <w:tcW w:type="dxa" w:w="238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Kamira Sherman</w:t>
            </w:r>
          </w:p>
        </w:tc>
        <w:tc>
          <w:tcPr>
            <w:tcW w:type="dxa" w:w="238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Maintained</w:t>
            </w:r>
          </w:p>
        </w:tc>
      </w:tr>
      <w:tr>
        <w:tc>
          <w:tcPr>
            <w:tcW w:type="dxa" w:w="46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Product Backlog &amp; Client Communications</w:t>
            </w:r>
          </w:p>
        </w:tc>
        <w:tc>
          <w:tcPr>
            <w:tcW w:type="dxa" w:w="238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Kamira Sherman</w:t>
            </w:r>
          </w:p>
        </w:tc>
        <w:tc>
          <w:tcPr>
            <w:tcW w:type="dxa" w:w="238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Maintained</w:t>
            </w:r>
          </w:p>
        </w:tc>
      </w:tr>
      <w:tr>
        <w:tc>
          <w:tcPr>
            <w:tcW w:type="dxa" w:w="46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Traceability Matrix</w:t>
            </w:r>
          </w:p>
        </w:tc>
        <w:tc>
          <w:tcPr>
            <w:tcW w:type="dxa" w:w="238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Aaron Thomas / Chelissia Sumbry</w:t>
            </w:r>
          </w:p>
        </w:tc>
        <w:tc>
          <w:tcPr>
            <w:tcW w:type="dxa" w:w="238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Reassigned 8/19/26</w:t>
            </w:r>
          </w:p>
        </w:tc>
      </w:tr>
      <w:tr>
        <w:tc>
          <w:tcPr>
            <w:tcW w:type="dxa" w:w="46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Dependency Matrix</w:t>
            </w:r>
          </w:p>
        </w:tc>
        <w:tc>
          <w:tcPr>
            <w:tcW w:type="dxa" w:w="238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Aaron Thomas / Chelissia Sumbry</w:t>
            </w:r>
          </w:p>
        </w:tc>
        <w:tc>
          <w:tcPr>
            <w:tcW w:type="dxa" w:w="238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Maintained</w:t>
            </w:r>
          </w:p>
        </w:tc>
      </w:tr>
      <w:tr>
        <w:tc>
          <w:tcPr>
            <w:tcW w:type="dxa" w:w="46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Safe Data Handling Plan &amp; Technical Addendum</w:t>
            </w:r>
          </w:p>
        </w:tc>
        <w:tc>
          <w:tcPr>
            <w:tcW w:type="dxa" w:w="238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Aron Queen (backend) / John Milling (ethics)</w:t>
            </w:r>
          </w:p>
        </w:tc>
        <w:tc>
          <w:tcPr>
            <w:tcW w:type="dxa" w:w="238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Maintained</w:t>
            </w:r>
          </w:p>
        </w:tc>
      </w:tr>
      <w:tr>
        <w:tc>
          <w:tcPr>
            <w:tcW w:type="dxa" w:w="46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Ethical &amp; Security Test-Case Documentation</w:t>
            </w:r>
          </w:p>
        </w:tc>
        <w:tc>
          <w:tcPr>
            <w:tcW w:type="dxa" w:w="238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John Milling</w:t>
            </w:r>
          </w:p>
        </w:tc>
        <w:tc>
          <w:tcPr>
            <w:tcW w:type="dxa" w:w="238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Reassigned 8/19/26</w:t>
            </w:r>
          </w:p>
        </w:tc>
      </w:tr>
      <w:tr>
        <w:tc>
          <w:tcPr>
            <w:tcW w:type="dxa" w:w="46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Workload Matrix (this document)</w:t>
            </w:r>
          </w:p>
        </w:tc>
        <w:tc>
          <w:tcPr>
            <w:tcW w:type="dxa" w:w="238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John Milling (assigned 5/30/26) → completed retroactively by PM</w:t>
            </w:r>
          </w:p>
        </w:tc>
        <w:tc>
          <w:tcPr>
            <w:tcW w:type="dxa" w:w="238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See note below</w:t>
            </w:r>
          </w:p>
        </w:tc>
      </w:tr>
    </w:tbl>
    <w:p>
      <w:pPr>
        <w:pStyle w:val="Heading2"/>
        <w:spacing w:after="100" w:before="280"/>
      </w:pPr>
      <w:r>
        <w:rPr>
          <w:rFonts w:ascii="Times New Roman" w:cs="Times New Roman" w:eastAsia="Times New Roman" w:hAnsi="Times New Roman"/>
          <w:b/>
          <w:bCs/>
          <w:color w:val="000000"/>
          <w:sz w:val="24"/>
          <w:szCs w:val="24"/>
        </w:rPr>
        <w:t xml:space="preserve">Sprint 3 Backlog Ownership at Project Close</w:t>
      </w:r>
    </w:p>
    <w:p>
      <w:pPr>
        <w:spacing w:after="200" w:line="276" w:lineRule="auto"/>
        <w:jc w:val="left"/>
      </w:pPr>
      <w:r>
        <w:rPr>
          <w:rFonts w:ascii="Times New Roman" w:cs="Times New Roman" w:eastAsia="Times New Roman" w:hAnsi="Times New Roman"/>
          <w:i w:val="false"/>
          <w:iCs w:val="false"/>
          <w:sz w:val="22"/>
          <w:szCs w:val="22"/>
        </w:rPr>
        <w:t xml:space="preserve">Ownership and points below are confirmed directly against the SCRUM Sprint 3 Jira board (Aug 30 – Sep 13, 2026). The 10 technical and governance backlog items are tabulated below with owner and story points as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200"/>
        <w:gridCol w:w="900"/>
        <w:gridCol w:w="1760"/>
      </w:tblGrid>
      <w:tr>
        <w:trPr>
          <w:tblHeader/>
        </w:trPr>
        <w:tc>
          <w:tcPr>
            <w:tcW w:type="dxa" w:w="900"/>
            <w:shd w:fill="D9D9D9" w:val="clear"/>
            <w:tcMar>
              <w:top w:type="dxa" w:w="80"/>
              <w:left w:type="dxa" w:w="100"/>
              <w:bottom w:type="dxa" w:w="80"/>
              <w:right w:type="dxa" w:w="100"/>
            </w:tcMar>
            <w:vAlign w:val="center"/>
          </w:tcPr>
          <w:p>
            <w:pPr>
              <w:spacing w:line="240" w:lineRule="auto"/>
            </w:pPr>
            <w:r>
              <w:rPr>
                <w:rFonts w:ascii="Times New Roman" w:cs="Times New Roman" w:eastAsia="Times New Roman" w:hAnsi="Times New Roman"/>
                <w:b/>
                <w:bCs/>
                <w:sz w:val="18"/>
                <w:szCs w:val="18"/>
              </w:rPr>
              <w:t xml:space="preserve">ID</w:t>
            </w:r>
          </w:p>
        </w:tc>
        <w:tc>
          <w:tcPr>
            <w:tcW w:type="dxa" w:w="3600"/>
            <w:shd w:fill="D9D9D9" w:val="clear"/>
            <w:tcMar>
              <w:top w:type="dxa" w:w="80"/>
              <w:left w:type="dxa" w:w="100"/>
              <w:bottom w:type="dxa" w:w="80"/>
              <w:right w:type="dxa" w:w="100"/>
            </w:tcMar>
            <w:vAlign w:val="center"/>
          </w:tcPr>
          <w:p>
            <w:pPr>
              <w:spacing w:line="240" w:lineRule="auto"/>
            </w:pPr>
            <w:r>
              <w:rPr>
                <w:rFonts w:ascii="Times New Roman" w:cs="Times New Roman" w:eastAsia="Times New Roman" w:hAnsi="Times New Roman"/>
                <w:b/>
                <w:bCs/>
                <w:sz w:val="18"/>
                <w:szCs w:val="18"/>
              </w:rPr>
              <w:t xml:space="preserve">Requirement</w:t>
            </w:r>
          </w:p>
        </w:tc>
        <w:tc>
          <w:tcPr>
            <w:tcW w:type="dxa" w:w="2200"/>
            <w:shd w:fill="D9D9D9" w:val="clear"/>
            <w:tcMar>
              <w:top w:type="dxa" w:w="80"/>
              <w:left w:type="dxa" w:w="100"/>
              <w:bottom w:type="dxa" w:w="80"/>
              <w:right w:type="dxa" w:w="100"/>
            </w:tcMar>
            <w:vAlign w:val="center"/>
          </w:tcPr>
          <w:p>
            <w:pPr>
              <w:spacing w:line="240" w:lineRule="auto"/>
            </w:pPr>
            <w:r>
              <w:rPr>
                <w:rFonts w:ascii="Times New Roman" w:cs="Times New Roman" w:eastAsia="Times New Roman" w:hAnsi="Times New Roman"/>
                <w:b/>
                <w:bCs/>
                <w:sz w:val="18"/>
                <w:szCs w:val="18"/>
              </w:rPr>
              <w:t xml:space="preserve">Owner</w:t>
            </w:r>
          </w:p>
        </w:tc>
        <w:tc>
          <w:tcPr>
            <w:tcW w:type="dxa" w:w="900"/>
            <w:shd w:fill="D9D9D9" w:val="clear"/>
            <w:tcMar>
              <w:top w:type="dxa" w:w="80"/>
              <w:left w:type="dxa" w:w="100"/>
              <w:bottom w:type="dxa" w:w="80"/>
              <w:right w:type="dxa" w:w="100"/>
            </w:tcMar>
            <w:vAlign w:val="center"/>
          </w:tcPr>
          <w:p>
            <w:pPr>
              <w:spacing w:line="240" w:lineRule="auto"/>
            </w:pPr>
            <w:r>
              <w:rPr>
                <w:rFonts w:ascii="Times New Roman" w:cs="Times New Roman" w:eastAsia="Times New Roman" w:hAnsi="Times New Roman"/>
                <w:b/>
                <w:bCs/>
                <w:sz w:val="18"/>
                <w:szCs w:val="18"/>
              </w:rPr>
              <w:t xml:space="preserve">Points</w:t>
            </w:r>
          </w:p>
        </w:tc>
        <w:tc>
          <w:tcPr>
            <w:tcW w:type="dxa" w:w="1760"/>
            <w:shd w:fill="D9D9D9" w:val="clear"/>
            <w:tcMar>
              <w:top w:type="dxa" w:w="80"/>
              <w:left w:type="dxa" w:w="100"/>
              <w:bottom w:type="dxa" w:w="80"/>
              <w:right w:type="dxa" w:w="100"/>
            </w:tcMar>
            <w:vAlign w:val="center"/>
          </w:tcPr>
          <w:p>
            <w:pPr>
              <w:spacing w:line="240" w:lineRule="auto"/>
            </w:pPr>
            <w:r>
              <w:rPr>
                <w:rFonts w:ascii="Times New Roman" w:cs="Times New Roman" w:eastAsia="Times New Roman" w:hAnsi="Times New Roman"/>
                <w:b/>
                <w:bCs/>
                <w:sz w:val="18"/>
                <w:szCs w:val="18"/>
              </w:rPr>
              <w:t xml:space="preserve">Status</w:t>
            </w:r>
          </w:p>
        </w:tc>
      </w:tr>
      <w:tr>
        <w:tc>
          <w:tcPr>
            <w:tcW w:type="dxa" w:w="9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PB-02</w:t>
            </w:r>
          </w:p>
        </w:tc>
        <w:tc>
          <w:tcPr>
            <w:tcW w:type="dxa" w:w="36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Role-based access control</w:t>
            </w:r>
          </w:p>
        </w:tc>
        <w:tc>
          <w:tcPr>
            <w:tcW w:type="dxa" w:w="22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John Milling</w:t>
            </w:r>
          </w:p>
        </w:tc>
        <w:tc>
          <w:tcPr>
            <w:tcW w:type="dxa" w:w="9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8</w:t>
            </w:r>
          </w:p>
        </w:tc>
        <w:tc>
          <w:tcPr>
            <w:tcW w:type="dxa" w:w="176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Done</w:t>
            </w:r>
          </w:p>
        </w:tc>
      </w:tr>
      <w:tr>
        <w:tc>
          <w:tcPr>
            <w:tcW w:type="dxa" w:w="9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PB-05</w:t>
            </w:r>
          </w:p>
        </w:tc>
        <w:tc>
          <w:tcPr>
            <w:tcW w:type="dxa" w:w="36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Phishing landing pages</w:t>
            </w:r>
          </w:p>
        </w:tc>
        <w:tc>
          <w:tcPr>
            <w:tcW w:type="dxa" w:w="22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Eddie Valdes</w:t>
            </w:r>
          </w:p>
        </w:tc>
        <w:tc>
          <w:tcPr>
            <w:tcW w:type="dxa" w:w="9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8</w:t>
            </w:r>
          </w:p>
        </w:tc>
        <w:tc>
          <w:tcPr>
            <w:tcW w:type="dxa" w:w="176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Done</w:t>
            </w:r>
          </w:p>
        </w:tc>
      </w:tr>
      <w:tr>
        <w:tc>
          <w:tcPr>
            <w:tcW w:type="dxa" w:w="9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PB-07</w:t>
            </w:r>
          </w:p>
        </w:tc>
        <w:tc>
          <w:tcPr>
            <w:tcW w:type="dxa" w:w="36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Reporting dashboard (live data)</w:t>
            </w:r>
          </w:p>
        </w:tc>
        <w:tc>
          <w:tcPr>
            <w:tcW w:type="dxa" w:w="22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Eddie Valdes</w:t>
            </w:r>
          </w:p>
        </w:tc>
        <w:tc>
          <w:tcPr>
            <w:tcW w:type="dxa" w:w="9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8</w:t>
            </w:r>
          </w:p>
        </w:tc>
        <w:tc>
          <w:tcPr>
            <w:tcW w:type="dxa" w:w="176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Done</w:t>
            </w:r>
          </w:p>
        </w:tc>
      </w:tr>
      <w:tr>
        <w:tc>
          <w:tcPr>
            <w:tcW w:type="dxa" w:w="9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PB-09</w:t>
            </w:r>
          </w:p>
        </w:tc>
        <w:tc>
          <w:tcPr>
            <w:tcW w:type="dxa" w:w="36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Education-module redirect workflow</w:t>
            </w:r>
          </w:p>
        </w:tc>
        <w:tc>
          <w:tcPr>
            <w:tcW w:type="dxa" w:w="22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Eddie Valdes</w:t>
            </w:r>
          </w:p>
        </w:tc>
        <w:tc>
          <w:tcPr>
            <w:tcW w:type="dxa" w:w="9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5</w:t>
            </w:r>
          </w:p>
        </w:tc>
        <w:tc>
          <w:tcPr>
            <w:tcW w:type="dxa" w:w="176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Done</w:t>
            </w:r>
          </w:p>
        </w:tc>
      </w:tr>
      <w:tr>
        <w:tc>
          <w:tcPr>
            <w:tcW w:type="dxa" w:w="9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PB-10</w:t>
            </w:r>
          </w:p>
        </w:tc>
        <w:tc>
          <w:tcPr>
            <w:tcW w:type="dxa" w:w="36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Phishing-awareness quiz</w:t>
            </w:r>
          </w:p>
        </w:tc>
        <w:tc>
          <w:tcPr>
            <w:tcW w:type="dxa" w:w="22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John Milling</w:t>
            </w:r>
          </w:p>
        </w:tc>
        <w:tc>
          <w:tcPr>
            <w:tcW w:type="dxa" w:w="9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5</w:t>
            </w:r>
          </w:p>
        </w:tc>
        <w:tc>
          <w:tcPr>
            <w:tcW w:type="dxa" w:w="176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Done</w:t>
            </w:r>
          </w:p>
        </w:tc>
      </w:tr>
      <w:tr>
        <w:tc>
          <w:tcPr>
            <w:tcW w:type="dxa" w:w="9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PB-13</w:t>
            </w:r>
          </w:p>
        </w:tc>
        <w:tc>
          <w:tcPr>
            <w:tcW w:type="dxa" w:w="36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Email delivery integrations</w:t>
            </w:r>
          </w:p>
        </w:tc>
        <w:tc>
          <w:tcPr>
            <w:tcW w:type="dxa" w:w="22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Aron Queen</w:t>
            </w:r>
          </w:p>
        </w:tc>
        <w:tc>
          <w:tcPr>
            <w:tcW w:type="dxa" w:w="9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5</w:t>
            </w:r>
          </w:p>
        </w:tc>
        <w:tc>
          <w:tcPr>
            <w:tcW w:type="dxa" w:w="176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Done</w:t>
            </w:r>
          </w:p>
        </w:tc>
      </w:tr>
      <w:tr>
        <w:tc>
          <w:tcPr>
            <w:tcW w:type="dxa" w:w="9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PB-14</w:t>
            </w:r>
          </w:p>
        </w:tc>
        <w:tc>
          <w:tcPr>
            <w:tcW w:type="dxa" w:w="36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Third-party API validation controls</w:t>
            </w:r>
          </w:p>
        </w:tc>
        <w:tc>
          <w:tcPr>
            <w:tcW w:type="dxa" w:w="22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Aron Queen</w:t>
            </w:r>
          </w:p>
        </w:tc>
        <w:tc>
          <w:tcPr>
            <w:tcW w:type="dxa" w:w="9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w:t>
            </w:r>
          </w:p>
        </w:tc>
        <w:tc>
          <w:tcPr>
            <w:tcW w:type="dxa" w:w="176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Done</w:t>
            </w:r>
          </w:p>
        </w:tc>
      </w:tr>
      <w:tr>
        <w:tc>
          <w:tcPr>
            <w:tcW w:type="dxa" w:w="9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PB-15</w:t>
            </w:r>
          </w:p>
        </w:tc>
        <w:tc>
          <w:tcPr>
            <w:tcW w:type="dxa" w:w="36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SSTI mitigation documentation</w:t>
            </w:r>
          </w:p>
        </w:tc>
        <w:tc>
          <w:tcPr>
            <w:tcW w:type="dxa" w:w="22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John Milling</w:t>
            </w:r>
          </w:p>
        </w:tc>
        <w:tc>
          <w:tcPr>
            <w:tcW w:type="dxa" w:w="9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w:t>
            </w:r>
          </w:p>
        </w:tc>
        <w:tc>
          <w:tcPr>
            <w:tcW w:type="dxa" w:w="176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Done</w:t>
            </w:r>
          </w:p>
        </w:tc>
      </w:tr>
      <w:tr>
        <w:tc>
          <w:tcPr>
            <w:tcW w:type="dxa" w:w="9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PB-16</w:t>
            </w:r>
          </w:p>
        </w:tc>
        <w:tc>
          <w:tcPr>
            <w:tcW w:type="dxa" w:w="36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AI security considerations documentation</w:t>
            </w:r>
          </w:p>
        </w:tc>
        <w:tc>
          <w:tcPr>
            <w:tcW w:type="dxa" w:w="22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Aron Queen</w:t>
            </w:r>
          </w:p>
        </w:tc>
        <w:tc>
          <w:tcPr>
            <w:tcW w:type="dxa" w:w="9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w:t>
            </w:r>
          </w:p>
        </w:tc>
        <w:tc>
          <w:tcPr>
            <w:tcW w:type="dxa" w:w="176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Done</w:t>
            </w:r>
          </w:p>
        </w:tc>
      </w:tr>
      <w:tr>
        <w:tc>
          <w:tcPr>
            <w:tcW w:type="dxa" w:w="9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PB-21</w:t>
            </w:r>
          </w:p>
        </w:tc>
        <w:tc>
          <w:tcPr>
            <w:tcW w:type="dxa" w:w="36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Secure media upload validation</w:t>
            </w:r>
          </w:p>
        </w:tc>
        <w:tc>
          <w:tcPr>
            <w:tcW w:type="dxa" w:w="22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John Milling</w:t>
            </w:r>
          </w:p>
        </w:tc>
        <w:tc>
          <w:tcPr>
            <w:tcW w:type="dxa" w:w="90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w:t>
            </w:r>
          </w:p>
        </w:tc>
        <w:tc>
          <w:tcPr>
            <w:tcW w:type="dxa" w:w="1760"/>
            <w:tcMar>
              <w:top w:type="dxa" w:w="80"/>
              <w:left w:type="dxa" w:w="100"/>
              <w:bottom w:type="dxa" w:w="80"/>
              <w:right w:type="dxa" w:w="100"/>
            </w:tcMar>
            <w:vAlign w:val="center"/>
          </w:tcPr>
          <w:p>
            <w:pPr>
              <w:spacing w:line="240" w:lineRule="auto"/>
            </w:pPr>
            <w:r>
              <w:rPr>
                <w:rFonts w:ascii="Times New Roman" w:cs="Times New Roman" w:eastAsia="Times New Roman" w:hAnsi="Times New Roman"/>
                <w:b w:val="false"/>
                <w:bCs w:val="false"/>
                <w:sz w:val="18"/>
                <w:szCs w:val="18"/>
              </w:rPr>
              <w:t xml:space="preserve">Done</w:t>
            </w:r>
          </w:p>
        </w:tc>
      </w:tr>
    </w:tbl>
    <w:p>
      <w:pPr>
        <w:pStyle w:val="Heading2"/>
        <w:spacing w:after="100" w:before="280"/>
      </w:pPr>
      <w:r>
        <w:rPr>
          <w:rFonts w:ascii="Times New Roman" w:cs="Times New Roman" w:eastAsia="Times New Roman" w:hAnsi="Times New Roman"/>
          <w:b/>
          <w:bCs/>
          <w:color w:val="000000"/>
          <w:sz w:val="24"/>
          <w:szCs w:val="24"/>
        </w:rPr>
        <w:t xml:space="preserve">Workload Observations</w:t>
      </w:r>
    </w:p>
    <w:p>
      <w:pPr>
        <w:spacing w:after="200" w:line="276" w:lineRule="auto"/>
        <w:jc w:val="left"/>
      </w:pPr>
      <w:r>
        <w:rPr>
          <w:rFonts w:ascii="Times New Roman" w:cs="Times New Roman" w:eastAsia="Times New Roman" w:hAnsi="Times New Roman"/>
          <w:i w:val="false"/>
          <w:iCs w:val="false"/>
          <w:sz w:val="22"/>
          <w:szCs w:val="22"/>
        </w:rPr>
        <w:t xml:space="preserve">PM/Scrum Master concentration, identified mid-project: through Sprint 2 of implementation, Kamira Sherman held governance documentation, traceability, dependency tracking, and client communication simultaneously. This was corrected on 8/19/26 by reassigning Traceability Matrix ownership to Aaron Thomas and Chelissia Sumbry and ethical/security test-case documentation to John Milling.</w:t>
      </w:r>
    </w:p>
    <w:p>
      <w:pPr>
        <w:spacing w:after="200" w:line="276" w:lineRule="auto"/>
        <w:jc w:val="left"/>
      </w:pPr>
      <w:r>
        <w:rPr>
          <w:rFonts w:ascii="Times New Roman" w:cs="Times New Roman" w:eastAsia="Times New Roman" w:hAnsi="Times New Roman"/>
          <w:i w:val="false"/>
          <w:iCs w:val="false"/>
          <w:sz w:val="22"/>
          <w:szCs w:val="22"/>
        </w:rPr>
        <w:t xml:space="preserve">Second concentration: among the ten Sprint 3 items, John Milling owned four (PB-02, PB-10, PB-15, PB-21) — more than Eddie Valdes (three: PB-05, PB-07, PB-09) or Aron Queen (three: PB-13, PB-14, PB-16) — plus the reassigned test-case documentation and the Workload Matrix itself, the heaviest single-person load among confirmed owners this sprint. Any future team continuing this project should distribute security-documentation and content-authoring work across more than one owner.</w:t>
      </w:r>
    </w:p>
    <w:sectPr>
      <w:head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2026-09-15T02:07:42.723Z</dcterms:created>
  <dcterms:modified xsi:type="dcterms:W3CDTF">2026-09-15T02:07:42.730Z</dcterms:modified>
</cp:coreProperties>
</file>

<file path=docProps/custom.xml><?xml version="1.0" encoding="utf-8"?>
<Properties xmlns="http://schemas.openxmlformats.org/officeDocument/2006/custom-properties" xmlns:vt="http://schemas.openxmlformats.org/officeDocument/2006/docPropsVTypes"/>
</file>