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8D65" w14:textId="77777777" w:rsidR="00D86561" w:rsidRDefault="00CB53CE">
      <w:pPr>
        <w:spacing w:after="60"/>
      </w:pPr>
      <w:r>
        <w:rPr>
          <w:b/>
          <w:bCs/>
          <w:sz w:val="36"/>
          <w:szCs w:val="36"/>
        </w:rPr>
        <w:t>VMS "Phish-Guard" Project</w:t>
      </w:r>
    </w:p>
    <w:p w14:paraId="481E1696" w14:textId="77777777" w:rsidR="00D86561" w:rsidRDefault="00CB53CE">
      <w:pPr>
        <w:spacing w:after="240"/>
      </w:pPr>
      <w:r>
        <w:rPr>
          <w:b/>
          <w:bCs/>
          <w:color w:val="1F4E78"/>
          <w:sz w:val="26"/>
          <w:szCs w:val="26"/>
        </w:rPr>
        <w:t>AI Security Considerations — Technical Addendum (PB-16)</w:t>
      </w:r>
    </w:p>
    <w:p w14:paraId="4555497D" w14:textId="77777777" w:rsidR="00D86561" w:rsidRDefault="00CB53CE">
      <w:pPr>
        <w:pStyle w:val="Heading1"/>
        <w:spacing w:before="240" w:after="120"/>
      </w:pPr>
      <w:r>
        <w:t>1. Purpose and Scope</w:t>
      </w:r>
    </w:p>
    <w:p w14:paraId="73F127CF" w14:textId="77777777" w:rsidR="00D86561" w:rsidRDefault="00CB53CE">
      <w:pPr>
        <w:spacing w:after="160"/>
      </w:pPr>
      <w:r>
        <w:t xml:space="preserve">This document satisfies Product Backlog item PB-16, “Document AI security considerations,” for the VMS Phish-Guard platform (Project 2). It records the application’s current use of artificial intelligence, the security rationale behind that design choice, and the risk considerations the team will apply if a future phase proposes adding AI-assisted functionality. It is written to stand alongside the Technical Architecture Document and the </w:t>
      </w:r>
      <w:proofErr w:type="spellStart"/>
      <w:r>
        <w:t>PhishGuard</w:t>
      </w:r>
      <w:proofErr w:type="spellEnd"/>
      <w:r>
        <w:t xml:space="preserve"> Safe Data Handling Plan Technical Addendum as part of the project’s governance and traceability record.</w:t>
      </w:r>
    </w:p>
    <w:p w14:paraId="05912385" w14:textId="77777777" w:rsidR="00D86561" w:rsidRDefault="00CB53CE">
      <w:pPr>
        <w:pStyle w:val="Heading1"/>
        <w:spacing w:before="240" w:after="120"/>
      </w:pPr>
      <w:r>
        <w:t>2. Current AI Posture: No Generative or Third-Party AI Components</w:t>
      </w:r>
    </w:p>
    <w:p w14:paraId="2C0C4769" w14:textId="77777777" w:rsidR="00D86561" w:rsidRDefault="00CB53CE">
      <w:pPr>
        <w:spacing w:after="160"/>
      </w:pPr>
      <w:proofErr w:type="spellStart"/>
      <w:r>
        <w:t>PhishGuard</w:t>
      </w:r>
      <w:proofErr w:type="spellEnd"/>
      <w:r>
        <w:t>, as delivered, does not use artificial intelligence, machine learning, or any generative-AI service anywhere in its production functionality. Per Section 5 of the Technical Architecture Document, campaign drafts are generated from a fixed, local library of six pre-approved workplace scenarios — account notice, shared document, IT maintenance, event invitation, package notice, and policy review — offered at basic, intermediate, or advanced difficulty. This function “does not call any external or generative-</w:t>
      </w:r>
      <w:r>
        <w:t>AI service, does not invent sender identities, and does not produce credential forms, external links, or attachments.”</w:t>
      </w:r>
    </w:p>
    <w:p w14:paraId="6E1C536B" w14:textId="77777777" w:rsidR="00D86561" w:rsidRDefault="00CB53CE">
      <w:pPr>
        <w:spacing w:after="160"/>
      </w:pPr>
      <w:r>
        <w:t>No AI or ML component is used elsewhere in the application either. Role-based access control, event tracking, reporting, audit logging, and the phishing-awareness quiz are all implemented as deterministic, rule-based logic (see Technical Architecture Document, Sections 2–6), not as model-driven behavior.</w:t>
      </w:r>
    </w:p>
    <w:p w14:paraId="4FB92CA0" w14:textId="77777777" w:rsidR="00D86561" w:rsidRDefault="00CB53CE">
      <w:pPr>
        <w:pStyle w:val="Heading1"/>
        <w:spacing w:before="240" w:after="120"/>
      </w:pPr>
      <w:r>
        <w:t>3. Why a Static Content Library Was Chosen Over Generative AI</w:t>
      </w:r>
    </w:p>
    <w:p w14:paraId="0DF1E09A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Predictability and auditability: every scenario a learner can encounter is authored and reviewed in advance by the Security Content Creator role defined in the Project Charter, rather than produced probabilistically at runtime. This gives certainty — not a statistical likelihood — that no scenario contains a real credential form or a functional external link.</w:t>
      </w:r>
    </w:p>
    <w:p w14:paraId="13422BB2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Data minimization: because no generation step calls an external service, no recipient or campaign data is ever transmitted to a third-party AI provider. This avoids introducing a new data-exfiltration surface that would otherwise need its own controls under the Safe Data Handling Plan.</w:t>
      </w:r>
    </w:p>
    <w:p w14:paraId="6C930488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Consistency with existing governance controls: the “no credential collection, no external links” safeguard already documented in the Traceability Matrix and Safe Data Handling Plan is satisfied by construction, rather than depending on a model behaving as expected on every generation.</w:t>
      </w:r>
    </w:p>
    <w:p w14:paraId="5F21D070" w14:textId="77777777" w:rsidR="00D86561" w:rsidRDefault="00CB53CE">
      <w:pPr>
        <w:pStyle w:val="Heading1"/>
        <w:spacing w:before="240" w:after="120"/>
      </w:pPr>
      <w:r>
        <w:t>4. Forward-Looking Risk Considerations (If AI Is Proposed in a Future Phase)</w:t>
      </w:r>
    </w:p>
    <w:p w14:paraId="2F463C6B" w14:textId="77777777" w:rsidR="00D86561" w:rsidRDefault="00CB53CE">
      <w:pPr>
        <w:spacing w:after="160"/>
      </w:pPr>
      <w:proofErr w:type="spellStart"/>
      <w:r>
        <w:t>PhishGuard</w:t>
      </w:r>
      <w:proofErr w:type="spellEnd"/>
      <w:r>
        <w:t xml:space="preserve"> does not currently use AI, so no active mitigation work is required for this release. The team nonetheless assessed what would need to be true before adopting AI-assisted content generation in a later phase, so that any future proposal can be evaluated against a documented baseline rather than approved ad hoc.</w:t>
      </w:r>
    </w:p>
    <w:p w14:paraId="3488A5A5" w14:textId="77777777" w:rsidR="00D86561" w:rsidRDefault="00CB53CE">
      <w:pPr>
        <w:pStyle w:val="Heading2"/>
        <w:spacing w:before="200" w:after="100"/>
      </w:pPr>
      <w:r>
        <w:t>4.1 NIST AI Risk Management Framework (AI RMF 1.0)</w:t>
      </w:r>
    </w:p>
    <w:p w14:paraId="79477D6F" w14:textId="77777777" w:rsidR="00D86561" w:rsidRDefault="00CB53CE">
      <w:pPr>
        <w:spacing w:after="160"/>
      </w:pPr>
      <w:r>
        <w:t>Applying the four AI RMF core functions to a hypothetical AI-assisted content-generation feature:</w:t>
      </w:r>
    </w:p>
    <w:p w14:paraId="46A40B00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proofErr w:type="gramStart"/>
      <w:r>
        <w:t>Govern —</w:t>
      </w:r>
      <w:proofErr w:type="gramEnd"/>
      <w:r>
        <w:t xml:space="preserve"> Before any AI-generation feature is adopted, assign clear accountability for reviewing and approving its output; no AI-generated content should be eligible for use in a live campaign without a named human reviewer.</w:t>
      </w:r>
    </w:p>
    <w:p w14:paraId="1E46EC9F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Map — Identify the specific context-based risk that AI-generated phishing content could inadvertently cross the Project Charter’s explicit boundary against “capturing, storing, or exposing actual user passwords or sensitive credentials” by generating a realistic credential-harvesting page.</w:t>
      </w:r>
    </w:p>
    <w:p w14:paraId="21F05FA3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Measure — Define concrete test criteria before launch, such as the rejection rate of generated scenarios during human review and the incidence of policy-violating content found in testing.</w:t>
      </w:r>
    </w:p>
    <w:p w14:paraId="1D91BBD2" w14:textId="77777777" w:rsidR="00D86561" w:rsidRDefault="00CB53CE">
      <w:pPr>
        <w:pStyle w:val="ListParagraph"/>
        <w:numPr>
          <w:ilvl w:val="0"/>
          <w:numId w:val="1"/>
        </w:numPr>
        <w:spacing w:after="100"/>
      </w:pPr>
      <w:r>
        <w:t>Manage — Require a mitigation plan — human-in-the-loop review of all generated content, plus sandboxed testing separate from the production campaign database — before any AI-generation feature reaches learners.</w:t>
      </w:r>
    </w:p>
    <w:p w14:paraId="7ADF2554" w14:textId="77777777" w:rsidR="00D86561" w:rsidRDefault="00CB53CE">
      <w:pPr>
        <w:pStyle w:val="Heading2"/>
        <w:spacing w:before="200" w:after="100"/>
      </w:pPr>
      <w:r>
        <w:lastRenderedPageBreak/>
        <w:t>4.2 OWASP Top 10 for LLM Applications (2025)</w:t>
      </w:r>
    </w:p>
    <w:p w14:paraId="5DA7F0A3" w14:textId="77777777" w:rsidR="00D86561" w:rsidRDefault="00CB53CE">
      <w:pPr>
        <w:spacing w:after="160"/>
      </w:pPr>
      <w:r>
        <w:t xml:space="preserve">The table below maps the OWASP categories most relevant to </w:t>
      </w:r>
      <w:proofErr w:type="spellStart"/>
      <w:r>
        <w:t>PhishGuard’s</w:t>
      </w:r>
      <w:proofErr w:type="spellEnd"/>
      <w:r>
        <w:t xml:space="preserve"> specific use case (educational content generation) to a hypothetical risk and the mitigation the team would require before adoption. Categories less relevant to this application’s threat model — for example, Supply Chain (LLM03), Data and Model Poisoning (LLM04), and Vector and Embedding Weaknesses (LLM08), which apply mainly to teams training or fine-tuning their own models — are noted here but not detailed, since </w:t>
      </w:r>
      <w:proofErr w:type="spellStart"/>
      <w:r>
        <w:t>PhishGuard</w:t>
      </w:r>
      <w:proofErr w:type="spellEnd"/>
      <w:r>
        <w:t xml:space="preserve"> would, if it adopted AI at all, consume a third-party model rather th</w:t>
      </w:r>
      <w:r>
        <w:t>an train one.</w:t>
      </w:r>
    </w:p>
    <w:tbl>
      <w:tblPr>
        <w:tblW w:w="9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 w:rsidR="00D86561" w14:paraId="4E66D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7976D" w14:textId="77777777" w:rsidR="00D86561" w:rsidRDefault="00CB53CE">
            <w:r>
              <w:rPr>
                <w:b/>
                <w:bCs/>
                <w:color w:val="FFFFFF"/>
              </w:rPr>
              <w:t>OWASP LLM Top 10 (2025) Category</w:t>
            </w:r>
          </w:p>
        </w:tc>
        <w:tc>
          <w:tcPr>
            <w:tcW w:w="3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8EDE4" w14:textId="77777777" w:rsidR="00D86561" w:rsidRDefault="00CB53CE">
            <w:r>
              <w:rPr>
                <w:b/>
                <w:bCs/>
                <w:color w:val="FFFFFF"/>
              </w:rPr>
              <w:t xml:space="preserve">Hypothetical Risk to </w:t>
            </w:r>
            <w:proofErr w:type="spellStart"/>
            <w:r>
              <w:rPr>
                <w:b/>
                <w:bCs/>
                <w:color w:val="FFFFFF"/>
              </w:rPr>
              <w:t>PhishGuard</w:t>
            </w:r>
            <w:proofErr w:type="spellEnd"/>
          </w:p>
        </w:tc>
        <w:tc>
          <w:tcPr>
            <w:tcW w:w="3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0DA1" w14:textId="77777777" w:rsidR="00D86561" w:rsidRDefault="00CB53CE">
            <w:r>
              <w:rPr>
                <w:b/>
                <w:bCs/>
                <w:color w:val="FFFFFF"/>
              </w:rPr>
              <w:t>Proposed Mitigation Before Adoption</w:t>
            </w:r>
          </w:p>
        </w:tc>
      </w:tr>
      <w:tr w:rsidR="00D86561" w14:paraId="0D7E1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E9288" w14:textId="77777777" w:rsidR="00D86561" w:rsidRDefault="00CB53CE">
            <w:r>
              <w:t>LLM01:2025 Prompt Injection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5C8D" w14:textId="77777777" w:rsidR="00D86561" w:rsidRDefault="00CB53CE">
            <w:r>
              <w:t>An administrator-facing free-text prompt (e.g., "generate a phishing scenario about X") could be manipulated to override safety instructions and produce a scenario containing a real credential form or an external link.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4B56" w14:textId="77777777" w:rsidR="00D86561" w:rsidRDefault="00CB53CE">
            <w:r>
              <w:t>Do not accept free-text generation prompts from any user role; if adopted, constrain generation to a fixed set of parameters (scenario category, difficulty) rather than open text.</w:t>
            </w:r>
          </w:p>
        </w:tc>
      </w:tr>
      <w:tr w:rsidR="00D86561" w14:paraId="0A556B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23CE4" w14:textId="77777777" w:rsidR="00D86561" w:rsidRDefault="00CB53CE">
            <w:r>
              <w:t>LLM02:2025 Sensitive Information Disclosure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D3E3" w14:textId="77777777" w:rsidR="00D86561" w:rsidRDefault="00CB53CE">
            <w:r>
              <w:t>Sending campaign or recipient data to a third-party AI API for personalization would move PII outside the application boundary defined in the Safe Data Handling Plan.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B9C3C" w14:textId="77777777" w:rsidR="00D86561" w:rsidRDefault="00CB53CE">
            <w:r>
              <w:t xml:space="preserve">Any future AI feature must run on infrastructure the team </w:t>
            </w:r>
            <w:proofErr w:type="gramStart"/>
            <w:r>
              <w:t>controls, or</w:t>
            </w:r>
            <w:proofErr w:type="gramEnd"/>
            <w:r>
              <w:t xml:space="preserve"> use no recipient-identifying data in the prompt at all.</w:t>
            </w:r>
          </w:p>
        </w:tc>
      </w:tr>
      <w:tr w:rsidR="00D86561" w14:paraId="290B9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75FAA" w14:textId="77777777" w:rsidR="00D86561" w:rsidRDefault="00CB53CE">
            <w:r>
              <w:t>LLM05:2025 Improper Output Handling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DA42B" w14:textId="77777777" w:rsidR="00D86561" w:rsidRDefault="00CB53CE">
            <w:r>
              <w:t>AI-generated scenario text rendered without the same sanitization as the current static library could reintroduce the external-link/HTML-anchor risk the application currently blocks.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FF44A" w14:textId="77777777" w:rsidR="00D86561" w:rsidRDefault="00CB53CE">
            <w:r>
              <w:t>Route all generated content through the same plain-text sanitization and link-blocking checks already enforced for the static scenario library before it can be saved to a campaign.</w:t>
            </w:r>
          </w:p>
        </w:tc>
      </w:tr>
      <w:tr w:rsidR="00D86561" w14:paraId="585925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1C21" w14:textId="77777777" w:rsidR="00D86561" w:rsidRDefault="00CB53CE">
            <w:r>
              <w:t>LLM09:2025 Misinformation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1E147" w14:textId="77777777" w:rsidR="00D86561" w:rsidRDefault="00CB53CE">
            <w:r>
              <w:t>A generative model can hallucinate scenario details that are factually inaccurate or pedagogically inappropriate without a human catching it before learners see it.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189D" w14:textId="77777777" w:rsidR="00D86561" w:rsidRDefault="00CB53CE">
            <w:r>
              <w:t>Require human review and sign-off (Security Content Creator role) on every AI-generated scenario before it is eligible for use in a live campaign — no unreviewed AI output reaches a recipient.</w:t>
            </w:r>
          </w:p>
        </w:tc>
      </w:tr>
    </w:tbl>
    <w:p w14:paraId="6EF665B5" w14:textId="77777777" w:rsidR="00D86561" w:rsidRDefault="00D86561">
      <w:pPr>
        <w:spacing w:after="160"/>
      </w:pPr>
    </w:p>
    <w:p w14:paraId="7DA8B4B4" w14:textId="77777777" w:rsidR="00D86561" w:rsidRDefault="00CB53CE">
      <w:pPr>
        <w:pStyle w:val="Heading1"/>
        <w:spacing w:before="240" w:after="120"/>
      </w:pPr>
      <w:r>
        <w:t>5. Recommendation and Disposition</w:t>
      </w:r>
    </w:p>
    <w:p w14:paraId="4C296995" w14:textId="77777777" w:rsidR="00D86561" w:rsidRDefault="00CB53CE">
      <w:pPr>
        <w:spacing w:after="160"/>
      </w:pPr>
      <w:r>
        <w:t>Recommend closing PB-16 as “Documented — no action required for the current release,” since no AI component exists in the delivered application. The risk mapping in Section 4 should be retained and referenced if a future phase proposes AI-assisted content generation, so that adoption is evaluated against these criteria rather than decided without a documented baseline.</w:t>
      </w:r>
    </w:p>
    <w:p w14:paraId="6BC44D45" w14:textId="77777777" w:rsidR="00D86561" w:rsidRDefault="00CB53CE">
      <w:pPr>
        <w:spacing w:after="160"/>
      </w:pPr>
      <w:r>
        <w:t>Owner: John Milling (Security Content Creator). Reviewed against the Technical Architecture Document and Project Charter as of September 2026.</w:t>
      </w:r>
    </w:p>
    <w:p w14:paraId="64D54F98" w14:textId="77777777" w:rsidR="00D86561" w:rsidRDefault="00CB53CE">
      <w:pPr>
        <w:pStyle w:val="Heading1"/>
        <w:spacing w:before="240" w:after="120"/>
      </w:pPr>
      <w:r>
        <w:t>References</w:t>
      </w:r>
    </w:p>
    <w:p w14:paraId="665B5A0D" w14:textId="77777777" w:rsidR="00D86561" w:rsidRDefault="00CB53CE">
      <w:pPr>
        <w:spacing w:after="160"/>
        <w:ind w:left="720" w:hanging="720"/>
      </w:pPr>
      <w:r>
        <w:t>National Institute of Standards and Technology. (2023). Artificial intelligence risk management framework (AI RMF 1.0) (NIST AI 100-1). U.S. Department of Commerce. https://doi.org/10.6028/NIST.AI.100-1</w:t>
      </w:r>
    </w:p>
    <w:p w14:paraId="599A8AC6" w14:textId="77777777" w:rsidR="00D86561" w:rsidRDefault="00CB53CE">
      <w:pPr>
        <w:spacing w:after="160"/>
        <w:ind w:left="720" w:hanging="720"/>
      </w:pPr>
      <w:r>
        <w:t>OWASP Foundation. (2025). OWASP Top 10 for Large Language Model Applications (2025). https://genai.owasp.org/llm-top-10/</w:t>
      </w:r>
    </w:p>
    <w:p w14:paraId="18CAB6E8" w14:textId="77777777" w:rsidR="00D86561" w:rsidRDefault="00CB53CE">
      <w:pPr>
        <w:spacing w:after="160"/>
        <w:ind w:left="720" w:hanging="720"/>
      </w:pPr>
      <w:r>
        <w:t>VMS “Phish-Guard” Project. (2026). Technical architecture document — Project 2 (delivered implementation) [Unpublished internal project document].</w:t>
      </w:r>
    </w:p>
    <w:sectPr w:rsidR="00D865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2F3"/>
    <w:multiLevelType w:val="hybridMultilevel"/>
    <w:tmpl w:val="A2120946"/>
    <w:lvl w:ilvl="0" w:tplc="194A9404">
      <w:start w:val="1"/>
      <w:numFmt w:val="bullet"/>
      <w:lvlText w:val="●"/>
      <w:lvlJc w:val="left"/>
      <w:pPr>
        <w:ind w:left="720" w:hanging="360"/>
      </w:pPr>
    </w:lvl>
    <w:lvl w:ilvl="1" w:tplc="07B2B8A6">
      <w:start w:val="1"/>
      <w:numFmt w:val="bullet"/>
      <w:lvlText w:val="○"/>
      <w:lvlJc w:val="left"/>
      <w:pPr>
        <w:ind w:left="1440" w:hanging="360"/>
      </w:pPr>
    </w:lvl>
    <w:lvl w:ilvl="2" w:tplc="4728489C">
      <w:start w:val="1"/>
      <w:numFmt w:val="bullet"/>
      <w:lvlText w:val="■"/>
      <w:lvlJc w:val="left"/>
      <w:pPr>
        <w:ind w:left="2160" w:hanging="360"/>
      </w:pPr>
    </w:lvl>
    <w:lvl w:ilvl="3" w:tplc="D4F8CB16">
      <w:start w:val="1"/>
      <w:numFmt w:val="bullet"/>
      <w:lvlText w:val="●"/>
      <w:lvlJc w:val="left"/>
      <w:pPr>
        <w:ind w:left="2880" w:hanging="360"/>
      </w:pPr>
    </w:lvl>
    <w:lvl w:ilvl="4" w:tplc="970E6926">
      <w:start w:val="1"/>
      <w:numFmt w:val="bullet"/>
      <w:lvlText w:val="○"/>
      <w:lvlJc w:val="left"/>
      <w:pPr>
        <w:ind w:left="3600" w:hanging="360"/>
      </w:pPr>
    </w:lvl>
    <w:lvl w:ilvl="5" w:tplc="689478EA">
      <w:start w:val="1"/>
      <w:numFmt w:val="bullet"/>
      <w:lvlText w:val="■"/>
      <w:lvlJc w:val="left"/>
      <w:pPr>
        <w:ind w:left="4320" w:hanging="360"/>
      </w:pPr>
    </w:lvl>
    <w:lvl w:ilvl="6" w:tplc="261E9626">
      <w:start w:val="1"/>
      <w:numFmt w:val="bullet"/>
      <w:lvlText w:val="●"/>
      <w:lvlJc w:val="left"/>
      <w:pPr>
        <w:ind w:left="5040" w:hanging="360"/>
      </w:pPr>
    </w:lvl>
    <w:lvl w:ilvl="7" w:tplc="C4B2555C">
      <w:start w:val="1"/>
      <w:numFmt w:val="bullet"/>
      <w:lvlText w:val="●"/>
      <w:lvlJc w:val="left"/>
      <w:pPr>
        <w:ind w:left="5760" w:hanging="360"/>
      </w:pPr>
    </w:lvl>
    <w:lvl w:ilvl="8" w:tplc="33441A12">
      <w:start w:val="1"/>
      <w:numFmt w:val="bullet"/>
      <w:lvlText w:val="●"/>
      <w:lvlJc w:val="left"/>
      <w:pPr>
        <w:ind w:left="6480" w:hanging="360"/>
      </w:pPr>
    </w:lvl>
  </w:abstractNum>
  <w:num w:numId="1" w16cid:durableId="2094430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61"/>
    <w:rsid w:val="00390DAC"/>
    <w:rsid w:val="004C4C94"/>
    <w:rsid w:val="00CB53CE"/>
    <w:rsid w:val="00D8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ED9D"/>
  <w15:docId w15:val="{37754D72-F5BD-4E9A-9C8C-0858DFA6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 Sherman</cp:lastModifiedBy>
  <cp:revision>2</cp:revision>
  <dcterms:created xsi:type="dcterms:W3CDTF">2026-09-05T16:49:00Z</dcterms:created>
  <dcterms:modified xsi:type="dcterms:W3CDTF">2026-09-05T16:49:00Z</dcterms:modified>
</cp:coreProperties>
</file>