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Gungsuh" w:cs="Gungsuh" w:eastAsia="Gungsuh" w:hAnsi="Gungsuh"/>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2025. 7. 1.] [법률 제20615호, 2024. 12. 31., 일부개정]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 2024. 12. 31.&gt;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 2024. 12. 31.&gt;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제17조제1항제5호의3에 따른 수익증권이 발행된 신탁</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 2024. 12. 31.&gt;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농어가부업소득</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대통령령으로 정하는 작물재배업에서 발생하는 소득</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복무 중인 병(兵)이 받는 급여</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대통령령으로 정하는 학자금</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「전직대통령 예우에 관한 법률」에 따라 받는 연금</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머. 근로자 또는 그 배우자의 출산이나 자녀의 보육과 관련하여 사용자로부터 지급받는 다음의 급여</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근로자(사용자와 대통령령으로 정하는 특수관계에 있는 자는 제외한다) 또는 그 배우자의 출산과 관련하여 자녀의 출생일 이후 2년 이내에 사용자로부터 대통령령으로 정하는 바에 따라 최대 두 차례에 걸쳐 지급받는 급여(2021년 1월 1일 이후 출생한 자녀에 대하여 2024년 1월 1일부터 2024년 12월 31일 사이에 지급받은 급여를 포함한다) 전액</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근로자 또는 그 배우자의 해당 과세기간 개시일을 기준으로 6세 이하(6세가 되는 날과 그 이전 기간을 말한다. 이하 이 조 및 제59조의4에서 같다)인 자녀의 보육과 관련하여 사용자로부터 지급받는 급여로서 월 20만원 이내의 금액</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저. 대통령령으로 정하는 복리후생적 성질의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처. 제20조제1항제6호에 따른 소득 중 다음의 요건을 모두 충족하는 소득으로서 대통령령으로 정하는 금액 이하의 금액</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임원 또는 종업원(이하 이 조, 제20조 및 제164조의5에서 “임원등”이라 한다) 본인이 소비하는 것을 목적으로 제공받거나 지원을 받아 구입한 재화 또는 용역으로서 대통령령으로 정하는 기간 동안 재판매가 허용되지 아니할 것</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재화 또는 용역의 제공과 관련하여 모든 임원등에게 공통으로 적용되는 기준이 있을 것</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받는 각종 연금</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「국가보안법」에 따라 받는 상금과 보로금</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제21조제1항제21호에 따른 연금외수령한 기타소득</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제21조제1항제27호 및 같은 조 제2항에 따른 기타소득</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제14조제3항제8호다목(제21조제1항제27호에 관한 부분에 한정한다)</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 2024. 12. 31.&gt;</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 2024. 12. 31.&gt;</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금전이 아닌 재산의 신탁계약에 의한 수익권이 표시된 수익증권으로서 대통령령으로 정하는 수익증권으로부터의 이익</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5의4. 「자본시장과 금융투자업에 관한 법률」 제4조제6항에 따른 투자계약증권으로서 대통령령으로 정하는 투자계약증권으로부터의 이익</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 2024. 12. 31.&gt;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제2항제2호나목에 따른 토지의 재평가차액의 자본전입으로 인한 의제배당</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제2항제5호에 따른 의제배당</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2024. 12. 31.&gt;</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사업자나 법인이 생산ㆍ공급하는 재화 또는 용역을 그 사업자나 법인(「독점규제 및 공정거래에 관한 법률」에 따른 계열회사를 포함한다)의 사업장에 종사하는 임원등에게 대통령령으로 정하는 바에 따라 시가보다 낮은 가격으로 제공하거나 구입할 수 있도록 지원함으로써 해당 임원등이 얻는 이익</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제146조제2항에 따라 원천징수되지 아니한 퇴직소득</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제59조의3에 따라 세액공제를 받은 연금계좌 납입액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연금계좌의 운용실적에 따라 증가된 금액</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2024. 12. 31.&gt;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 2024. 12. 31.&gt;</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제21조제1항제27호</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 2024. 12. 31.&gt;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위반을 이유로 부과되는 공과금</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「법인세법」 제24조제2항제1호에 따른 기부금</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종교단체에 기부한 금액이 없는 경우</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제160조의2제2항제4호에 따른 현금영수증</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0467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173345"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취득ㆍ양도 또는 대여를 위하여 소요된 부대비용을 필요경비로 한다.</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2027년 1월 1일 전에 이미 보유하고 있던 가상자산의 취득가액은 2026년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 2024. 12. 31.&gt;</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제1항제3호에도 불구하고 대통령령으로 정하는 사유로 2027년 1월 1일 이후 취득하는 가상자산의 실제 취득가액을 확인하기 곤란한 경우에는 해당 가상자산과 같은 종류의 가상자산 전체의 양도에 따른 필요경비를 그 가상자산 전체의 총양도가액에 100분의 50 이하의 범위에서 대통령령으로 정하는 비율을 곱한 금액으로 할 수 있다. 이 경우 부대비용은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제1항제3호, 제5항 및 제6항에서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2024. 12. 31.&gt;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제37조제1항제3호, 제37조제5항, 제37조제6항, 제37조제7항</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 2024. 12. 31.&gt;</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2024. 12. 31.&gt;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이하(20세가 되는 날과 그 이전 기간을 말한다. 이하 이 조에서 같다)인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62245" cy="3200400"/>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2027년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2024. 12. 31.&gt;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「법인세법」 제5조제2항에 따라 내국법인으로 보는 신탁재산</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거주자가 간접투자회사등으로부터 지급받은 소득과 종합소득산출세액에서 공제되는 금액은 다음 각 호의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「자본시장과 금융투자업에 관한 법률」에 따른 증권시장(이하 “증권시장”이라 한다)에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7353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613275"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 2024. 12. 31.&gt;</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25만원</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55만원</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55만원과 2명을 초과하는 1명당 연 40만원을 합한 금액</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해당 거주자</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과세기간 개시일 현재 6세 이하인 사람</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과세기간 종료일 현재 65세 이상인 사람</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장애인</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제1호가목부터 다목까지의 규정에 해당하는 교육비</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사회복지시설 및 비영리법인</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소득금액의 100분의 30</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 연 7만원</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제58조, 같은 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2024. 12. 31.&gt;</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삭제 &lt;2018.12.31&gt;</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제64조의3제2항</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제70조제2항</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다음 계산식에 따라 계산한 금액</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제84조제3호, 제84조제4호</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 2024. 12. 31.&gt;</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 2024. 12. 31.&gt;</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소유주식의 비율ㆍ시가총액 등을 고려하여 대통령령으로 정하는 주권상장법인의 대주주가 양도하는 주식등</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따른 대주주에 해당하지 아니하는 자가 증권시장에서의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파생상품, 파생결합증권 등 대통령령으로 정하는 금융투자상품(이하 “파생상품등”이라 한다)의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 각 호의 자산 취득에 든 실지거래가액</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제1항제2호 및 제3호에 따른 금액의 합계액</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10년(제94조제1항제3호에 따른 자산의 경우에는 1년) 이내에 그 배우자(양도 당시 혼인관계가 소멸된 경우를 포함하되, 사망으로 혼인관계가 소멸된 경우는 제외한다. 이하 이 항에서 같다) 또는 직계존비속으로부터 증여받은 제94조제1항제1호 및 제3호에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 2024. 12. 31.&gt;</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 2024. 12. 31.&gt;</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토지</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건물</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오피스텔 및 상업용 건물</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주택</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지상권ㆍ전세권 및 등기된 부동산임차권</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제63조제1항제1호가목을 준용하여 평가한 가액. 이 경우 “평가기준일 이전ㆍ이후 각 2개월”은 “양도일ㆍ취득일 이전 1개월”로 본다.</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제63조제1항제1호나목을 준용하여 평가한 가액. 이 경우 평가기준시기 및 평가액은 대통령령으로 정하는 바에 따르되, 장부 분실 등으로 취득 당시의 기준시가를 확인할 수 없는 경우에는 액면가액을 취득 당시의 기준시가로 한다.</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양도자산의 종류, 규모, 거래상황 등을 고려하여 대통령령으로 정하는 방법에 따라 평가한 가액</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파생상품등의 종류, 규모, 거래상황 등을 고려하여 대통령령으로 정하는 방법에 따라 평가한 가액</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 다만, 다른 법령에서 정하는 바에 따라 가액을 구분한 경우 등 대통령령으로 정하는 사유에 해당하는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2024. 12. 31.&gt;</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 2024. 12. 31.&gt;</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양도소득과세표준의 100분의 30</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65040" cy="103060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6504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대주주가 아닌 자가 양도하는 주식등</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양도소득과세표준의 100분의 10</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양도소득과세표준의 100분의 20</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중소기업의 주식등</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10</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주식등</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2024. 12. 31.&gt;</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축산업을 경영하지 아니하는 자가 소유하는 토지</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 2024. 12. 31.&gt;</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반기의 말일부터 2개월</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 2024. 12. 31.&gt;</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관하여는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제94조제1항제3호다목에 따른 자산의 양도로 발생하는 소득</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제94조제1항제5호에 따른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부동산임차권</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 2024. 12. 31.&gt;</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국외전출자의 범위 및 그 밖에 필요한 사항은 대통령령으로 정한다.</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11750" cy="92456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111750" cy="924560"/>
                    </a:xfrm>
                    <a:prstGeom prst="rect"/>
                    <a:ln/>
                  </pic:spPr>
                </pic:pic>
              </a:graphicData>
            </a:graphic>
          </wp:inline>
        </w:drawing>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[제118조의10제1항에 따른 양도가액 - 실제 양도가액] × 제118조의11에 따른 세율</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납부를 유예받은 국외전출자는 국외전출자 국내주식등을 실제 양도한 경우 양도일이 속하는 달의 말일부터 3개월 이내에 국외전출자 국내주식등에 대한 양도소득세를 납부하여야 한다.</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제117조를 준용한다.</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2024. 12. 31.&gt;</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제94조제1항제1호 및 제2호의 자산가액</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 2024. 12. 31.&gt;</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제94조제1항제1호 및 제2호의 자산가액</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제119조제12호타목, 제119조제12호파목</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국외투자기구를 통하여 제1항 각 호의 소득을 지급받는 경우에는 제119조의2제1항에도 불구하고 해당 국외투자기구를 제1항 각 호의 소득의 실질귀속자로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비과세를 적용받으려는 비거주자(제3항에 따라 실질귀속자로 보는 국외투자기구를 포함한다. 이하 이 조에서 같다) 또는 적격외국금융회사등은 대통령령으로 정하는 바에 따라 납세지 관할 세무서장에게 비과세 적용 신청을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국외투자기구를 통하여 지급받는 제1항 각 호의 소득에 대해서는 제127조를 적용하지 아니하며, 해당 거주자가 대통령령으로 정하는 바에 따라 직접 신고ㆍ납부하여야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비과세를 적용받지 못한 비거주자 또는 적격외국금융회사등이 비과세 적용을 받으려는 경우에는 비거주자, 적격외국금융회사등 또는 제1항 각 호의 소득을 지급하는 자가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제6항에 따른 경정청구의 기한 및 방법ㆍ절차 등에 관하여는 제156조의2제5항부터 제7항까지를 준용한다. 이 경우 제156조의2제5항 본문 중 “제3항에 따라 비과세 또는 면제”는 “제119조의3제1항에 따라 비과세”로, “실질귀속자가 비과세 또는 면제”는 “비거주자 또는 적격외국금융회사등이 비과세”로, “실질귀속자 또는 소득지급자가 제3항”은 “비거주자, 적격외국금융회사등 또는 제1항 각 호의 소득을 지급하는 자가 제156조제1항”으로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비거주자 명의의 계약</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비거주자의 용역제공을 위한 계약</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제126조제1항제3호</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제21조제1항제23호 또는 제24호에 따른 소득</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제127조제1항제6호다목</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 2024. 12. 31.&gt;</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 2024. 12. 31.&gt;</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계약에 따라 용역을 제공하고 받는 소득에 대해서는 100분의 20으로 한다.</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연금소득자의 나이에 따른 다음의 세율</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 2024. 12. 31.&gt;</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따라 원천징수세액을 계산할 때 제57조의2제1항 각 호의 요건을 갖춘 제127조제1항제2호의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 2024. 12. 31.&gt;</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제5항을 적용할 때 같은 항 제2호의 금액은 제57조의2제1항 각 호의 요건을 갖춘 제127조제1항제2호의 소득에 제1항제2호나목의 세율을 곱하여 계산한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제7관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2027년 12월 31일 이전에 그 조합원에 대한 매월분의 소득세를 제1항에 따라 징수할 때에는 그 세액의 100분의 3에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3에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 2024. 12. 31.&gt;</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제130조에도 불구하고 제127조제2항에 따라 원천징수를 대리하거나 위임을 받은 자가 제127조제1항제1호 및 제2호의 소득이 신탁에 귀속된 날부터 3개월 이내의 특정일(동일 귀속연도 이내로 한정한다)에 그 소득에 대한 소득세를 원천징수하여야 한다.</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제156조제1항제8호, 제156조제12항, 제156조제16항, 제156조제17항</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color w:val="ff0000"/>
          <w:sz w:val="20"/>
          <w:szCs w:val="20"/>
          <w:rtl w:val="0"/>
        </w:rPr>
        <w:t xml:space="preserve"> ① 제119조에 따른 국내원천소득(같은 조 제5호에 따른 국내원천 사업소득은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 2024. 12. 31.&gt;</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제156조의2제1항</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기부금영수증을 발급하는 자는 해당 과세기간의 직전 과세기간에 받은 기부금에 대하여 발급한 기부금영수증 금액의 총 합계액이 3억원 이상의 금액으로서 대통령령으로 정하는 금액을 초과하는 경우에는 해당 과세기간에 받은 기부금에 대하여 그 기부금을 받은 날이 속하는 연도의 다음 연도 1월 10일까지 전자기부금영수증을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 2024. 12. 31.&gt;</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「가상자산 이용자 보호 등에 관한 법률」에 따른 가상자산사업자는 가상자산 거래내역 등 소득세 부과에 필요한 자료를 대통령령으로 정하는 바에 따라 거래가 발생한 날이 속하는 분기 또는 연도의 종료일의 다음다음 달 말일까지 납세지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제164조의4</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임원등(임원등이었던 자를 포함한다. 이하 이 조에서 같다)</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근로소득에 대한 소득세를 징수하여 납부한 자에게 대통령령으로 정하는 바에 따라 교부금을 지급하여야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 세무서장에게 제출하여야 한다. 다만, 제3호에 해당하는 자료는 국세청장이 요청한 날이 속하는 달의 말일부터 2개월이 되는 날까지 국세청장에게 제출하여야 한다.</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color w:val="ff0000"/>
          <w:sz w:val="20"/>
          <w:szCs w:val="20"/>
          <w:rtl w:val="0"/>
        </w:rPr>
        <w:t xml:space="preserve"> 관할 세무서장은 다음 각 호의 어느 하나에 해당하는 명령사항을 위반한 사업자(제3호 및 제4호의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 2024. 12. 31.&gt;</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제164조의4제2항에 따른 가상자산사업자에 대한 명령</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2028. 1. 1.]  제177조</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sectPr>
      <w:headerReference r:id="rId7" w:type="default"/>
      <w:footerReference r:id="rId8"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330200" cy="2032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국가법령정보센터</w:t>
          </w:r>
        </w:p>
      </w:tc>
    </w:tr>
  </w:tbl>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