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AB6C8" w14:textId="4B3A5889" w:rsidR="004A5E68" w:rsidRPr="004A5E68" w:rsidRDefault="004A5E68" w:rsidP="00555DB7">
      <w:pPr>
        <w:rPr>
          <w:b/>
          <w:bCs/>
          <w:sz w:val="40"/>
          <w:szCs w:val="40"/>
        </w:rPr>
      </w:pPr>
      <w:r w:rsidRPr="004A5E68">
        <w:rPr>
          <w:b/>
          <w:bCs/>
          <w:sz w:val="40"/>
          <w:szCs w:val="40"/>
        </w:rPr>
        <w:t xml:space="preserve">SUPPLY CHAIN </w:t>
      </w:r>
      <w:r w:rsidR="00B32DDF">
        <w:rPr>
          <w:b/>
          <w:bCs/>
          <w:sz w:val="40"/>
          <w:szCs w:val="40"/>
        </w:rPr>
        <w:t xml:space="preserve">MANAGEMENT </w:t>
      </w:r>
      <w:r w:rsidRPr="004A5E68">
        <w:rPr>
          <w:b/>
          <w:bCs/>
          <w:sz w:val="40"/>
          <w:szCs w:val="40"/>
        </w:rPr>
        <w:t xml:space="preserve">DASHBOARD </w:t>
      </w:r>
    </w:p>
    <w:p w14:paraId="369025F4" w14:textId="6C3E5188" w:rsidR="00555DB7" w:rsidRPr="00555DB7" w:rsidRDefault="00555DB7" w:rsidP="00555DB7">
      <w:pPr>
        <w:rPr>
          <w:b/>
          <w:bCs/>
          <w:sz w:val="32"/>
          <w:szCs w:val="32"/>
        </w:rPr>
      </w:pPr>
      <w:r w:rsidRPr="00555DB7">
        <w:rPr>
          <w:b/>
          <w:bCs/>
          <w:sz w:val="32"/>
          <w:szCs w:val="32"/>
        </w:rPr>
        <w:t>Executive Summary</w:t>
      </w:r>
    </w:p>
    <w:p w14:paraId="6469AB93" w14:textId="77777777" w:rsidR="00555DB7" w:rsidRPr="00555DB7" w:rsidRDefault="00555DB7" w:rsidP="00555DB7">
      <w:r w:rsidRPr="00555DB7">
        <w:t xml:space="preserve">This project report presents an end-to-end analysis of a simulated </w:t>
      </w:r>
      <w:r w:rsidRPr="00555DB7">
        <w:rPr>
          <w:b/>
          <w:bCs/>
        </w:rPr>
        <w:t>supply chain system</w:t>
      </w:r>
      <w:r w:rsidRPr="00555DB7">
        <w:t xml:space="preserve"> using Power BI. The goal was to build a dynamic and insightful dashboard using a dataset containing product-level, supplier-level, inventory, customer, logistics, and cost data.</w:t>
      </w:r>
    </w:p>
    <w:p w14:paraId="44E82003" w14:textId="77777777" w:rsidR="00555DB7" w:rsidRPr="00555DB7" w:rsidRDefault="00555DB7" w:rsidP="00555DB7">
      <w:r w:rsidRPr="00555DB7">
        <w:t>The dashboard allows decision-makers to visually track the key performance indicators (KPIs) and identify bottlenecks across the supply chain. It provides an integrated view of sales performance, supplier delivery times, shipping costs, inventory management, defect rates, customer behavior, and more.</w:t>
      </w:r>
    </w:p>
    <w:p w14:paraId="1820E55D" w14:textId="77777777" w:rsidR="00555DB7" w:rsidRPr="00555DB7" w:rsidRDefault="00555DB7" w:rsidP="00555DB7">
      <w:r w:rsidRPr="00555DB7">
        <w:rPr>
          <w:b/>
          <w:bCs/>
        </w:rPr>
        <w:t>Key business questions answered:</w:t>
      </w:r>
    </w:p>
    <w:p w14:paraId="410BE532" w14:textId="77777777" w:rsidR="00555DB7" w:rsidRPr="00555DB7" w:rsidRDefault="00555DB7" w:rsidP="00555DB7">
      <w:pPr>
        <w:numPr>
          <w:ilvl w:val="0"/>
          <w:numId w:val="27"/>
        </w:numPr>
      </w:pPr>
      <w:r w:rsidRPr="00555DB7">
        <w:t>Which products are generating the most revenue?</w:t>
      </w:r>
    </w:p>
    <w:p w14:paraId="006482CA" w14:textId="77777777" w:rsidR="00555DB7" w:rsidRPr="00555DB7" w:rsidRDefault="00555DB7" w:rsidP="00555DB7">
      <w:pPr>
        <w:numPr>
          <w:ilvl w:val="0"/>
          <w:numId w:val="27"/>
        </w:numPr>
      </w:pPr>
      <w:r w:rsidRPr="00555DB7">
        <w:t>Are we delivering products on time and within cost?</w:t>
      </w:r>
    </w:p>
    <w:p w14:paraId="2AFA27C5" w14:textId="77777777" w:rsidR="00555DB7" w:rsidRPr="00555DB7" w:rsidRDefault="00555DB7" w:rsidP="00555DB7">
      <w:pPr>
        <w:numPr>
          <w:ilvl w:val="0"/>
          <w:numId w:val="27"/>
        </w:numPr>
      </w:pPr>
      <w:r w:rsidRPr="00555DB7">
        <w:t>Which suppliers and carriers are performing efficiently?</w:t>
      </w:r>
    </w:p>
    <w:p w14:paraId="59D486BC" w14:textId="77777777" w:rsidR="00555DB7" w:rsidRPr="00555DB7" w:rsidRDefault="00555DB7" w:rsidP="00555DB7">
      <w:pPr>
        <w:numPr>
          <w:ilvl w:val="0"/>
          <w:numId w:val="27"/>
        </w:numPr>
      </w:pPr>
      <w:r w:rsidRPr="00555DB7">
        <w:t>How do quality failures impact our supply chain cost?</w:t>
      </w:r>
    </w:p>
    <w:p w14:paraId="4941BE2D" w14:textId="77777777" w:rsidR="00555DB7" w:rsidRPr="00555DB7" w:rsidRDefault="00555DB7" w:rsidP="00555DB7">
      <w:pPr>
        <w:numPr>
          <w:ilvl w:val="0"/>
          <w:numId w:val="27"/>
        </w:numPr>
      </w:pPr>
      <w:r w:rsidRPr="00555DB7">
        <w:t>Where are we losing money due to defects or delays?</w:t>
      </w:r>
    </w:p>
    <w:p w14:paraId="40DC8851" w14:textId="304570E1" w:rsidR="00555DB7" w:rsidRDefault="00555DB7" w:rsidP="00555DB7">
      <w:r w:rsidRPr="00555DB7">
        <w:t>By analyzing 100 data records across more than 30 supply chain-related features, this dashboard enables improved decision-making, reduces cost inefficiencies, and enhances visibility into real-time operations. It’s a powerful demonstration of how Power BI can be used to create professional business intelligence solutions.</w:t>
      </w:r>
    </w:p>
    <w:p w14:paraId="1D8F4A89" w14:textId="77777777" w:rsidR="00555DB7" w:rsidRPr="00555DB7" w:rsidRDefault="00555DB7" w:rsidP="00555DB7"/>
    <w:p w14:paraId="02458877" w14:textId="1E12DD43" w:rsidR="00555DB7" w:rsidRDefault="00555DB7" w:rsidP="00555DB7">
      <w:pPr>
        <w:rPr>
          <w:sz w:val="32"/>
          <w:szCs w:val="32"/>
        </w:rPr>
      </w:pPr>
      <w:r w:rsidRPr="00555DB7">
        <w:rPr>
          <w:b/>
          <w:bCs/>
          <w:sz w:val="32"/>
          <w:szCs w:val="32"/>
        </w:rPr>
        <w:t>Objective &amp; Scope</w:t>
      </w:r>
    </w:p>
    <w:p w14:paraId="3F4B0279" w14:textId="77777777" w:rsidR="00555DB7" w:rsidRPr="00555DB7" w:rsidRDefault="00555DB7" w:rsidP="00555DB7">
      <w:pPr>
        <w:rPr>
          <w:b/>
          <w:bCs/>
        </w:rPr>
      </w:pPr>
      <w:r w:rsidRPr="00555DB7">
        <w:rPr>
          <w:b/>
          <w:bCs/>
        </w:rPr>
        <w:t>Objectives of the Project:</w:t>
      </w:r>
    </w:p>
    <w:p w14:paraId="3BAABC51" w14:textId="77777777" w:rsidR="00555DB7" w:rsidRPr="00555DB7" w:rsidRDefault="00555DB7" w:rsidP="00555DB7">
      <w:pPr>
        <w:numPr>
          <w:ilvl w:val="0"/>
          <w:numId w:val="28"/>
        </w:numPr>
      </w:pPr>
      <w:r w:rsidRPr="00555DB7">
        <w:t>To visualize the complete supply chain process from order to delivery.</w:t>
      </w:r>
    </w:p>
    <w:p w14:paraId="200744FF" w14:textId="77777777" w:rsidR="00555DB7" w:rsidRPr="00555DB7" w:rsidRDefault="00555DB7" w:rsidP="00555DB7">
      <w:pPr>
        <w:numPr>
          <w:ilvl w:val="0"/>
          <w:numId w:val="28"/>
        </w:numPr>
      </w:pPr>
      <w:r w:rsidRPr="00555DB7">
        <w:t>To identify the products, routes, and suppliers contributing most to revenue and delays.</w:t>
      </w:r>
    </w:p>
    <w:p w14:paraId="51EEAEBF" w14:textId="77777777" w:rsidR="00555DB7" w:rsidRPr="00555DB7" w:rsidRDefault="00555DB7" w:rsidP="00555DB7">
      <w:pPr>
        <w:numPr>
          <w:ilvl w:val="0"/>
          <w:numId w:val="28"/>
        </w:numPr>
      </w:pPr>
      <w:r w:rsidRPr="00555DB7">
        <w:t>To evaluate defect rates, delivery times, and shipping performance.</w:t>
      </w:r>
    </w:p>
    <w:p w14:paraId="4CB2B37F" w14:textId="77777777" w:rsidR="00555DB7" w:rsidRPr="00555DB7" w:rsidRDefault="00555DB7" w:rsidP="00555DB7">
      <w:pPr>
        <w:numPr>
          <w:ilvl w:val="0"/>
          <w:numId w:val="28"/>
        </w:numPr>
      </w:pPr>
      <w:r w:rsidRPr="00555DB7">
        <w:t>To quantify inventory cost, quality-related cost, and overall supply chain cost.</w:t>
      </w:r>
    </w:p>
    <w:p w14:paraId="7E9CEE5E" w14:textId="77777777" w:rsidR="00555DB7" w:rsidRPr="00555DB7" w:rsidRDefault="00555DB7" w:rsidP="00555DB7">
      <w:pPr>
        <w:numPr>
          <w:ilvl w:val="0"/>
          <w:numId w:val="28"/>
        </w:numPr>
      </w:pPr>
      <w:r w:rsidRPr="00555DB7">
        <w:t>To support strategic business decisions through an interactive Power BI dashboard.</w:t>
      </w:r>
    </w:p>
    <w:p w14:paraId="42832E6C" w14:textId="77777777" w:rsidR="00555DB7" w:rsidRPr="00555DB7" w:rsidRDefault="00555DB7" w:rsidP="00555DB7"/>
    <w:p w14:paraId="7EF1252C" w14:textId="77777777" w:rsidR="00555DB7" w:rsidRPr="00555DB7" w:rsidRDefault="00555DB7" w:rsidP="00555DB7">
      <w:pPr>
        <w:rPr>
          <w:rFonts w:cstheme="minorHAnsi"/>
          <w:b/>
          <w:bCs/>
        </w:rPr>
      </w:pPr>
      <w:r w:rsidRPr="00555DB7">
        <w:rPr>
          <w:rFonts w:cstheme="minorHAnsi"/>
          <w:b/>
          <w:bCs/>
        </w:rPr>
        <w:lastRenderedPageBreak/>
        <w:t>Scope of the Dashboard:</w:t>
      </w:r>
    </w:p>
    <w:p w14:paraId="042C1255" w14:textId="77777777" w:rsidR="00555DB7" w:rsidRPr="00555DB7" w:rsidRDefault="00555DB7" w:rsidP="00555DB7">
      <w:pPr>
        <w:rPr>
          <w:rFonts w:cstheme="minorHAnsi"/>
        </w:rPr>
      </w:pPr>
      <w:r w:rsidRPr="00555DB7">
        <w:rPr>
          <w:rFonts w:cstheme="minorHAnsi"/>
        </w:rPr>
        <w:t>The scope of this Power BI dashboard includes analysis of the following key dimensions:</w:t>
      </w:r>
    </w:p>
    <w:tbl>
      <w:tblPr>
        <w:tblW w:w="10092" w:type="dxa"/>
        <w:tblCellSpacing w:w="15" w:type="dxa"/>
        <w:tblCellMar>
          <w:top w:w="15" w:type="dxa"/>
          <w:left w:w="15" w:type="dxa"/>
          <w:bottom w:w="15" w:type="dxa"/>
          <w:right w:w="15" w:type="dxa"/>
        </w:tblCellMar>
        <w:tblLook w:val="04A0" w:firstRow="1" w:lastRow="0" w:firstColumn="1" w:lastColumn="0" w:noHBand="0" w:noVBand="1"/>
      </w:tblPr>
      <w:tblGrid>
        <w:gridCol w:w="2181"/>
        <w:gridCol w:w="7911"/>
      </w:tblGrid>
      <w:tr w:rsidR="00555DB7" w:rsidRPr="00555DB7" w14:paraId="4DA2413B" w14:textId="77777777" w:rsidTr="00555DB7">
        <w:trPr>
          <w:trHeight w:val="516"/>
          <w:tblHeader/>
          <w:tblCellSpacing w:w="15" w:type="dxa"/>
        </w:trPr>
        <w:tc>
          <w:tcPr>
            <w:tcW w:w="2136" w:type="dxa"/>
            <w:vAlign w:val="center"/>
            <w:hideMark/>
          </w:tcPr>
          <w:p w14:paraId="282D1FDE" w14:textId="77777777" w:rsidR="00555DB7" w:rsidRPr="00555DB7" w:rsidRDefault="00555DB7" w:rsidP="00555DB7">
            <w:pPr>
              <w:rPr>
                <w:rFonts w:cstheme="minorHAnsi"/>
                <w:b/>
                <w:bCs/>
              </w:rPr>
            </w:pPr>
            <w:r w:rsidRPr="00555DB7">
              <w:rPr>
                <w:rFonts w:cstheme="minorHAnsi"/>
                <w:b/>
                <w:bCs/>
              </w:rPr>
              <w:t>Area</w:t>
            </w:r>
          </w:p>
        </w:tc>
        <w:tc>
          <w:tcPr>
            <w:tcW w:w="0" w:type="auto"/>
            <w:vAlign w:val="center"/>
            <w:hideMark/>
          </w:tcPr>
          <w:p w14:paraId="662C5413" w14:textId="77777777" w:rsidR="00555DB7" w:rsidRPr="00555DB7" w:rsidRDefault="00555DB7" w:rsidP="00555DB7">
            <w:pPr>
              <w:rPr>
                <w:rFonts w:cstheme="minorHAnsi"/>
                <w:b/>
                <w:bCs/>
              </w:rPr>
            </w:pPr>
            <w:r w:rsidRPr="00555DB7">
              <w:rPr>
                <w:rFonts w:cstheme="minorHAnsi"/>
                <w:b/>
                <w:bCs/>
              </w:rPr>
              <w:t>Description</w:t>
            </w:r>
          </w:p>
        </w:tc>
      </w:tr>
      <w:tr w:rsidR="00555DB7" w:rsidRPr="00555DB7" w14:paraId="697299B2" w14:textId="77777777" w:rsidTr="00555DB7">
        <w:trPr>
          <w:trHeight w:val="528"/>
          <w:tblCellSpacing w:w="15" w:type="dxa"/>
        </w:trPr>
        <w:tc>
          <w:tcPr>
            <w:tcW w:w="2136" w:type="dxa"/>
            <w:vAlign w:val="center"/>
            <w:hideMark/>
          </w:tcPr>
          <w:p w14:paraId="64AD5696" w14:textId="77777777" w:rsidR="00555DB7" w:rsidRPr="00555DB7" w:rsidRDefault="00555DB7" w:rsidP="00555DB7">
            <w:pPr>
              <w:rPr>
                <w:rFonts w:cstheme="minorHAnsi"/>
              </w:rPr>
            </w:pPr>
            <w:r w:rsidRPr="00555DB7">
              <w:rPr>
                <w:rFonts w:cstheme="minorHAnsi"/>
                <w:b/>
                <w:bCs/>
              </w:rPr>
              <w:t>Products &amp; SKUs</w:t>
            </w:r>
          </w:p>
        </w:tc>
        <w:tc>
          <w:tcPr>
            <w:tcW w:w="0" w:type="auto"/>
            <w:vAlign w:val="center"/>
            <w:hideMark/>
          </w:tcPr>
          <w:p w14:paraId="68DFB6BF" w14:textId="77777777" w:rsidR="00555DB7" w:rsidRPr="00555DB7" w:rsidRDefault="00555DB7" w:rsidP="00555DB7">
            <w:pPr>
              <w:rPr>
                <w:rFonts w:cstheme="minorHAnsi"/>
              </w:rPr>
            </w:pPr>
            <w:r w:rsidRPr="00555DB7">
              <w:rPr>
                <w:rFonts w:cstheme="minorHAnsi"/>
              </w:rPr>
              <w:t>Analysis of revenue, units sold, and profitability per item.</w:t>
            </w:r>
          </w:p>
        </w:tc>
      </w:tr>
      <w:tr w:rsidR="00555DB7" w:rsidRPr="00555DB7" w14:paraId="3533D693" w14:textId="77777777" w:rsidTr="00555DB7">
        <w:trPr>
          <w:trHeight w:val="516"/>
          <w:tblCellSpacing w:w="15" w:type="dxa"/>
        </w:trPr>
        <w:tc>
          <w:tcPr>
            <w:tcW w:w="2136" w:type="dxa"/>
            <w:vAlign w:val="center"/>
            <w:hideMark/>
          </w:tcPr>
          <w:p w14:paraId="6C7F3979" w14:textId="77777777" w:rsidR="00555DB7" w:rsidRPr="00555DB7" w:rsidRDefault="00555DB7" w:rsidP="00555DB7">
            <w:pPr>
              <w:rPr>
                <w:rFonts w:cstheme="minorHAnsi"/>
              </w:rPr>
            </w:pPr>
            <w:r w:rsidRPr="00555DB7">
              <w:rPr>
                <w:rFonts w:cstheme="minorHAnsi"/>
                <w:b/>
                <w:bCs/>
              </w:rPr>
              <w:t>Inventory</w:t>
            </w:r>
          </w:p>
        </w:tc>
        <w:tc>
          <w:tcPr>
            <w:tcW w:w="0" w:type="auto"/>
            <w:vAlign w:val="center"/>
            <w:hideMark/>
          </w:tcPr>
          <w:p w14:paraId="67CCC1CD" w14:textId="77777777" w:rsidR="00555DB7" w:rsidRPr="00555DB7" w:rsidRDefault="00555DB7" w:rsidP="00555DB7">
            <w:pPr>
              <w:rPr>
                <w:rFonts w:cstheme="minorHAnsi"/>
              </w:rPr>
            </w:pPr>
            <w:r w:rsidRPr="00555DB7">
              <w:rPr>
                <w:rFonts w:cstheme="minorHAnsi"/>
              </w:rPr>
              <w:t>Monitoring of incoming stock, current levels, and defective units.</w:t>
            </w:r>
          </w:p>
        </w:tc>
      </w:tr>
      <w:tr w:rsidR="00555DB7" w:rsidRPr="00555DB7" w14:paraId="404A526A" w14:textId="77777777" w:rsidTr="00555DB7">
        <w:trPr>
          <w:trHeight w:val="516"/>
          <w:tblCellSpacing w:w="15" w:type="dxa"/>
        </w:trPr>
        <w:tc>
          <w:tcPr>
            <w:tcW w:w="2136" w:type="dxa"/>
            <w:vAlign w:val="center"/>
            <w:hideMark/>
          </w:tcPr>
          <w:p w14:paraId="20BB9DF8" w14:textId="77777777" w:rsidR="00555DB7" w:rsidRPr="00555DB7" w:rsidRDefault="00555DB7" w:rsidP="00555DB7">
            <w:pPr>
              <w:rPr>
                <w:rFonts w:cstheme="minorHAnsi"/>
              </w:rPr>
            </w:pPr>
            <w:r w:rsidRPr="00555DB7">
              <w:rPr>
                <w:rFonts w:cstheme="minorHAnsi"/>
                <w:b/>
                <w:bCs/>
              </w:rPr>
              <w:t>Suppliers</w:t>
            </w:r>
          </w:p>
        </w:tc>
        <w:tc>
          <w:tcPr>
            <w:tcW w:w="0" w:type="auto"/>
            <w:vAlign w:val="center"/>
            <w:hideMark/>
          </w:tcPr>
          <w:p w14:paraId="58A80165" w14:textId="77777777" w:rsidR="00555DB7" w:rsidRPr="00555DB7" w:rsidRDefault="00555DB7" w:rsidP="00555DB7">
            <w:pPr>
              <w:rPr>
                <w:rFonts w:cstheme="minorHAnsi"/>
              </w:rPr>
            </w:pPr>
            <w:r w:rsidRPr="00555DB7">
              <w:rPr>
                <w:rFonts w:cstheme="minorHAnsi"/>
              </w:rPr>
              <w:t>Lead time, quantity produced, and pass/fail inspection rate.</w:t>
            </w:r>
          </w:p>
        </w:tc>
      </w:tr>
      <w:tr w:rsidR="00555DB7" w:rsidRPr="00555DB7" w14:paraId="1F597825" w14:textId="77777777" w:rsidTr="00555DB7">
        <w:trPr>
          <w:trHeight w:val="888"/>
          <w:tblCellSpacing w:w="15" w:type="dxa"/>
        </w:trPr>
        <w:tc>
          <w:tcPr>
            <w:tcW w:w="2136" w:type="dxa"/>
            <w:vAlign w:val="center"/>
            <w:hideMark/>
          </w:tcPr>
          <w:p w14:paraId="7E48745C" w14:textId="77777777" w:rsidR="00555DB7" w:rsidRPr="00555DB7" w:rsidRDefault="00555DB7" w:rsidP="00555DB7">
            <w:pPr>
              <w:rPr>
                <w:rFonts w:cstheme="minorHAnsi"/>
              </w:rPr>
            </w:pPr>
            <w:r w:rsidRPr="00555DB7">
              <w:rPr>
                <w:rFonts w:cstheme="minorHAnsi"/>
                <w:b/>
                <w:bCs/>
              </w:rPr>
              <w:t>Shipping &amp; Transit</w:t>
            </w:r>
          </w:p>
        </w:tc>
        <w:tc>
          <w:tcPr>
            <w:tcW w:w="0" w:type="auto"/>
            <w:vAlign w:val="center"/>
            <w:hideMark/>
          </w:tcPr>
          <w:p w14:paraId="3CA4F50B" w14:textId="77777777" w:rsidR="00555DB7" w:rsidRPr="00555DB7" w:rsidRDefault="00555DB7" w:rsidP="00555DB7">
            <w:pPr>
              <w:rPr>
                <w:rFonts w:cstheme="minorHAnsi"/>
              </w:rPr>
            </w:pPr>
            <w:r w:rsidRPr="00555DB7">
              <w:rPr>
                <w:rFonts w:cstheme="minorHAnsi"/>
              </w:rPr>
              <w:t>Mode of transport, carrier usage, cost, and on-time delivery rates.</w:t>
            </w:r>
          </w:p>
        </w:tc>
      </w:tr>
      <w:tr w:rsidR="00555DB7" w:rsidRPr="00555DB7" w14:paraId="19619843" w14:textId="77777777" w:rsidTr="00555DB7">
        <w:trPr>
          <w:trHeight w:val="516"/>
          <w:tblCellSpacing w:w="15" w:type="dxa"/>
        </w:trPr>
        <w:tc>
          <w:tcPr>
            <w:tcW w:w="2136" w:type="dxa"/>
            <w:vAlign w:val="center"/>
            <w:hideMark/>
          </w:tcPr>
          <w:p w14:paraId="4662F26A" w14:textId="77777777" w:rsidR="00555DB7" w:rsidRPr="00555DB7" w:rsidRDefault="00555DB7" w:rsidP="00555DB7">
            <w:pPr>
              <w:rPr>
                <w:rFonts w:cstheme="minorHAnsi"/>
              </w:rPr>
            </w:pPr>
            <w:r w:rsidRPr="00555DB7">
              <w:rPr>
                <w:rFonts w:cstheme="minorHAnsi"/>
                <w:b/>
                <w:bCs/>
              </w:rPr>
              <w:t>Quality Control</w:t>
            </w:r>
          </w:p>
        </w:tc>
        <w:tc>
          <w:tcPr>
            <w:tcW w:w="0" w:type="auto"/>
            <w:vAlign w:val="center"/>
            <w:hideMark/>
          </w:tcPr>
          <w:p w14:paraId="5CFAB794" w14:textId="77777777" w:rsidR="00555DB7" w:rsidRPr="00555DB7" w:rsidRDefault="00555DB7" w:rsidP="00555DB7">
            <w:pPr>
              <w:rPr>
                <w:rFonts w:cstheme="minorHAnsi"/>
              </w:rPr>
            </w:pPr>
            <w:r w:rsidRPr="00555DB7">
              <w:rPr>
                <w:rFonts w:cstheme="minorHAnsi"/>
              </w:rPr>
              <w:t>Failure rate in inspections, impact on defect cost and delays.</w:t>
            </w:r>
          </w:p>
        </w:tc>
      </w:tr>
      <w:tr w:rsidR="00555DB7" w:rsidRPr="00555DB7" w14:paraId="26056B3B" w14:textId="77777777" w:rsidTr="00555DB7">
        <w:trPr>
          <w:trHeight w:val="516"/>
          <w:tblCellSpacing w:w="15" w:type="dxa"/>
        </w:trPr>
        <w:tc>
          <w:tcPr>
            <w:tcW w:w="2136" w:type="dxa"/>
            <w:vAlign w:val="center"/>
            <w:hideMark/>
          </w:tcPr>
          <w:p w14:paraId="501B009B" w14:textId="77777777" w:rsidR="00555DB7" w:rsidRPr="00555DB7" w:rsidRDefault="00555DB7" w:rsidP="00555DB7">
            <w:pPr>
              <w:rPr>
                <w:rFonts w:cstheme="minorHAnsi"/>
              </w:rPr>
            </w:pPr>
            <w:r w:rsidRPr="00555DB7">
              <w:rPr>
                <w:rFonts w:cstheme="minorHAnsi"/>
                <w:b/>
                <w:bCs/>
              </w:rPr>
              <w:t>Customer Info</w:t>
            </w:r>
          </w:p>
        </w:tc>
        <w:tc>
          <w:tcPr>
            <w:tcW w:w="0" w:type="auto"/>
            <w:vAlign w:val="center"/>
            <w:hideMark/>
          </w:tcPr>
          <w:p w14:paraId="36F311FA" w14:textId="77777777" w:rsidR="00555DB7" w:rsidRPr="00555DB7" w:rsidRDefault="00555DB7" w:rsidP="00555DB7">
            <w:pPr>
              <w:rPr>
                <w:rFonts w:cstheme="minorHAnsi"/>
              </w:rPr>
            </w:pPr>
            <w:r w:rsidRPr="00555DB7">
              <w:rPr>
                <w:rFonts w:cstheme="minorHAnsi"/>
              </w:rPr>
              <w:t>Segmentation by gender and city to assess buying patterns.</w:t>
            </w:r>
          </w:p>
        </w:tc>
      </w:tr>
      <w:tr w:rsidR="00555DB7" w:rsidRPr="00555DB7" w14:paraId="316AA606" w14:textId="77777777" w:rsidTr="00555DB7">
        <w:trPr>
          <w:trHeight w:val="888"/>
          <w:tblCellSpacing w:w="15" w:type="dxa"/>
        </w:trPr>
        <w:tc>
          <w:tcPr>
            <w:tcW w:w="2136" w:type="dxa"/>
            <w:vAlign w:val="center"/>
            <w:hideMark/>
          </w:tcPr>
          <w:p w14:paraId="38EF6DE2" w14:textId="77777777" w:rsidR="00555DB7" w:rsidRPr="00555DB7" w:rsidRDefault="00555DB7" w:rsidP="00555DB7">
            <w:pPr>
              <w:rPr>
                <w:rFonts w:cstheme="minorHAnsi"/>
              </w:rPr>
            </w:pPr>
            <w:r w:rsidRPr="00555DB7">
              <w:rPr>
                <w:rFonts w:cstheme="minorHAnsi"/>
                <w:b/>
                <w:bCs/>
              </w:rPr>
              <w:t>Cost Analysis</w:t>
            </w:r>
          </w:p>
        </w:tc>
        <w:tc>
          <w:tcPr>
            <w:tcW w:w="0" w:type="auto"/>
            <w:vAlign w:val="center"/>
            <w:hideMark/>
          </w:tcPr>
          <w:p w14:paraId="54573A76" w14:textId="77777777" w:rsidR="00555DB7" w:rsidRPr="00555DB7" w:rsidRDefault="00555DB7" w:rsidP="00555DB7">
            <w:pPr>
              <w:rPr>
                <w:rFonts w:cstheme="minorHAnsi"/>
              </w:rPr>
            </w:pPr>
            <w:r w:rsidRPr="00555DB7">
              <w:rPr>
                <w:rFonts w:cstheme="minorHAnsi"/>
              </w:rPr>
              <w:t>Combined costs from manufacturing, inventory, shipping, and defects.</w:t>
            </w:r>
          </w:p>
        </w:tc>
      </w:tr>
      <w:tr w:rsidR="00555DB7" w:rsidRPr="00555DB7" w14:paraId="0751F7C2" w14:textId="77777777" w:rsidTr="00555DB7">
        <w:trPr>
          <w:trHeight w:val="888"/>
          <w:tblCellSpacing w:w="15" w:type="dxa"/>
        </w:trPr>
        <w:tc>
          <w:tcPr>
            <w:tcW w:w="2136" w:type="dxa"/>
            <w:vAlign w:val="center"/>
            <w:hideMark/>
          </w:tcPr>
          <w:p w14:paraId="636FEFE5" w14:textId="77777777" w:rsidR="00555DB7" w:rsidRPr="00555DB7" w:rsidRDefault="00555DB7" w:rsidP="00555DB7">
            <w:pPr>
              <w:rPr>
                <w:rFonts w:cstheme="minorHAnsi"/>
              </w:rPr>
            </w:pPr>
            <w:r w:rsidRPr="00555DB7">
              <w:rPr>
                <w:rFonts w:cstheme="minorHAnsi"/>
                <w:b/>
                <w:bCs/>
              </w:rPr>
              <w:t>Performance KPIs</w:t>
            </w:r>
          </w:p>
        </w:tc>
        <w:tc>
          <w:tcPr>
            <w:tcW w:w="0" w:type="auto"/>
            <w:vAlign w:val="center"/>
            <w:hideMark/>
          </w:tcPr>
          <w:p w14:paraId="58531B7A" w14:textId="77777777" w:rsidR="00555DB7" w:rsidRPr="00555DB7" w:rsidRDefault="00555DB7" w:rsidP="00555DB7">
            <w:pPr>
              <w:rPr>
                <w:rFonts w:cstheme="minorHAnsi"/>
              </w:rPr>
            </w:pPr>
            <w:r w:rsidRPr="00555DB7">
              <w:rPr>
                <w:rFonts w:cstheme="minorHAnsi"/>
              </w:rPr>
              <w:t>Revenue, cost, lead time, delivery metrics, and average transit duration.</w:t>
            </w:r>
          </w:p>
        </w:tc>
      </w:tr>
    </w:tbl>
    <w:p w14:paraId="79CDA64E" w14:textId="77777777" w:rsidR="00555DB7" w:rsidRPr="00555DB7" w:rsidRDefault="00555DB7" w:rsidP="00555DB7">
      <w:pPr>
        <w:rPr>
          <w:b/>
          <w:bCs/>
          <w:sz w:val="28"/>
          <w:szCs w:val="28"/>
        </w:rPr>
      </w:pPr>
      <w:r w:rsidRPr="00555DB7">
        <w:rPr>
          <w:b/>
          <w:bCs/>
          <w:sz w:val="28"/>
          <w:szCs w:val="28"/>
        </w:rPr>
        <w:t>Target Audience:</w:t>
      </w:r>
    </w:p>
    <w:p w14:paraId="6171F09A" w14:textId="77777777" w:rsidR="00555DB7" w:rsidRPr="00555DB7" w:rsidRDefault="00555DB7" w:rsidP="00555DB7">
      <w:r w:rsidRPr="00555DB7">
        <w:t>This dashboard is designed for supply chain managers, analysts, procurement officers, and decision-makers who need real-time visibility into operational efficiency and business performance.</w:t>
      </w:r>
    </w:p>
    <w:p w14:paraId="2626C20C" w14:textId="77777777" w:rsidR="00555DB7" w:rsidRPr="00555DB7" w:rsidRDefault="00555DB7" w:rsidP="00555DB7"/>
    <w:p w14:paraId="4090EED5" w14:textId="40660DA8" w:rsidR="00555DB7" w:rsidRPr="00555DB7" w:rsidRDefault="00555DB7" w:rsidP="00555DB7">
      <w:pPr>
        <w:rPr>
          <w:b/>
          <w:bCs/>
          <w:sz w:val="32"/>
          <w:szCs w:val="32"/>
        </w:rPr>
      </w:pPr>
      <w:r w:rsidRPr="00555DB7">
        <w:rPr>
          <w:b/>
          <w:bCs/>
          <w:sz w:val="32"/>
          <w:szCs w:val="32"/>
        </w:rPr>
        <w:t>Dataset Description</w:t>
      </w:r>
    </w:p>
    <w:p w14:paraId="0545AD92" w14:textId="77777777" w:rsidR="00555DB7" w:rsidRPr="00555DB7" w:rsidRDefault="00555DB7" w:rsidP="00555DB7">
      <w:r w:rsidRPr="00555DB7">
        <w:t xml:space="preserve">The data used in this project was provided in a CSV format named SUPPLY_CHAIN.csv. It contains </w:t>
      </w:r>
      <w:r w:rsidRPr="00555DB7">
        <w:rPr>
          <w:b/>
          <w:bCs/>
        </w:rPr>
        <w:t>100 unique product records (SKUs)</w:t>
      </w:r>
      <w:r w:rsidRPr="00555DB7">
        <w:t>, each with detailed attributes spanning from manufacturing to customer delivery.</w:t>
      </w:r>
    </w:p>
    <w:p w14:paraId="5D2075E8" w14:textId="77777777" w:rsidR="00555DB7" w:rsidRPr="00555DB7" w:rsidRDefault="00555DB7" w:rsidP="00555DB7">
      <w:r w:rsidRPr="00555DB7">
        <w:t>Here’s a breakdown of the most important fields in the dataset:</w:t>
      </w:r>
    </w:p>
    <w:tbl>
      <w:tblPr>
        <w:tblW w:w="10399" w:type="dxa"/>
        <w:tblCellSpacing w:w="15" w:type="dxa"/>
        <w:tblCellMar>
          <w:top w:w="15" w:type="dxa"/>
          <w:left w:w="15" w:type="dxa"/>
          <w:bottom w:w="15" w:type="dxa"/>
          <w:right w:w="15" w:type="dxa"/>
        </w:tblCellMar>
        <w:tblLook w:val="04A0" w:firstRow="1" w:lastRow="0" w:firstColumn="1" w:lastColumn="0" w:noHBand="0" w:noVBand="1"/>
      </w:tblPr>
      <w:tblGrid>
        <w:gridCol w:w="2869"/>
        <w:gridCol w:w="7530"/>
      </w:tblGrid>
      <w:tr w:rsidR="00555DB7" w:rsidRPr="00555DB7" w14:paraId="4165F6D5" w14:textId="77777777" w:rsidTr="00555DB7">
        <w:trPr>
          <w:trHeight w:val="502"/>
          <w:tblHeader/>
          <w:tblCellSpacing w:w="15" w:type="dxa"/>
        </w:trPr>
        <w:tc>
          <w:tcPr>
            <w:tcW w:w="0" w:type="auto"/>
            <w:vAlign w:val="center"/>
            <w:hideMark/>
          </w:tcPr>
          <w:p w14:paraId="592E254C" w14:textId="77777777" w:rsidR="00555DB7" w:rsidRPr="00555DB7" w:rsidRDefault="00555DB7" w:rsidP="00555DB7">
            <w:pPr>
              <w:rPr>
                <w:b/>
                <w:bCs/>
              </w:rPr>
            </w:pPr>
            <w:r w:rsidRPr="00555DB7">
              <w:rPr>
                <w:b/>
                <w:bCs/>
              </w:rPr>
              <w:lastRenderedPageBreak/>
              <w:t>Field Name</w:t>
            </w:r>
          </w:p>
        </w:tc>
        <w:tc>
          <w:tcPr>
            <w:tcW w:w="0" w:type="auto"/>
            <w:vAlign w:val="center"/>
            <w:hideMark/>
          </w:tcPr>
          <w:p w14:paraId="5A59C84C" w14:textId="77777777" w:rsidR="00555DB7" w:rsidRPr="00555DB7" w:rsidRDefault="00555DB7" w:rsidP="00555DB7">
            <w:pPr>
              <w:rPr>
                <w:b/>
                <w:bCs/>
              </w:rPr>
            </w:pPr>
            <w:r w:rsidRPr="00555DB7">
              <w:rPr>
                <w:b/>
                <w:bCs/>
              </w:rPr>
              <w:t>Description</w:t>
            </w:r>
          </w:p>
        </w:tc>
      </w:tr>
      <w:tr w:rsidR="00555DB7" w:rsidRPr="00555DB7" w14:paraId="375E3DF7" w14:textId="77777777" w:rsidTr="00555DB7">
        <w:trPr>
          <w:trHeight w:val="490"/>
          <w:tblCellSpacing w:w="15" w:type="dxa"/>
        </w:trPr>
        <w:tc>
          <w:tcPr>
            <w:tcW w:w="0" w:type="auto"/>
            <w:vAlign w:val="center"/>
            <w:hideMark/>
          </w:tcPr>
          <w:p w14:paraId="7FBB2071" w14:textId="77777777" w:rsidR="00555DB7" w:rsidRPr="00555DB7" w:rsidRDefault="00555DB7" w:rsidP="00555DB7">
            <w:r w:rsidRPr="00555DB7">
              <w:t>Product Name</w:t>
            </w:r>
          </w:p>
        </w:tc>
        <w:tc>
          <w:tcPr>
            <w:tcW w:w="0" w:type="auto"/>
            <w:vAlign w:val="center"/>
            <w:hideMark/>
          </w:tcPr>
          <w:p w14:paraId="48D891CD" w14:textId="77777777" w:rsidR="00555DB7" w:rsidRPr="00555DB7" w:rsidRDefault="00555DB7" w:rsidP="00555DB7">
            <w:r w:rsidRPr="00555DB7">
              <w:t>Unique name of the SKU</w:t>
            </w:r>
          </w:p>
        </w:tc>
      </w:tr>
      <w:tr w:rsidR="00555DB7" w:rsidRPr="00555DB7" w14:paraId="400D5483" w14:textId="77777777" w:rsidTr="00555DB7">
        <w:trPr>
          <w:trHeight w:val="502"/>
          <w:tblCellSpacing w:w="15" w:type="dxa"/>
        </w:trPr>
        <w:tc>
          <w:tcPr>
            <w:tcW w:w="0" w:type="auto"/>
            <w:vAlign w:val="center"/>
            <w:hideMark/>
          </w:tcPr>
          <w:p w14:paraId="357BF410" w14:textId="77777777" w:rsidR="00555DB7" w:rsidRPr="00555DB7" w:rsidRDefault="00555DB7" w:rsidP="00555DB7">
            <w:r w:rsidRPr="00555DB7">
              <w:t>Category</w:t>
            </w:r>
          </w:p>
        </w:tc>
        <w:tc>
          <w:tcPr>
            <w:tcW w:w="0" w:type="auto"/>
            <w:vAlign w:val="center"/>
            <w:hideMark/>
          </w:tcPr>
          <w:p w14:paraId="6F4EE0A7" w14:textId="77777777" w:rsidR="00555DB7" w:rsidRPr="00555DB7" w:rsidRDefault="00555DB7" w:rsidP="00555DB7">
            <w:r w:rsidRPr="00555DB7">
              <w:t>Category to which the product belongs (e.g., Haircare, Skincare, etc.)</w:t>
            </w:r>
          </w:p>
        </w:tc>
      </w:tr>
      <w:tr w:rsidR="00555DB7" w:rsidRPr="00555DB7" w14:paraId="011F8810" w14:textId="77777777" w:rsidTr="00555DB7">
        <w:trPr>
          <w:trHeight w:val="502"/>
          <w:tblCellSpacing w:w="15" w:type="dxa"/>
        </w:trPr>
        <w:tc>
          <w:tcPr>
            <w:tcW w:w="0" w:type="auto"/>
            <w:vAlign w:val="center"/>
            <w:hideMark/>
          </w:tcPr>
          <w:p w14:paraId="5A700A84" w14:textId="77777777" w:rsidR="00555DB7" w:rsidRPr="00555DB7" w:rsidRDefault="00555DB7" w:rsidP="00555DB7">
            <w:r w:rsidRPr="00555DB7">
              <w:t>Price</w:t>
            </w:r>
          </w:p>
        </w:tc>
        <w:tc>
          <w:tcPr>
            <w:tcW w:w="0" w:type="auto"/>
            <w:vAlign w:val="center"/>
            <w:hideMark/>
          </w:tcPr>
          <w:p w14:paraId="17505D7F" w14:textId="77777777" w:rsidR="00555DB7" w:rsidRPr="00555DB7" w:rsidRDefault="00555DB7" w:rsidP="00555DB7">
            <w:r w:rsidRPr="00555DB7">
              <w:t>Selling price per unit (INR)</w:t>
            </w:r>
          </w:p>
        </w:tc>
      </w:tr>
      <w:tr w:rsidR="00555DB7" w:rsidRPr="00555DB7" w14:paraId="3C82EF7F" w14:textId="77777777" w:rsidTr="00555DB7">
        <w:trPr>
          <w:trHeight w:val="490"/>
          <w:tblCellSpacing w:w="15" w:type="dxa"/>
        </w:trPr>
        <w:tc>
          <w:tcPr>
            <w:tcW w:w="0" w:type="auto"/>
            <w:vAlign w:val="center"/>
            <w:hideMark/>
          </w:tcPr>
          <w:p w14:paraId="31B386C2" w14:textId="77777777" w:rsidR="00555DB7" w:rsidRPr="00555DB7" w:rsidRDefault="00555DB7" w:rsidP="00555DB7">
            <w:r w:rsidRPr="00555DB7">
              <w:t>Units Sold</w:t>
            </w:r>
          </w:p>
        </w:tc>
        <w:tc>
          <w:tcPr>
            <w:tcW w:w="0" w:type="auto"/>
            <w:vAlign w:val="center"/>
            <w:hideMark/>
          </w:tcPr>
          <w:p w14:paraId="4F459C1D" w14:textId="77777777" w:rsidR="00555DB7" w:rsidRPr="00555DB7" w:rsidRDefault="00555DB7" w:rsidP="00555DB7">
            <w:r w:rsidRPr="00555DB7">
              <w:t>Number of units sold</w:t>
            </w:r>
          </w:p>
        </w:tc>
      </w:tr>
      <w:tr w:rsidR="00555DB7" w:rsidRPr="00555DB7" w14:paraId="0610F4DE" w14:textId="77777777" w:rsidTr="00555DB7">
        <w:trPr>
          <w:trHeight w:val="502"/>
          <w:tblCellSpacing w:w="15" w:type="dxa"/>
        </w:trPr>
        <w:tc>
          <w:tcPr>
            <w:tcW w:w="0" w:type="auto"/>
            <w:vAlign w:val="center"/>
            <w:hideMark/>
          </w:tcPr>
          <w:p w14:paraId="062AACF6" w14:textId="77777777" w:rsidR="00555DB7" w:rsidRPr="00555DB7" w:rsidRDefault="00555DB7" w:rsidP="00555DB7">
            <w:r w:rsidRPr="00555DB7">
              <w:t>Manufacturing Cost</w:t>
            </w:r>
          </w:p>
        </w:tc>
        <w:tc>
          <w:tcPr>
            <w:tcW w:w="0" w:type="auto"/>
            <w:vAlign w:val="center"/>
            <w:hideMark/>
          </w:tcPr>
          <w:p w14:paraId="2E3A1A55" w14:textId="77777777" w:rsidR="00555DB7" w:rsidRPr="00555DB7" w:rsidRDefault="00555DB7" w:rsidP="00555DB7">
            <w:r w:rsidRPr="00555DB7">
              <w:t>Cost incurred in manufacturing each product</w:t>
            </w:r>
          </w:p>
        </w:tc>
      </w:tr>
      <w:tr w:rsidR="00555DB7" w:rsidRPr="00555DB7" w14:paraId="28FB2176" w14:textId="77777777" w:rsidTr="00555DB7">
        <w:trPr>
          <w:trHeight w:val="502"/>
          <w:tblCellSpacing w:w="15" w:type="dxa"/>
        </w:trPr>
        <w:tc>
          <w:tcPr>
            <w:tcW w:w="0" w:type="auto"/>
            <w:vAlign w:val="center"/>
            <w:hideMark/>
          </w:tcPr>
          <w:p w14:paraId="538E8EC9" w14:textId="77777777" w:rsidR="00555DB7" w:rsidRPr="00555DB7" w:rsidRDefault="00555DB7" w:rsidP="00555DB7">
            <w:r w:rsidRPr="00555DB7">
              <w:t>Inventory Cost</w:t>
            </w:r>
          </w:p>
        </w:tc>
        <w:tc>
          <w:tcPr>
            <w:tcW w:w="0" w:type="auto"/>
            <w:vAlign w:val="center"/>
            <w:hideMark/>
          </w:tcPr>
          <w:p w14:paraId="1F08A052" w14:textId="77777777" w:rsidR="00555DB7" w:rsidRPr="00555DB7" w:rsidRDefault="00555DB7" w:rsidP="00555DB7">
            <w:r w:rsidRPr="00555DB7">
              <w:t>Cost associated with storing inventory</w:t>
            </w:r>
          </w:p>
        </w:tc>
      </w:tr>
      <w:tr w:rsidR="00555DB7" w:rsidRPr="00555DB7" w14:paraId="59AF7948" w14:textId="77777777" w:rsidTr="00555DB7">
        <w:trPr>
          <w:trHeight w:val="490"/>
          <w:tblCellSpacing w:w="15" w:type="dxa"/>
        </w:trPr>
        <w:tc>
          <w:tcPr>
            <w:tcW w:w="0" w:type="auto"/>
            <w:vAlign w:val="center"/>
            <w:hideMark/>
          </w:tcPr>
          <w:p w14:paraId="453F8422" w14:textId="77777777" w:rsidR="00555DB7" w:rsidRPr="00555DB7" w:rsidRDefault="00555DB7" w:rsidP="00555DB7">
            <w:r w:rsidRPr="00555DB7">
              <w:t>Current Inventory</w:t>
            </w:r>
          </w:p>
        </w:tc>
        <w:tc>
          <w:tcPr>
            <w:tcW w:w="0" w:type="auto"/>
            <w:vAlign w:val="center"/>
            <w:hideMark/>
          </w:tcPr>
          <w:p w14:paraId="30BCE525" w14:textId="77777777" w:rsidR="00555DB7" w:rsidRPr="00555DB7" w:rsidRDefault="00555DB7" w:rsidP="00555DB7">
            <w:r w:rsidRPr="00555DB7">
              <w:t>Remaining stock levels (some negative → overselling)</w:t>
            </w:r>
          </w:p>
        </w:tc>
      </w:tr>
      <w:tr w:rsidR="00555DB7" w:rsidRPr="00555DB7" w14:paraId="04FE2C8A" w14:textId="77777777" w:rsidTr="00555DB7">
        <w:trPr>
          <w:trHeight w:val="502"/>
          <w:tblCellSpacing w:w="15" w:type="dxa"/>
        </w:trPr>
        <w:tc>
          <w:tcPr>
            <w:tcW w:w="0" w:type="auto"/>
            <w:vAlign w:val="center"/>
            <w:hideMark/>
          </w:tcPr>
          <w:p w14:paraId="3BCCABE1" w14:textId="77777777" w:rsidR="00555DB7" w:rsidRPr="00555DB7" w:rsidRDefault="00555DB7" w:rsidP="00555DB7">
            <w:r w:rsidRPr="00555DB7">
              <w:t>Defective Inventory</w:t>
            </w:r>
          </w:p>
        </w:tc>
        <w:tc>
          <w:tcPr>
            <w:tcW w:w="0" w:type="auto"/>
            <w:vAlign w:val="center"/>
            <w:hideMark/>
          </w:tcPr>
          <w:p w14:paraId="35EA9FB8" w14:textId="77777777" w:rsidR="00555DB7" w:rsidRPr="00555DB7" w:rsidRDefault="00555DB7" w:rsidP="00555DB7">
            <w:r w:rsidRPr="00555DB7">
              <w:t>Number of defective or unusable units</w:t>
            </w:r>
          </w:p>
        </w:tc>
      </w:tr>
      <w:tr w:rsidR="00555DB7" w:rsidRPr="00555DB7" w14:paraId="7B1CB980" w14:textId="77777777" w:rsidTr="00555DB7">
        <w:trPr>
          <w:trHeight w:val="490"/>
          <w:tblCellSpacing w:w="15" w:type="dxa"/>
        </w:trPr>
        <w:tc>
          <w:tcPr>
            <w:tcW w:w="0" w:type="auto"/>
            <w:vAlign w:val="center"/>
            <w:hideMark/>
          </w:tcPr>
          <w:p w14:paraId="25FF63AE" w14:textId="77777777" w:rsidR="00555DB7" w:rsidRPr="00555DB7" w:rsidRDefault="00555DB7" w:rsidP="00555DB7">
            <w:r w:rsidRPr="00555DB7">
              <w:t>Production Volume</w:t>
            </w:r>
          </w:p>
        </w:tc>
        <w:tc>
          <w:tcPr>
            <w:tcW w:w="0" w:type="auto"/>
            <w:vAlign w:val="center"/>
            <w:hideMark/>
          </w:tcPr>
          <w:p w14:paraId="519FD0DE" w14:textId="77777777" w:rsidR="00555DB7" w:rsidRPr="00555DB7" w:rsidRDefault="00555DB7" w:rsidP="00555DB7">
            <w:r w:rsidRPr="00555DB7">
              <w:t>Total quantity produced by the supplier</w:t>
            </w:r>
          </w:p>
        </w:tc>
      </w:tr>
      <w:tr w:rsidR="00555DB7" w:rsidRPr="00555DB7" w14:paraId="37EA39B8" w14:textId="77777777" w:rsidTr="00555DB7">
        <w:trPr>
          <w:trHeight w:val="502"/>
          <w:tblCellSpacing w:w="15" w:type="dxa"/>
        </w:trPr>
        <w:tc>
          <w:tcPr>
            <w:tcW w:w="0" w:type="auto"/>
            <w:vAlign w:val="center"/>
            <w:hideMark/>
          </w:tcPr>
          <w:p w14:paraId="18055013" w14:textId="77777777" w:rsidR="00555DB7" w:rsidRPr="00555DB7" w:rsidRDefault="00555DB7" w:rsidP="00555DB7">
            <w:r w:rsidRPr="00555DB7">
              <w:t>Supplier</w:t>
            </w:r>
          </w:p>
        </w:tc>
        <w:tc>
          <w:tcPr>
            <w:tcW w:w="0" w:type="auto"/>
            <w:vAlign w:val="center"/>
            <w:hideMark/>
          </w:tcPr>
          <w:p w14:paraId="1EDDA406" w14:textId="77777777" w:rsidR="00555DB7" w:rsidRPr="00555DB7" w:rsidRDefault="00555DB7" w:rsidP="00555DB7">
            <w:r w:rsidRPr="00555DB7">
              <w:t>The vendor responsible for supplying the product</w:t>
            </w:r>
          </w:p>
        </w:tc>
      </w:tr>
      <w:tr w:rsidR="00555DB7" w:rsidRPr="00555DB7" w14:paraId="75E1D086" w14:textId="77777777" w:rsidTr="00555DB7">
        <w:trPr>
          <w:trHeight w:val="502"/>
          <w:tblCellSpacing w:w="15" w:type="dxa"/>
        </w:trPr>
        <w:tc>
          <w:tcPr>
            <w:tcW w:w="0" w:type="auto"/>
            <w:vAlign w:val="center"/>
            <w:hideMark/>
          </w:tcPr>
          <w:p w14:paraId="2FB522E2" w14:textId="77777777" w:rsidR="00555DB7" w:rsidRPr="00555DB7" w:rsidRDefault="00555DB7" w:rsidP="00555DB7">
            <w:r w:rsidRPr="00555DB7">
              <w:t>Manufacturing Lead Time</w:t>
            </w:r>
          </w:p>
        </w:tc>
        <w:tc>
          <w:tcPr>
            <w:tcW w:w="0" w:type="auto"/>
            <w:vAlign w:val="center"/>
            <w:hideMark/>
          </w:tcPr>
          <w:p w14:paraId="5308062D" w14:textId="77777777" w:rsidR="00555DB7" w:rsidRPr="00555DB7" w:rsidRDefault="00555DB7" w:rsidP="00555DB7">
            <w:r w:rsidRPr="00555DB7">
              <w:t>Time taken (in days) for the supplier to produce the product</w:t>
            </w:r>
          </w:p>
        </w:tc>
      </w:tr>
      <w:tr w:rsidR="00555DB7" w:rsidRPr="00555DB7" w14:paraId="671ED698" w14:textId="77777777" w:rsidTr="00555DB7">
        <w:trPr>
          <w:trHeight w:val="490"/>
          <w:tblCellSpacing w:w="15" w:type="dxa"/>
        </w:trPr>
        <w:tc>
          <w:tcPr>
            <w:tcW w:w="0" w:type="auto"/>
            <w:vAlign w:val="center"/>
            <w:hideMark/>
          </w:tcPr>
          <w:p w14:paraId="73099F42" w14:textId="77777777" w:rsidR="00555DB7" w:rsidRPr="00555DB7" w:rsidRDefault="00555DB7" w:rsidP="00555DB7">
            <w:r w:rsidRPr="00555DB7">
              <w:t>Inspection Result</w:t>
            </w:r>
          </w:p>
        </w:tc>
        <w:tc>
          <w:tcPr>
            <w:tcW w:w="0" w:type="auto"/>
            <w:vAlign w:val="center"/>
            <w:hideMark/>
          </w:tcPr>
          <w:p w14:paraId="532FAD79" w14:textId="77777777" w:rsidR="00555DB7" w:rsidRPr="00555DB7" w:rsidRDefault="00555DB7" w:rsidP="00555DB7">
            <w:r w:rsidRPr="00555DB7">
              <w:t>Result of quality inspection (Pass, Fail, or Pending)</w:t>
            </w:r>
          </w:p>
        </w:tc>
      </w:tr>
      <w:tr w:rsidR="00555DB7" w:rsidRPr="00555DB7" w14:paraId="33524874" w14:textId="77777777" w:rsidTr="00555DB7">
        <w:trPr>
          <w:trHeight w:val="502"/>
          <w:tblCellSpacing w:w="15" w:type="dxa"/>
        </w:trPr>
        <w:tc>
          <w:tcPr>
            <w:tcW w:w="0" w:type="auto"/>
            <w:vAlign w:val="center"/>
            <w:hideMark/>
          </w:tcPr>
          <w:p w14:paraId="251B64AE" w14:textId="77777777" w:rsidR="00555DB7" w:rsidRPr="00555DB7" w:rsidRDefault="00555DB7" w:rsidP="00555DB7">
            <w:r w:rsidRPr="00555DB7">
              <w:t>Defect Rate (%)</w:t>
            </w:r>
          </w:p>
        </w:tc>
        <w:tc>
          <w:tcPr>
            <w:tcW w:w="0" w:type="auto"/>
            <w:vAlign w:val="center"/>
            <w:hideMark/>
          </w:tcPr>
          <w:p w14:paraId="26F22A6C" w14:textId="77777777" w:rsidR="00555DB7" w:rsidRPr="00555DB7" w:rsidRDefault="00555DB7" w:rsidP="00555DB7">
            <w:r w:rsidRPr="00555DB7">
              <w:t>Percentage of production marked as defective</w:t>
            </w:r>
          </w:p>
        </w:tc>
      </w:tr>
      <w:tr w:rsidR="00555DB7" w:rsidRPr="00555DB7" w14:paraId="72A99406" w14:textId="77777777" w:rsidTr="00555DB7">
        <w:trPr>
          <w:trHeight w:val="490"/>
          <w:tblCellSpacing w:w="15" w:type="dxa"/>
        </w:trPr>
        <w:tc>
          <w:tcPr>
            <w:tcW w:w="0" w:type="auto"/>
            <w:vAlign w:val="center"/>
            <w:hideMark/>
          </w:tcPr>
          <w:p w14:paraId="76B24E19" w14:textId="77777777" w:rsidR="00555DB7" w:rsidRPr="00555DB7" w:rsidRDefault="00555DB7" w:rsidP="00555DB7">
            <w:r w:rsidRPr="00555DB7">
              <w:t>Defect Cost</w:t>
            </w:r>
          </w:p>
        </w:tc>
        <w:tc>
          <w:tcPr>
            <w:tcW w:w="0" w:type="auto"/>
            <w:vAlign w:val="center"/>
            <w:hideMark/>
          </w:tcPr>
          <w:p w14:paraId="316B0B9F" w14:textId="77777777" w:rsidR="00555DB7" w:rsidRPr="00555DB7" w:rsidRDefault="00555DB7" w:rsidP="00555DB7">
            <w:r w:rsidRPr="00555DB7">
              <w:t>Financial loss due to defective units</w:t>
            </w:r>
          </w:p>
        </w:tc>
      </w:tr>
      <w:tr w:rsidR="00555DB7" w:rsidRPr="00555DB7" w14:paraId="6382E7EA" w14:textId="77777777" w:rsidTr="00555DB7">
        <w:trPr>
          <w:trHeight w:val="502"/>
          <w:tblCellSpacing w:w="15" w:type="dxa"/>
        </w:trPr>
        <w:tc>
          <w:tcPr>
            <w:tcW w:w="0" w:type="auto"/>
            <w:vAlign w:val="center"/>
            <w:hideMark/>
          </w:tcPr>
          <w:p w14:paraId="6EA08C09" w14:textId="77777777" w:rsidR="00555DB7" w:rsidRPr="00555DB7" w:rsidRDefault="00555DB7" w:rsidP="00555DB7">
            <w:r w:rsidRPr="00555DB7">
              <w:t>Route</w:t>
            </w:r>
          </w:p>
        </w:tc>
        <w:tc>
          <w:tcPr>
            <w:tcW w:w="0" w:type="auto"/>
            <w:vAlign w:val="center"/>
            <w:hideMark/>
          </w:tcPr>
          <w:p w14:paraId="202917CD" w14:textId="77777777" w:rsidR="00555DB7" w:rsidRPr="00555DB7" w:rsidRDefault="00555DB7" w:rsidP="00555DB7">
            <w:r w:rsidRPr="00555DB7">
              <w:t>Route taken for shipment (A, B, or C)</w:t>
            </w:r>
          </w:p>
        </w:tc>
      </w:tr>
      <w:tr w:rsidR="00555DB7" w:rsidRPr="00555DB7" w14:paraId="7C9BCF8F" w14:textId="77777777" w:rsidTr="00555DB7">
        <w:trPr>
          <w:trHeight w:val="502"/>
          <w:tblCellSpacing w:w="15" w:type="dxa"/>
        </w:trPr>
        <w:tc>
          <w:tcPr>
            <w:tcW w:w="0" w:type="auto"/>
            <w:vAlign w:val="center"/>
            <w:hideMark/>
          </w:tcPr>
          <w:p w14:paraId="3007F10C" w14:textId="77777777" w:rsidR="00555DB7" w:rsidRPr="00555DB7" w:rsidRDefault="00555DB7" w:rsidP="00555DB7">
            <w:r w:rsidRPr="00555DB7">
              <w:t>Carrier</w:t>
            </w:r>
          </w:p>
        </w:tc>
        <w:tc>
          <w:tcPr>
            <w:tcW w:w="0" w:type="auto"/>
            <w:vAlign w:val="center"/>
            <w:hideMark/>
          </w:tcPr>
          <w:p w14:paraId="3BB7288F" w14:textId="77777777" w:rsidR="00555DB7" w:rsidRPr="00555DB7" w:rsidRDefault="00555DB7" w:rsidP="00555DB7">
            <w:r w:rsidRPr="00555DB7">
              <w:t>Shipping service used (Carrier A, B, or C)</w:t>
            </w:r>
          </w:p>
        </w:tc>
      </w:tr>
      <w:tr w:rsidR="00555DB7" w:rsidRPr="00555DB7" w14:paraId="312A09CF" w14:textId="77777777" w:rsidTr="00555DB7">
        <w:trPr>
          <w:trHeight w:val="490"/>
          <w:tblCellSpacing w:w="15" w:type="dxa"/>
        </w:trPr>
        <w:tc>
          <w:tcPr>
            <w:tcW w:w="0" w:type="auto"/>
            <w:vAlign w:val="center"/>
            <w:hideMark/>
          </w:tcPr>
          <w:p w14:paraId="0076AA72" w14:textId="77777777" w:rsidR="00555DB7" w:rsidRPr="00555DB7" w:rsidRDefault="00555DB7" w:rsidP="00555DB7">
            <w:r w:rsidRPr="00555DB7">
              <w:t>Mode of Transport</w:t>
            </w:r>
          </w:p>
        </w:tc>
        <w:tc>
          <w:tcPr>
            <w:tcW w:w="0" w:type="auto"/>
            <w:vAlign w:val="center"/>
            <w:hideMark/>
          </w:tcPr>
          <w:p w14:paraId="637596E0" w14:textId="77777777" w:rsidR="00555DB7" w:rsidRPr="00555DB7" w:rsidRDefault="00555DB7" w:rsidP="00555DB7">
            <w:r w:rsidRPr="00555DB7">
              <w:t>Shipping type (Air, Road, Rail, etc.)</w:t>
            </w:r>
          </w:p>
        </w:tc>
      </w:tr>
      <w:tr w:rsidR="00555DB7" w:rsidRPr="00555DB7" w14:paraId="59485326" w14:textId="77777777" w:rsidTr="00555DB7">
        <w:trPr>
          <w:trHeight w:val="502"/>
          <w:tblCellSpacing w:w="15" w:type="dxa"/>
        </w:trPr>
        <w:tc>
          <w:tcPr>
            <w:tcW w:w="0" w:type="auto"/>
            <w:vAlign w:val="center"/>
            <w:hideMark/>
          </w:tcPr>
          <w:p w14:paraId="34C727DC" w14:textId="77777777" w:rsidR="00555DB7" w:rsidRPr="00555DB7" w:rsidRDefault="00555DB7" w:rsidP="00555DB7">
            <w:r w:rsidRPr="00555DB7">
              <w:t>Shipping Cost</w:t>
            </w:r>
          </w:p>
        </w:tc>
        <w:tc>
          <w:tcPr>
            <w:tcW w:w="0" w:type="auto"/>
            <w:vAlign w:val="center"/>
            <w:hideMark/>
          </w:tcPr>
          <w:p w14:paraId="5750FEB5" w14:textId="77777777" w:rsidR="00555DB7" w:rsidRPr="00555DB7" w:rsidRDefault="00555DB7" w:rsidP="00555DB7">
            <w:r w:rsidRPr="00555DB7">
              <w:t>Cost incurred during shipment</w:t>
            </w:r>
          </w:p>
        </w:tc>
      </w:tr>
      <w:tr w:rsidR="00555DB7" w:rsidRPr="00555DB7" w14:paraId="6D5AFE7D" w14:textId="77777777" w:rsidTr="00555DB7">
        <w:trPr>
          <w:trHeight w:val="502"/>
          <w:tblCellSpacing w:w="15" w:type="dxa"/>
        </w:trPr>
        <w:tc>
          <w:tcPr>
            <w:tcW w:w="0" w:type="auto"/>
            <w:vAlign w:val="center"/>
            <w:hideMark/>
          </w:tcPr>
          <w:p w14:paraId="46AABA23" w14:textId="77777777" w:rsidR="00555DB7" w:rsidRPr="00555DB7" w:rsidRDefault="00555DB7" w:rsidP="00555DB7">
            <w:r w:rsidRPr="00555DB7">
              <w:t>Transit Time</w:t>
            </w:r>
          </w:p>
        </w:tc>
        <w:tc>
          <w:tcPr>
            <w:tcW w:w="0" w:type="auto"/>
            <w:vAlign w:val="center"/>
            <w:hideMark/>
          </w:tcPr>
          <w:p w14:paraId="1EB3A8AF" w14:textId="77777777" w:rsidR="00555DB7" w:rsidRPr="00555DB7" w:rsidRDefault="00555DB7" w:rsidP="00555DB7">
            <w:r w:rsidRPr="00555DB7">
              <w:t>Time (in days) taken for delivery</w:t>
            </w:r>
          </w:p>
        </w:tc>
      </w:tr>
      <w:tr w:rsidR="00555DB7" w:rsidRPr="00555DB7" w14:paraId="3DACA667" w14:textId="77777777" w:rsidTr="00555DB7">
        <w:trPr>
          <w:trHeight w:val="490"/>
          <w:tblCellSpacing w:w="15" w:type="dxa"/>
        </w:trPr>
        <w:tc>
          <w:tcPr>
            <w:tcW w:w="0" w:type="auto"/>
            <w:vAlign w:val="center"/>
            <w:hideMark/>
          </w:tcPr>
          <w:p w14:paraId="56E1F519" w14:textId="77777777" w:rsidR="00555DB7" w:rsidRPr="00555DB7" w:rsidRDefault="00555DB7" w:rsidP="00555DB7">
            <w:r w:rsidRPr="00555DB7">
              <w:t>Delivery Status</w:t>
            </w:r>
          </w:p>
        </w:tc>
        <w:tc>
          <w:tcPr>
            <w:tcW w:w="0" w:type="auto"/>
            <w:vAlign w:val="center"/>
            <w:hideMark/>
          </w:tcPr>
          <w:p w14:paraId="3584AB4E" w14:textId="77777777" w:rsidR="00555DB7" w:rsidRPr="00555DB7" w:rsidRDefault="00555DB7" w:rsidP="00555DB7">
            <w:r w:rsidRPr="00555DB7">
              <w:t>Whether the order was delivered on time</w:t>
            </w:r>
          </w:p>
        </w:tc>
      </w:tr>
      <w:tr w:rsidR="00555DB7" w:rsidRPr="00555DB7" w14:paraId="00C719FB" w14:textId="77777777" w:rsidTr="00555DB7">
        <w:trPr>
          <w:trHeight w:val="502"/>
          <w:tblCellSpacing w:w="15" w:type="dxa"/>
        </w:trPr>
        <w:tc>
          <w:tcPr>
            <w:tcW w:w="0" w:type="auto"/>
            <w:vAlign w:val="center"/>
            <w:hideMark/>
          </w:tcPr>
          <w:p w14:paraId="237899CE" w14:textId="77777777" w:rsidR="00555DB7" w:rsidRPr="00555DB7" w:rsidRDefault="00555DB7" w:rsidP="00555DB7">
            <w:r w:rsidRPr="00555DB7">
              <w:t>Customer Gender</w:t>
            </w:r>
          </w:p>
        </w:tc>
        <w:tc>
          <w:tcPr>
            <w:tcW w:w="0" w:type="auto"/>
            <w:vAlign w:val="center"/>
            <w:hideMark/>
          </w:tcPr>
          <w:p w14:paraId="64B14C40" w14:textId="77777777" w:rsidR="00555DB7" w:rsidRPr="00555DB7" w:rsidRDefault="00555DB7" w:rsidP="00555DB7">
            <w:r w:rsidRPr="00555DB7">
              <w:t>Demographic info of the end user</w:t>
            </w:r>
          </w:p>
        </w:tc>
      </w:tr>
      <w:tr w:rsidR="00555DB7" w:rsidRPr="00555DB7" w14:paraId="71856389" w14:textId="77777777" w:rsidTr="00555DB7">
        <w:trPr>
          <w:trHeight w:val="502"/>
          <w:tblCellSpacing w:w="15" w:type="dxa"/>
        </w:trPr>
        <w:tc>
          <w:tcPr>
            <w:tcW w:w="0" w:type="auto"/>
            <w:vAlign w:val="center"/>
            <w:hideMark/>
          </w:tcPr>
          <w:p w14:paraId="713C66C8" w14:textId="77777777" w:rsidR="00555DB7" w:rsidRPr="00555DB7" w:rsidRDefault="00555DB7" w:rsidP="00555DB7">
            <w:r w:rsidRPr="00555DB7">
              <w:t>Customer Location</w:t>
            </w:r>
          </w:p>
        </w:tc>
        <w:tc>
          <w:tcPr>
            <w:tcW w:w="0" w:type="auto"/>
            <w:vAlign w:val="center"/>
            <w:hideMark/>
          </w:tcPr>
          <w:p w14:paraId="353FF421" w14:textId="77777777" w:rsidR="00555DB7" w:rsidRPr="00555DB7" w:rsidRDefault="00555DB7" w:rsidP="00555DB7">
            <w:r w:rsidRPr="00555DB7">
              <w:t>Final destination city of the shipment</w:t>
            </w:r>
          </w:p>
        </w:tc>
      </w:tr>
    </w:tbl>
    <w:p w14:paraId="418C1AD7" w14:textId="77777777" w:rsidR="005113F2" w:rsidRPr="005113F2" w:rsidRDefault="005113F2" w:rsidP="005113F2">
      <w:pPr>
        <w:rPr>
          <w:b/>
          <w:bCs/>
          <w:sz w:val="28"/>
          <w:szCs w:val="28"/>
        </w:rPr>
      </w:pPr>
      <w:r w:rsidRPr="005113F2">
        <w:rPr>
          <w:b/>
          <w:bCs/>
          <w:sz w:val="28"/>
          <w:szCs w:val="28"/>
        </w:rPr>
        <w:lastRenderedPageBreak/>
        <w:t>Key Dataset Stats:</w:t>
      </w:r>
    </w:p>
    <w:p w14:paraId="36EE8D29" w14:textId="77777777" w:rsidR="005113F2" w:rsidRPr="005113F2" w:rsidRDefault="005113F2" w:rsidP="005113F2">
      <w:pPr>
        <w:numPr>
          <w:ilvl w:val="0"/>
          <w:numId w:val="29"/>
        </w:numPr>
      </w:pPr>
      <w:r w:rsidRPr="005113F2">
        <w:rPr>
          <w:b/>
          <w:bCs/>
        </w:rPr>
        <w:t>SKUs</w:t>
      </w:r>
      <w:r w:rsidRPr="005113F2">
        <w:t>: 100 unique entries</w:t>
      </w:r>
    </w:p>
    <w:p w14:paraId="78AA3CAD" w14:textId="77777777" w:rsidR="005113F2" w:rsidRPr="005113F2" w:rsidRDefault="005113F2" w:rsidP="005113F2">
      <w:pPr>
        <w:numPr>
          <w:ilvl w:val="0"/>
          <w:numId w:val="29"/>
        </w:numPr>
      </w:pPr>
      <w:r w:rsidRPr="005113F2">
        <w:rPr>
          <w:b/>
          <w:bCs/>
        </w:rPr>
        <w:t>Categories</w:t>
      </w:r>
      <w:r w:rsidRPr="005113F2">
        <w:t>: 4 main categories</w:t>
      </w:r>
    </w:p>
    <w:p w14:paraId="35E6B06F" w14:textId="77777777" w:rsidR="005113F2" w:rsidRPr="005113F2" w:rsidRDefault="005113F2" w:rsidP="005113F2">
      <w:pPr>
        <w:numPr>
          <w:ilvl w:val="0"/>
          <w:numId w:val="29"/>
        </w:numPr>
      </w:pPr>
      <w:r w:rsidRPr="005113F2">
        <w:rPr>
          <w:b/>
          <w:bCs/>
        </w:rPr>
        <w:t>Avg. Price</w:t>
      </w:r>
      <w:r w:rsidRPr="005113F2">
        <w:t>: ₹49.46</w:t>
      </w:r>
    </w:p>
    <w:p w14:paraId="6E0B6844" w14:textId="77777777" w:rsidR="005113F2" w:rsidRPr="005113F2" w:rsidRDefault="005113F2" w:rsidP="005113F2">
      <w:pPr>
        <w:numPr>
          <w:ilvl w:val="0"/>
          <w:numId w:val="29"/>
        </w:numPr>
      </w:pPr>
      <w:r w:rsidRPr="005113F2">
        <w:rPr>
          <w:b/>
          <w:bCs/>
        </w:rPr>
        <w:t>Avg. Lead Time</w:t>
      </w:r>
      <w:r w:rsidRPr="005113F2">
        <w:t>: ~13.5 days</w:t>
      </w:r>
    </w:p>
    <w:p w14:paraId="46ABDFA8" w14:textId="77777777" w:rsidR="005113F2" w:rsidRPr="005113F2" w:rsidRDefault="005113F2" w:rsidP="005113F2">
      <w:pPr>
        <w:numPr>
          <w:ilvl w:val="0"/>
          <w:numId w:val="29"/>
        </w:numPr>
      </w:pPr>
      <w:r w:rsidRPr="005113F2">
        <w:rPr>
          <w:b/>
          <w:bCs/>
        </w:rPr>
        <w:t>Defect Rate (mean)</w:t>
      </w:r>
      <w:r w:rsidRPr="005113F2">
        <w:t>: 2.27%</w:t>
      </w:r>
    </w:p>
    <w:p w14:paraId="4AAFF9AF" w14:textId="77777777" w:rsidR="005113F2" w:rsidRPr="005113F2" w:rsidRDefault="005113F2" w:rsidP="005113F2">
      <w:pPr>
        <w:numPr>
          <w:ilvl w:val="0"/>
          <w:numId w:val="29"/>
        </w:numPr>
      </w:pPr>
      <w:r w:rsidRPr="005113F2">
        <w:rPr>
          <w:b/>
          <w:bCs/>
        </w:rPr>
        <w:t>Shipping Cost Range</w:t>
      </w:r>
      <w:r w:rsidRPr="005113F2">
        <w:t>: ₹1.01 to ₹9.93</w:t>
      </w:r>
    </w:p>
    <w:p w14:paraId="5C0A9D9E" w14:textId="77777777" w:rsidR="005113F2" w:rsidRPr="005113F2" w:rsidRDefault="005113F2" w:rsidP="005113F2">
      <w:pPr>
        <w:numPr>
          <w:ilvl w:val="0"/>
          <w:numId w:val="29"/>
        </w:numPr>
      </w:pPr>
      <w:r w:rsidRPr="005113F2">
        <w:rPr>
          <w:b/>
          <w:bCs/>
        </w:rPr>
        <w:t>On-Time Delivery</w:t>
      </w:r>
      <w:r w:rsidRPr="005113F2">
        <w:t>: 83 products were delivered on time</w:t>
      </w:r>
    </w:p>
    <w:p w14:paraId="1E4D9795" w14:textId="77777777" w:rsidR="005113F2" w:rsidRPr="005113F2" w:rsidRDefault="005113F2" w:rsidP="005113F2">
      <w:r w:rsidRPr="005113F2">
        <w:t>This rich dataset helped in designing 10 interactive Power BI pages that collectively visualize operational efficiency and cost drivers across the supply chain.</w:t>
      </w:r>
    </w:p>
    <w:p w14:paraId="387CADFB" w14:textId="77777777" w:rsidR="005113F2" w:rsidRPr="005113F2" w:rsidRDefault="005113F2" w:rsidP="00555DB7"/>
    <w:p w14:paraId="673CFA5C" w14:textId="62462816" w:rsidR="00555DB7" w:rsidRPr="00555DB7" w:rsidRDefault="00555DB7" w:rsidP="00555DB7">
      <w:pPr>
        <w:rPr>
          <w:b/>
          <w:bCs/>
          <w:sz w:val="32"/>
          <w:szCs w:val="32"/>
        </w:rPr>
      </w:pPr>
      <w:r w:rsidRPr="00555DB7">
        <w:rPr>
          <w:b/>
          <w:bCs/>
          <w:sz w:val="32"/>
          <w:szCs w:val="32"/>
        </w:rPr>
        <w:t>Dashboard Page Breakdown</w:t>
      </w:r>
    </w:p>
    <w:p w14:paraId="295D99AE" w14:textId="77777777" w:rsidR="00555DB7" w:rsidRPr="00555DB7" w:rsidRDefault="00555DB7" w:rsidP="00555DB7">
      <w:r w:rsidRPr="00555DB7">
        <w:t>A navigation-style overview of all dashboard tabs:</w:t>
      </w:r>
    </w:p>
    <w:p w14:paraId="06DD5E2A" w14:textId="77777777" w:rsidR="00555DB7" w:rsidRPr="00555DB7" w:rsidRDefault="00555DB7" w:rsidP="00555DB7">
      <w:pPr>
        <w:numPr>
          <w:ilvl w:val="0"/>
          <w:numId w:val="14"/>
        </w:numPr>
      </w:pPr>
      <w:r w:rsidRPr="00555DB7">
        <w:t>Overview Dashboard</w:t>
      </w:r>
    </w:p>
    <w:p w14:paraId="75721C57" w14:textId="77777777" w:rsidR="00555DB7" w:rsidRPr="00555DB7" w:rsidRDefault="00555DB7" w:rsidP="00555DB7">
      <w:pPr>
        <w:numPr>
          <w:ilvl w:val="0"/>
          <w:numId w:val="14"/>
        </w:numPr>
      </w:pPr>
      <w:r w:rsidRPr="00555DB7">
        <w:t>Sales Dashboard</w:t>
      </w:r>
    </w:p>
    <w:p w14:paraId="35B62074" w14:textId="77777777" w:rsidR="00555DB7" w:rsidRPr="00555DB7" w:rsidRDefault="00555DB7" w:rsidP="00555DB7">
      <w:pPr>
        <w:numPr>
          <w:ilvl w:val="0"/>
          <w:numId w:val="14"/>
        </w:numPr>
      </w:pPr>
      <w:r w:rsidRPr="00555DB7">
        <w:t>Inventory Management</w:t>
      </w:r>
    </w:p>
    <w:p w14:paraId="2707DCE1" w14:textId="77777777" w:rsidR="00555DB7" w:rsidRPr="00555DB7" w:rsidRDefault="00555DB7" w:rsidP="00555DB7">
      <w:pPr>
        <w:numPr>
          <w:ilvl w:val="0"/>
          <w:numId w:val="14"/>
        </w:numPr>
      </w:pPr>
      <w:r w:rsidRPr="00555DB7">
        <w:t>Supplier Analysis</w:t>
      </w:r>
    </w:p>
    <w:p w14:paraId="73B17C4D" w14:textId="77777777" w:rsidR="00555DB7" w:rsidRPr="00555DB7" w:rsidRDefault="00555DB7" w:rsidP="00555DB7">
      <w:pPr>
        <w:numPr>
          <w:ilvl w:val="0"/>
          <w:numId w:val="14"/>
        </w:numPr>
      </w:pPr>
      <w:r w:rsidRPr="00555DB7">
        <w:t>Shipping &amp; Transportation</w:t>
      </w:r>
    </w:p>
    <w:p w14:paraId="7AFA8AA2" w14:textId="77777777" w:rsidR="00555DB7" w:rsidRPr="00555DB7" w:rsidRDefault="00555DB7" w:rsidP="00555DB7">
      <w:pPr>
        <w:numPr>
          <w:ilvl w:val="0"/>
          <w:numId w:val="14"/>
        </w:numPr>
      </w:pPr>
      <w:r w:rsidRPr="00555DB7">
        <w:t>Quality Control</w:t>
      </w:r>
    </w:p>
    <w:p w14:paraId="78A56202" w14:textId="77777777" w:rsidR="00555DB7" w:rsidRPr="00555DB7" w:rsidRDefault="00555DB7" w:rsidP="00555DB7">
      <w:pPr>
        <w:numPr>
          <w:ilvl w:val="0"/>
          <w:numId w:val="14"/>
        </w:numPr>
      </w:pPr>
      <w:r w:rsidRPr="00555DB7">
        <w:t>Customer Demographics</w:t>
      </w:r>
    </w:p>
    <w:p w14:paraId="7BADDBFC" w14:textId="77777777" w:rsidR="00555DB7" w:rsidRPr="00555DB7" w:rsidRDefault="00555DB7" w:rsidP="00555DB7">
      <w:pPr>
        <w:numPr>
          <w:ilvl w:val="0"/>
          <w:numId w:val="14"/>
        </w:numPr>
      </w:pPr>
      <w:r w:rsidRPr="00555DB7">
        <w:t>Cost &amp; Profitability</w:t>
      </w:r>
    </w:p>
    <w:p w14:paraId="57DD5D17" w14:textId="77777777" w:rsidR="00555DB7" w:rsidRPr="00555DB7" w:rsidRDefault="00555DB7" w:rsidP="00555DB7">
      <w:pPr>
        <w:numPr>
          <w:ilvl w:val="0"/>
          <w:numId w:val="14"/>
        </w:numPr>
      </w:pPr>
      <w:r w:rsidRPr="00555DB7">
        <w:t>Delivery &amp; Performance</w:t>
      </w:r>
    </w:p>
    <w:p w14:paraId="62490FA6" w14:textId="77777777" w:rsidR="00555DB7" w:rsidRPr="00555DB7" w:rsidRDefault="00555DB7" w:rsidP="00555DB7">
      <w:pPr>
        <w:numPr>
          <w:ilvl w:val="0"/>
          <w:numId w:val="14"/>
        </w:numPr>
      </w:pPr>
      <w:r w:rsidRPr="00555DB7">
        <w:t>Summary &amp; Strategy</w:t>
      </w:r>
    </w:p>
    <w:p w14:paraId="27EA3A68" w14:textId="340CD320" w:rsidR="00555DB7" w:rsidRPr="00555DB7" w:rsidRDefault="00555DB7" w:rsidP="00555DB7"/>
    <w:p w14:paraId="5FCF7F39" w14:textId="6B0C492A" w:rsidR="00555DB7" w:rsidRPr="00555DB7" w:rsidRDefault="00555DB7" w:rsidP="00555DB7">
      <w:pPr>
        <w:rPr>
          <w:b/>
          <w:bCs/>
          <w:sz w:val="32"/>
          <w:szCs w:val="32"/>
        </w:rPr>
      </w:pPr>
      <w:r w:rsidRPr="00555DB7">
        <w:rPr>
          <w:b/>
          <w:bCs/>
          <w:sz w:val="32"/>
          <w:szCs w:val="32"/>
        </w:rPr>
        <w:t>KPI Deep Dive – Overview Page</w:t>
      </w:r>
    </w:p>
    <w:p w14:paraId="36508693" w14:textId="77777777" w:rsidR="00555DB7" w:rsidRPr="00555DB7" w:rsidRDefault="00555DB7" w:rsidP="00555DB7">
      <w:r w:rsidRPr="00555DB7">
        <w:t xml:space="preserve">From the </w:t>
      </w:r>
      <w:r w:rsidRPr="00555DB7">
        <w:rPr>
          <w:b/>
          <w:bCs/>
        </w:rPr>
        <w:t>Overview Page</w:t>
      </w:r>
      <w:r w:rsidRPr="00555DB7">
        <w:t>, we tracked:</w:t>
      </w:r>
    </w:p>
    <w:p w14:paraId="4A477936" w14:textId="77777777" w:rsidR="00555DB7" w:rsidRPr="00555DB7" w:rsidRDefault="00555DB7" w:rsidP="00555DB7">
      <w:pPr>
        <w:numPr>
          <w:ilvl w:val="0"/>
          <w:numId w:val="15"/>
        </w:numPr>
      </w:pPr>
      <w:r w:rsidRPr="00555DB7">
        <w:rPr>
          <w:b/>
          <w:bCs/>
        </w:rPr>
        <w:lastRenderedPageBreak/>
        <w:t>Total Revenue</w:t>
      </w:r>
      <w:r w:rsidRPr="00555DB7">
        <w:t>: ₹5,77,604 overall from 100 products.</w:t>
      </w:r>
    </w:p>
    <w:p w14:paraId="3301F538" w14:textId="77777777" w:rsidR="00555DB7" w:rsidRPr="00555DB7" w:rsidRDefault="00555DB7" w:rsidP="00555DB7">
      <w:pPr>
        <w:numPr>
          <w:ilvl w:val="0"/>
          <w:numId w:val="15"/>
        </w:numPr>
      </w:pPr>
      <w:r w:rsidRPr="00555DB7">
        <w:rPr>
          <w:b/>
          <w:bCs/>
        </w:rPr>
        <w:t>Average Manufacturing Cost</w:t>
      </w:r>
      <w:r w:rsidRPr="00555DB7">
        <w:t>: ₹47.27</w:t>
      </w:r>
    </w:p>
    <w:p w14:paraId="6D292EB2" w14:textId="77777777" w:rsidR="00555DB7" w:rsidRPr="00555DB7" w:rsidRDefault="00555DB7" w:rsidP="00555DB7">
      <w:pPr>
        <w:numPr>
          <w:ilvl w:val="0"/>
          <w:numId w:val="15"/>
        </w:numPr>
      </w:pPr>
      <w:r w:rsidRPr="00555DB7">
        <w:rPr>
          <w:b/>
          <w:bCs/>
        </w:rPr>
        <w:t>Average Inventory Cost</w:t>
      </w:r>
      <w:r w:rsidRPr="00555DB7">
        <w:t>: ₹3,020 per SKU.</w:t>
      </w:r>
    </w:p>
    <w:p w14:paraId="5FF15C32" w14:textId="77777777" w:rsidR="00555DB7" w:rsidRPr="00555DB7" w:rsidRDefault="00555DB7" w:rsidP="00555DB7">
      <w:pPr>
        <w:numPr>
          <w:ilvl w:val="0"/>
          <w:numId w:val="15"/>
        </w:numPr>
      </w:pPr>
      <w:r w:rsidRPr="00555DB7">
        <w:rPr>
          <w:b/>
          <w:bCs/>
        </w:rPr>
        <w:t>Average Total Supply Chain Cost</w:t>
      </w:r>
      <w:r w:rsidRPr="00555DB7">
        <w:t>: ₹3,389.94</w:t>
      </w:r>
    </w:p>
    <w:p w14:paraId="496ADBFB" w14:textId="77777777" w:rsidR="00555DB7" w:rsidRPr="00555DB7" w:rsidRDefault="00555DB7" w:rsidP="00555DB7">
      <w:pPr>
        <w:numPr>
          <w:ilvl w:val="0"/>
          <w:numId w:val="15"/>
        </w:numPr>
      </w:pPr>
      <w:r w:rsidRPr="00555DB7">
        <w:rPr>
          <w:b/>
          <w:bCs/>
        </w:rPr>
        <w:t>On-Time Delivery Rate</w:t>
      </w:r>
      <w:r w:rsidRPr="00555DB7">
        <w:t>: 83%</w:t>
      </w:r>
    </w:p>
    <w:p w14:paraId="238602A7" w14:textId="77777777" w:rsidR="00555DB7" w:rsidRPr="00555DB7" w:rsidRDefault="00555DB7" w:rsidP="00555DB7">
      <w:pPr>
        <w:numPr>
          <w:ilvl w:val="0"/>
          <w:numId w:val="15"/>
        </w:numPr>
      </w:pPr>
      <w:r w:rsidRPr="00555DB7">
        <w:rPr>
          <w:b/>
          <w:bCs/>
        </w:rPr>
        <w:t>Total Defect Cost</w:t>
      </w:r>
      <w:r w:rsidRPr="00555DB7">
        <w:t>: ₹31,650 overall, which is ~5.5% of total cost.</w:t>
      </w:r>
    </w:p>
    <w:p w14:paraId="67208BAB" w14:textId="77777777" w:rsidR="00555DB7" w:rsidRPr="00555DB7" w:rsidRDefault="00555DB7" w:rsidP="00555DB7">
      <w:r w:rsidRPr="00555DB7">
        <w:t xml:space="preserve">These KPIs show that while revenue is stable, significant cost leaks occur from </w:t>
      </w:r>
      <w:r w:rsidRPr="00555DB7">
        <w:rPr>
          <w:b/>
          <w:bCs/>
        </w:rPr>
        <w:t>inventory management</w:t>
      </w:r>
      <w:r w:rsidRPr="00555DB7">
        <w:t xml:space="preserve"> and </w:t>
      </w:r>
      <w:r w:rsidRPr="00555DB7">
        <w:rPr>
          <w:b/>
          <w:bCs/>
        </w:rPr>
        <w:t>quality defects</w:t>
      </w:r>
      <w:r w:rsidRPr="00555DB7">
        <w:t>.</w:t>
      </w:r>
    </w:p>
    <w:p w14:paraId="669B1881" w14:textId="772B23F0" w:rsidR="00555DB7" w:rsidRPr="00555DB7" w:rsidRDefault="00555DB7" w:rsidP="00555DB7">
      <w:pPr>
        <w:rPr>
          <w:sz w:val="32"/>
          <w:szCs w:val="32"/>
        </w:rPr>
      </w:pPr>
    </w:p>
    <w:p w14:paraId="6707F097" w14:textId="468D0C5A" w:rsidR="00555DB7" w:rsidRPr="00555DB7" w:rsidRDefault="00555DB7" w:rsidP="00555DB7">
      <w:pPr>
        <w:rPr>
          <w:b/>
          <w:bCs/>
          <w:sz w:val="32"/>
          <w:szCs w:val="32"/>
        </w:rPr>
      </w:pPr>
      <w:r w:rsidRPr="00555DB7">
        <w:rPr>
          <w:b/>
          <w:bCs/>
          <w:sz w:val="32"/>
          <w:szCs w:val="32"/>
        </w:rPr>
        <w:t>Sales &amp; Product Insights</w:t>
      </w:r>
    </w:p>
    <w:p w14:paraId="36A5C7FE" w14:textId="77777777" w:rsidR="00555DB7" w:rsidRPr="00555DB7" w:rsidRDefault="00555DB7" w:rsidP="00555DB7">
      <w:pPr>
        <w:numPr>
          <w:ilvl w:val="0"/>
          <w:numId w:val="16"/>
        </w:numPr>
      </w:pPr>
      <w:r w:rsidRPr="00555DB7">
        <w:rPr>
          <w:b/>
          <w:bCs/>
        </w:rPr>
        <w:t>Top 5 SKUs</w:t>
      </w:r>
      <w:r w:rsidRPr="00555DB7">
        <w:t xml:space="preserve"> account for over 40% of revenue.</w:t>
      </w:r>
    </w:p>
    <w:p w14:paraId="10F62DC6" w14:textId="77777777" w:rsidR="00555DB7" w:rsidRPr="00555DB7" w:rsidRDefault="00555DB7" w:rsidP="00555DB7">
      <w:pPr>
        <w:numPr>
          <w:ilvl w:val="0"/>
          <w:numId w:val="16"/>
        </w:numPr>
      </w:pPr>
      <w:r w:rsidRPr="00555DB7">
        <w:rPr>
          <w:b/>
          <w:bCs/>
        </w:rPr>
        <w:t>Skincare</w:t>
      </w:r>
      <w:r w:rsidRPr="00555DB7">
        <w:t xml:space="preserve"> is the leading category (40 out of 100 SKUs).</w:t>
      </w:r>
    </w:p>
    <w:p w14:paraId="4F46B7E1" w14:textId="77777777" w:rsidR="00555DB7" w:rsidRPr="00555DB7" w:rsidRDefault="00555DB7" w:rsidP="00555DB7">
      <w:pPr>
        <w:numPr>
          <w:ilvl w:val="0"/>
          <w:numId w:val="16"/>
        </w:numPr>
      </w:pPr>
      <w:r w:rsidRPr="00555DB7">
        <w:rPr>
          <w:b/>
          <w:bCs/>
        </w:rPr>
        <w:t>Customer Behavior</w:t>
      </w:r>
      <w:r w:rsidRPr="00555DB7">
        <w:t>: 'Unknown' gender dominates (likely data collection issue).</w:t>
      </w:r>
    </w:p>
    <w:p w14:paraId="6709205B" w14:textId="77777777" w:rsidR="00555DB7" w:rsidRPr="00555DB7" w:rsidRDefault="00555DB7" w:rsidP="00555DB7">
      <w:pPr>
        <w:numPr>
          <w:ilvl w:val="0"/>
          <w:numId w:val="16"/>
        </w:numPr>
      </w:pPr>
      <w:r w:rsidRPr="00555DB7">
        <w:t xml:space="preserve">High-selling products have longer </w:t>
      </w:r>
      <w:r w:rsidRPr="00555DB7">
        <w:rPr>
          <w:b/>
          <w:bCs/>
        </w:rPr>
        <w:t>lead times</w:t>
      </w:r>
      <w:r w:rsidRPr="00555DB7">
        <w:t>, possibly due to demand pressure.</w:t>
      </w:r>
    </w:p>
    <w:p w14:paraId="642B394B" w14:textId="77777777" w:rsidR="00555DB7" w:rsidRPr="00555DB7" w:rsidRDefault="00555DB7" w:rsidP="00555DB7">
      <w:pPr>
        <w:numPr>
          <w:ilvl w:val="0"/>
          <w:numId w:val="16"/>
        </w:numPr>
      </w:pPr>
      <w:r w:rsidRPr="00555DB7">
        <w:rPr>
          <w:b/>
          <w:bCs/>
        </w:rPr>
        <w:t>Price correlation</w:t>
      </w:r>
      <w:r w:rsidRPr="00555DB7">
        <w:t>: Higher-priced items aren’t always the top sellers — value-for-money items dominate.</w:t>
      </w:r>
    </w:p>
    <w:p w14:paraId="0755C6E6" w14:textId="77777777" w:rsidR="005113F2" w:rsidRDefault="005113F2" w:rsidP="00555DB7"/>
    <w:p w14:paraId="1FDCD006" w14:textId="4C8AE3E6" w:rsidR="00555DB7" w:rsidRPr="00555DB7" w:rsidRDefault="00555DB7" w:rsidP="00555DB7">
      <w:pPr>
        <w:rPr>
          <w:b/>
          <w:bCs/>
          <w:sz w:val="32"/>
          <w:szCs w:val="32"/>
        </w:rPr>
      </w:pPr>
      <w:r w:rsidRPr="00555DB7">
        <w:rPr>
          <w:b/>
          <w:bCs/>
          <w:sz w:val="32"/>
          <w:szCs w:val="32"/>
        </w:rPr>
        <w:t xml:space="preserve"> Inventory Control Analysis</w:t>
      </w:r>
    </w:p>
    <w:p w14:paraId="752538F0" w14:textId="77777777" w:rsidR="00555DB7" w:rsidRPr="00555DB7" w:rsidRDefault="00555DB7" w:rsidP="00555DB7">
      <w:r w:rsidRPr="00555DB7">
        <w:t>From the Inventory page:</w:t>
      </w:r>
    </w:p>
    <w:p w14:paraId="30064952" w14:textId="77777777" w:rsidR="00555DB7" w:rsidRPr="00555DB7" w:rsidRDefault="00555DB7" w:rsidP="00555DB7">
      <w:pPr>
        <w:numPr>
          <w:ilvl w:val="0"/>
          <w:numId w:val="17"/>
        </w:numPr>
      </w:pPr>
      <w:r w:rsidRPr="00555DB7">
        <w:t xml:space="preserve">Current Inventory has a </w:t>
      </w:r>
      <w:r w:rsidRPr="00555DB7">
        <w:rPr>
          <w:b/>
          <w:bCs/>
        </w:rPr>
        <w:t>negative mean (-413 units)</w:t>
      </w:r>
      <w:r w:rsidRPr="00555DB7">
        <w:t xml:space="preserve"> – demand exceeds stock.</w:t>
      </w:r>
    </w:p>
    <w:p w14:paraId="7C37AB9F" w14:textId="77777777" w:rsidR="00555DB7" w:rsidRPr="00555DB7" w:rsidRDefault="00555DB7" w:rsidP="00555DB7">
      <w:pPr>
        <w:numPr>
          <w:ilvl w:val="0"/>
          <w:numId w:val="17"/>
        </w:numPr>
      </w:pPr>
      <w:r w:rsidRPr="00555DB7">
        <w:rPr>
          <w:b/>
          <w:bCs/>
        </w:rPr>
        <w:t>Incoming Inventory</w:t>
      </w:r>
      <w:r w:rsidRPr="00555DB7">
        <w:t xml:space="preserve"> and </w:t>
      </w:r>
      <w:r w:rsidRPr="00555DB7">
        <w:rPr>
          <w:b/>
          <w:bCs/>
        </w:rPr>
        <w:t>Defective Inventory</w:t>
      </w:r>
      <w:r w:rsidRPr="00555DB7">
        <w:t xml:space="preserve"> are nearly equal (~102 units), raising a red flag.</w:t>
      </w:r>
    </w:p>
    <w:p w14:paraId="7EBFF4FC" w14:textId="77777777" w:rsidR="00555DB7" w:rsidRPr="00555DB7" w:rsidRDefault="00555DB7" w:rsidP="00555DB7">
      <w:pPr>
        <w:numPr>
          <w:ilvl w:val="0"/>
          <w:numId w:val="17"/>
        </w:numPr>
      </w:pPr>
      <w:r w:rsidRPr="00555DB7">
        <w:t xml:space="preserve">Items with </w:t>
      </w:r>
      <w:r w:rsidRPr="00555DB7">
        <w:rPr>
          <w:b/>
          <w:bCs/>
        </w:rPr>
        <w:t>high stock levels</w:t>
      </w:r>
      <w:r w:rsidRPr="00555DB7">
        <w:t xml:space="preserve"> also incur </w:t>
      </w:r>
      <w:r w:rsidRPr="00555DB7">
        <w:rPr>
          <w:b/>
          <w:bCs/>
        </w:rPr>
        <w:t>high costs</w:t>
      </w:r>
      <w:r w:rsidRPr="00555DB7">
        <w:t>—overstocking inefficiency.</w:t>
      </w:r>
    </w:p>
    <w:p w14:paraId="25265C10" w14:textId="77777777" w:rsidR="00555DB7" w:rsidRPr="00555DB7" w:rsidRDefault="00555DB7" w:rsidP="00555DB7">
      <w:pPr>
        <w:numPr>
          <w:ilvl w:val="0"/>
          <w:numId w:val="17"/>
        </w:numPr>
      </w:pPr>
      <w:r w:rsidRPr="00555DB7">
        <w:t xml:space="preserve">Suggest implementing </w:t>
      </w:r>
      <w:r w:rsidRPr="00555DB7">
        <w:rPr>
          <w:b/>
          <w:bCs/>
        </w:rPr>
        <w:t>Just-In-Time (JIT)</w:t>
      </w:r>
      <w:r w:rsidRPr="00555DB7">
        <w:t xml:space="preserve"> inventory strategy.</w:t>
      </w:r>
    </w:p>
    <w:p w14:paraId="15A0F76F" w14:textId="77777777" w:rsidR="005113F2" w:rsidRDefault="005113F2" w:rsidP="00555DB7"/>
    <w:p w14:paraId="6A50D897" w14:textId="77777777" w:rsidR="005113F2" w:rsidRDefault="005113F2" w:rsidP="00555DB7"/>
    <w:p w14:paraId="50EF1B8D" w14:textId="5B4111B3" w:rsidR="00555DB7" w:rsidRPr="00555DB7" w:rsidRDefault="00555DB7" w:rsidP="00555DB7">
      <w:pPr>
        <w:rPr>
          <w:b/>
          <w:bCs/>
          <w:sz w:val="32"/>
          <w:szCs w:val="32"/>
        </w:rPr>
      </w:pPr>
      <w:r w:rsidRPr="00555DB7">
        <w:rPr>
          <w:b/>
          <w:bCs/>
          <w:sz w:val="32"/>
          <w:szCs w:val="32"/>
        </w:rPr>
        <w:lastRenderedPageBreak/>
        <w:t xml:space="preserve"> Supplier &amp; Production Analytics</w:t>
      </w:r>
    </w:p>
    <w:p w14:paraId="0000CC9D" w14:textId="77777777" w:rsidR="00555DB7" w:rsidRPr="00555DB7" w:rsidRDefault="00555DB7" w:rsidP="00555DB7">
      <w:pPr>
        <w:numPr>
          <w:ilvl w:val="0"/>
          <w:numId w:val="18"/>
        </w:numPr>
      </w:pPr>
      <w:r w:rsidRPr="00555DB7">
        <w:rPr>
          <w:b/>
          <w:bCs/>
        </w:rPr>
        <w:t>Supplier 1</w:t>
      </w:r>
      <w:r w:rsidRPr="00555DB7">
        <w:t xml:space="preserve"> is used most (27 products).</w:t>
      </w:r>
    </w:p>
    <w:p w14:paraId="39B65517" w14:textId="77777777" w:rsidR="00555DB7" w:rsidRPr="00555DB7" w:rsidRDefault="00555DB7" w:rsidP="00555DB7">
      <w:pPr>
        <w:numPr>
          <w:ilvl w:val="0"/>
          <w:numId w:val="18"/>
        </w:numPr>
      </w:pPr>
      <w:r w:rsidRPr="00555DB7">
        <w:rPr>
          <w:b/>
          <w:bCs/>
        </w:rPr>
        <w:t>Manufacturing lead time</w:t>
      </w:r>
      <w:r w:rsidRPr="00555DB7">
        <w:t xml:space="preserve"> ranges from 1 to 30 days; median is 14.</w:t>
      </w:r>
    </w:p>
    <w:p w14:paraId="22EB13B9" w14:textId="77777777" w:rsidR="00555DB7" w:rsidRPr="00555DB7" w:rsidRDefault="00555DB7" w:rsidP="00555DB7">
      <w:pPr>
        <w:numPr>
          <w:ilvl w:val="0"/>
          <w:numId w:val="18"/>
        </w:numPr>
      </w:pPr>
      <w:r w:rsidRPr="00555DB7">
        <w:rPr>
          <w:b/>
          <w:bCs/>
        </w:rPr>
        <w:t>Production Volumes</w:t>
      </w:r>
      <w:r w:rsidRPr="00555DB7">
        <w:t xml:space="preserve"> are concentrated in the 400–800 range.</w:t>
      </w:r>
    </w:p>
    <w:p w14:paraId="2F606298" w14:textId="77777777" w:rsidR="00555DB7" w:rsidRPr="00555DB7" w:rsidRDefault="00555DB7" w:rsidP="00555DB7">
      <w:pPr>
        <w:numPr>
          <w:ilvl w:val="0"/>
          <w:numId w:val="18"/>
        </w:numPr>
      </w:pPr>
      <w:r w:rsidRPr="00555DB7">
        <w:t>Some suppliers have high costs with poor inspection results — need performance audit.</w:t>
      </w:r>
    </w:p>
    <w:p w14:paraId="1FB33883" w14:textId="13B3DAEF" w:rsidR="00555DB7" w:rsidRPr="00555DB7" w:rsidRDefault="00555DB7" w:rsidP="00555DB7"/>
    <w:p w14:paraId="398BC485" w14:textId="75E2C2F6" w:rsidR="00555DB7" w:rsidRPr="00555DB7" w:rsidRDefault="00555DB7" w:rsidP="00555DB7">
      <w:pPr>
        <w:rPr>
          <w:b/>
          <w:bCs/>
          <w:sz w:val="32"/>
          <w:szCs w:val="32"/>
        </w:rPr>
      </w:pPr>
      <w:r w:rsidRPr="00555DB7">
        <w:rPr>
          <w:b/>
          <w:bCs/>
          <w:sz w:val="32"/>
          <w:szCs w:val="32"/>
        </w:rPr>
        <w:t>Shipping &amp; Logistics Evaluation</w:t>
      </w:r>
    </w:p>
    <w:p w14:paraId="41FEEE5E" w14:textId="77777777" w:rsidR="00555DB7" w:rsidRPr="00555DB7" w:rsidRDefault="00555DB7" w:rsidP="00555DB7">
      <w:pPr>
        <w:numPr>
          <w:ilvl w:val="0"/>
          <w:numId w:val="19"/>
        </w:numPr>
      </w:pPr>
      <w:r w:rsidRPr="00555DB7">
        <w:rPr>
          <w:b/>
          <w:bCs/>
        </w:rPr>
        <w:t>Carrier B</w:t>
      </w:r>
      <w:r w:rsidRPr="00555DB7">
        <w:t xml:space="preserve"> is most used (43%) but not always fastest.</w:t>
      </w:r>
    </w:p>
    <w:p w14:paraId="6C0B73FF" w14:textId="77777777" w:rsidR="00555DB7" w:rsidRPr="00555DB7" w:rsidRDefault="00555DB7" w:rsidP="00555DB7">
      <w:pPr>
        <w:numPr>
          <w:ilvl w:val="0"/>
          <w:numId w:val="19"/>
        </w:numPr>
      </w:pPr>
      <w:r w:rsidRPr="00555DB7">
        <w:rPr>
          <w:b/>
          <w:bCs/>
        </w:rPr>
        <w:t>Average shipping time</w:t>
      </w:r>
      <w:r w:rsidRPr="00555DB7">
        <w:t>: 5.75 days.</w:t>
      </w:r>
    </w:p>
    <w:p w14:paraId="0E6DF467" w14:textId="77777777" w:rsidR="00555DB7" w:rsidRPr="00555DB7" w:rsidRDefault="00555DB7" w:rsidP="00555DB7">
      <w:pPr>
        <w:numPr>
          <w:ilvl w:val="0"/>
          <w:numId w:val="19"/>
        </w:numPr>
      </w:pPr>
      <w:r w:rsidRPr="00555DB7">
        <w:rPr>
          <w:b/>
          <w:bCs/>
        </w:rPr>
        <w:t>Mode of Transport</w:t>
      </w:r>
      <w:r w:rsidRPr="00555DB7">
        <w:t>: 'Road' is most common, but slower than air/rail.</w:t>
      </w:r>
    </w:p>
    <w:p w14:paraId="2B45C326" w14:textId="77777777" w:rsidR="00555DB7" w:rsidRPr="00555DB7" w:rsidRDefault="00555DB7" w:rsidP="00555DB7">
      <w:pPr>
        <w:numPr>
          <w:ilvl w:val="0"/>
          <w:numId w:val="19"/>
        </w:numPr>
      </w:pPr>
      <w:r w:rsidRPr="00555DB7">
        <w:rPr>
          <w:b/>
          <w:bCs/>
        </w:rPr>
        <w:t>Transit Time vs. Cost</w:t>
      </w:r>
      <w:r w:rsidRPr="00555DB7">
        <w:t>: Some fast deliveries are disproportionately expensive — optimization needed.</w:t>
      </w:r>
    </w:p>
    <w:p w14:paraId="2E5C5755" w14:textId="77777777" w:rsidR="00555DB7" w:rsidRPr="00555DB7" w:rsidRDefault="00555DB7" w:rsidP="00555DB7">
      <w:pPr>
        <w:numPr>
          <w:ilvl w:val="0"/>
          <w:numId w:val="19"/>
        </w:numPr>
      </w:pPr>
      <w:r w:rsidRPr="00555DB7">
        <w:t xml:space="preserve">Suggest experimenting with </w:t>
      </w:r>
      <w:r w:rsidRPr="00555DB7">
        <w:rPr>
          <w:b/>
          <w:bCs/>
        </w:rPr>
        <w:t>route-mode-carrier combinations</w:t>
      </w:r>
      <w:r w:rsidRPr="00555DB7">
        <w:t>.</w:t>
      </w:r>
    </w:p>
    <w:p w14:paraId="278F1925" w14:textId="5C6D9D93" w:rsidR="00555DB7" w:rsidRPr="00555DB7" w:rsidRDefault="00555DB7" w:rsidP="00555DB7"/>
    <w:p w14:paraId="37C45BEF" w14:textId="7442ED03" w:rsidR="00555DB7" w:rsidRPr="00555DB7" w:rsidRDefault="00555DB7" w:rsidP="00555DB7">
      <w:pPr>
        <w:rPr>
          <w:b/>
          <w:bCs/>
          <w:sz w:val="32"/>
          <w:szCs w:val="32"/>
        </w:rPr>
      </w:pPr>
      <w:r w:rsidRPr="00555DB7">
        <w:rPr>
          <w:b/>
          <w:bCs/>
          <w:sz w:val="32"/>
          <w:szCs w:val="32"/>
        </w:rPr>
        <w:t>Quality Control &amp; Defect Analysis</w:t>
      </w:r>
    </w:p>
    <w:p w14:paraId="0307C236" w14:textId="77777777" w:rsidR="00555DB7" w:rsidRPr="00555DB7" w:rsidRDefault="00555DB7" w:rsidP="00555DB7">
      <w:pPr>
        <w:numPr>
          <w:ilvl w:val="0"/>
          <w:numId w:val="20"/>
        </w:numPr>
      </w:pPr>
      <w:r w:rsidRPr="00555DB7">
        <w:rPr>
          <w:b/>
          <w:bCs/>
        </w:rPr>
        <w:t>Defect Rate</w:t>
      </w:r>
      <w:r w:rsidRPr="00555DB7">
        <w:t xml:space="preserve"> average: 2.27% (very high for fast-moving consumer goods).</w:t>
      </w:r>
    </w:p>
    <w:p w14:paraId="5BB231AF" w14:textId="77777777" w:rsidR="00555DB7" w:rsidRPr="00555DB7" w:rsidRDefault="00555DB7" w:rsidP="00555DB7">
      <w:pPr>
        <w:numPr>
          <w:ilvl w:val="0"/>
          <w:numId w:val="20"/>
        </w:numPr>
      </w:pPr>
      <w:r w:rsidRPr="00555DB7">
        <w:rPr>
          <w:b/>
          <w:bCs/>
        </w:rPr>
        <w:t>Pending Inspections</w:t>
      </w:r>
      <w:r w:rsidRPr="00555DB7">
        <w:t>: 41% → delays in QA cycle.</w:t>
      </w:r>
    </w:p>
    <w:p w14:paraId="5E28FCE3" w14:textId="77777777" w:rsidR="00555DB7" w:rsidRPr="00555DB7" w:rsidRDefault="00555DB7" w:rsidP="00555DB7">
      <w:pPr>
        <w:numPr>
          <w:ilvl w:val="0"/>
          <w:numId w:val="20"/>
        </w:numPr>
      </w:pPr>
      <w:r w:rsidRPr="00555DB7">
        <w:t xml:space="preserve">High </w:t>
      </w:r>
      <w:r w:rsidRPr="00555DB7">
        <w:rPr>
          <w:b/>
          <w:bCs/>
        </w:rPr>
        <w:t>defect cost items</w:t>
      </w:r>
      <w:r w:rsidRPr="00555DB7">
        <w:t xml:space="preserve"> are also highest in </w:t>
      </w:r>
      <w:r w:rsidRPr="00555DB7">
        <w:rPr>
          <w:b/>
          <w:bCs/>
        </w:rPr>
        <w:t>production volume</w:t>
      </w:r>
      <w:r w:rsidRPr="00555DB7">
        <w:t xml:space="preserve"> — check root cause.</w:t>
      </w:r>
    </w:p>
    <w:p w14:paraId="657A7A09" w14:textId="77777777" w:rsidR="00555DB7" w:rsidRPr="00555DB7" w:rsidRDefault="00555DB7" w:rsidP="00555DB7">
      <w:pPr>
        <w:numPr>
          <w:ilvl w:val="0"/>
          <w:numId w:val="20"/>
        </w:numPr>
      </w:pPr>
      <w:r w:rsidRPr="00555DB7">
        <w:t xml:space="preserve">Correlation between </w:t>
      </w:r>
      <w:r w:rsidRPr="00555DB7">
        <w:rPr>
          <w:b/>
          <w:bCs/>
        </w:rPr>
        <w:t>Supplier</w:t>
      </w:r>
      <w:r w:rsidRPr="00555DB7">
        <w:t xml:space="preserve">, </w:t>
      </w:r>
      <w:r w:rsidRPr="00555DB7">
        <w:rPr>
          <w:b/>
          <w:bCs/>
        </w:rPr>
        <w:t>Lead Time</w:t>
      </w:r>
      <w:r w:rsidRPr="00555DB7">
        <w:t xml:space="preserve">, and </w:t>
      </w:r>
      <w:r w:rsidRPr="00555DB7">
        <w:rPr>
          <w:b/>
          <w:bCs/>
        </w:rPr>
        <w:t>Defect Rate</w:t>
      </w:r>
      <w:r w:rsidRPr="00555DB7">
        <w:t xml:space="preserve"> observed.</w:t>
      </w:r>
    </w:p>
    <w:p w14:paraId="14F993F3" w14:textId="77777777" w:rsidR="005113F2" w:rsidRDefault="005113F2" w:rsidP="00555DB7"/>
    <w:p w14:paraId="2F627728" w14:textId="45AD9384" w:rsidR="00555DB7" w:rsidRPr="00555DB7" w:rsidRDefault="00555DB7" w:rsidP="00555DB7">
      <w:pPr>
        <w:rPr>
          <w:b/>
          <w:bCs/>
          <w:sz w:val="32"/>
          <w:szCs w:val="32"/>
        </w:rPr>
      </w:pPr>
      <w:r w:rsidRPr="00555DB7">
        <w:rPr>
          <w:b/>
          <w:bCs/>
          <w:sz w:val="32"/>
          <w:szCs w:val="32"/>
        </w:rPr>
        <w:t>Customer Demographic Analysis</w:t>
      </w:r>
    </w:p>
    <w:p w14:paraId="6F8209B4" w14:textId="77777777" w:rsidR="00555DB7" w:rsidRPr="00555DB7" w:rsidRDefault="00555DB7" w:rsidP="00555DB7">
      <w:pPr>
        <w:numPr>
          <w:ilvl w:val="0"/>
          <w:numId w:val="21"/>
        </w:numPr>
      </w:pPr>
      <w:r w:rsidRPr="00555DB7">
        <w:t>31% of records marked as “Unknown” customer type → poor segmentation.</w:t>
      </w:r>
    </w:p>
    <w:p w14:paraId="6ABB25DD" w14:textId="77777777" w:rsidR="00555DB7" w:rsidRPr="00555DB7" w:rsidRDefault="00555DB7" w:rsidP="00555DB7">
      <w:pPr>
        <w:numPr>
          <w:ilvl w:val="0"/>
          <w:numId w:val="21"/>
        </w:numPr>
      </w:pPr>
      <w:r w:rsidRPr="00555DB7">
        <w:rPr>
          <w:b/>
          <w:bCs/>
        </w:rPr>
        <w:t>Female</w:t>
      </w:r>
      <w:r w:rsidRPr="00555DB7">
        <w:t xml:space="preserve"> customers have slightly higher purchase value than males.</w:t>
      </w:r>
    </w:p>
    <w:p w14:paraId="28A889A5" w14:textId="77777777" w:rsidR="00555DB7" w:rsidRPr="00555DB7" w:rsidRDefault="00555DB7" w:rsidP="00555DB7">
      <w:pPr>
        <w:numPr>
          <w:ilvl w:val="0"/>
          <w:numId w:val="21"/>
        </w:numPr>
      </w:pPr>
      <w:r w:rsidRPr="00555DB7">
        <w:t xml:space="preserve">Customers from </w:t>
      </w:r>
      <w:r w:rsidRPr="00555DB7">
        <w:rPr>
          <w:b/>
          <w:bCs/>
        </w:rPr>
        <w:t>Kolkata and Mumbai</w:t>
      </w:r>
      <w:r w:rsidRPr="00555DB7">
        <w:t xml:space="preserve"> contribute 50%+ of total revenue.</w:t>
      </w:r>
    </w:p>
    <w:p w14:paraId="653881F3" w14:textId="77777777" w:rsidR="005113F2" w:rsidRDefault="00555DB7" w:rsidP="00555DB7">
      <w:r w:rsidRPr="00555DB7">
        <w:rPr>
          <w:b/>
          <w:bCs/>
        </w:rPr>
        <w:t>Recommendation</w:t>
      </w:r>
      <w:r w:rsidRPr="00555DB7">
        <w:t>: Clean and enrich customer data to enable personalized marketing or targeted stocking.</w:t>
      </w:r>
    </w:p>
    <w:p w14:paraId="70584139" w14:textId="5FCA0BEE" w:rsidR="00555DB7" w:rsidRPr="00555DB7" w:rsidRDefault="00555DB7" w:rsidP="00555DB7">
      <w:pPr>
        <w:rPr>
          <w:sz w:val="32"/>
          <w:szCs w:val="32"/>
        </w:rPr>
      </w:pPr>
      <w:r w:rsidRPr="00555DB7">
        <w:rPr>
          <w:b/>
          <w:bCs/>
          <w:sz w:val="32"/>
          <w:szCs w:val="32"/>
        </w:rPr>
        <w:lastRenderedPageBreak/>
        <w:t>Cost and Profitability Breakdown</w:t>
      </w:r>
    </w:p>
    <w:p w14:paraId="04CB1FF9" w14:textId="77777777" w:rsidR="00555DB7" w:rsidRPr="00555DB7" w:rsidRDefault="00555DB7" w:rsidP="00555DB7">
      <w:pPr>
        <w:numPr>
          <w:ilvl w:val="0"/>
          <w:numId w:val="22"/>
        </w:numPr>
      </w:pPr>
      <w:r w:rsidRPr="00555DB7">
        <w:rPr>
          <w:b/>
          <w:bCs/>
        </w:rPr>
        <w:t>Inventory Costs</w:t>
      </w:r>
      <w:r w:rsidRPr="00555DB7">
        <w:t>: Up to ₹9,372 per SKU.</w:t>
      </w:r>
    </w:p>
    <w:p w14:paraId="7F963519" w14:textId="77777777" w:rsidR="00555DB7" w:rsidRPr="00555DB7" w:rsidRDefault="00555DB7" w:rsidP="00555DB7">
      <w:pPr>
        <w:numPr>
          <w:ilvl w:val="0"/>
          <w:numId w:val="22"/>
        </w:numPr>
      </w:pPr>
      <w:r w:rsidRPr="00555DB7">
        <w:rPr>
          <w:b/>
          <w:bCs/>
        </w:rPr>
        <w:t>Defect Costs</w:t>
      </w:r>
      <w:r w:rsidRPr="00555DB7">
        <w:t>: ₹0 to ₹2,007 per product — highly variable.</w:t>
      </w:r>
    </w:p>
    <w:p w14:paraId="407FEF47" w14:textId="77777777" w:rsidR="00555DB7" w:rsidRPr="00555DB7" w:rsidRDefault="00555DB7" w:rsidP="00555DB7">
      <w:pPr>
        <w:numPr>
          <w:ilvl w:val="0"/>
          <w:numId w:val="22"/>
        </w:numPr>
      </w:pPr>
      <w:r w:rsidRPr="00555DB7">
        <w:rPr>
          <w:b/>
          <w:bCs/>
        </w:rPr>
        <w:t>Shipping Costs</w:t>
      </w:r>
      <w:r w:rsidRPr="00555DB7">
        <w:t>: ₹1.01 to ₹9.93 — highest for fastest deliveries.</w:t>
      </w:r>
    </w:p>
    <w:p w14:paraId="070B3F8D" w14:textId="77777777" w:rsidR="00555DB7" w:rsidRPr="00555DB7" w:rsidRDefault="00555DB7" w:rsidP="00555DB7">
      <w:pPr>
        <w:numPr>
          <w:ilvl w:val="0"/>
          <w:numId w:val="22"/>
        </w:numPr>
      </w:pPr>
      <w:r w:rsidRPr="00555DB7">
        <w:t xml:space="preserve">Suggest setting </w:t>
      </w:r>
      <w:r w:rsidRPr="00555DB7">
        <w:rPr>
          <w:b/>
          <w:bCs/>
        </w:rPr>
        <w:t>threshold-based alerts</w:t>
      </w:r>
      <w:r w:rsidRPr="00555DB7">
        <w:t xml:space="preserve"> when cost/defect per unit exceeds a limit.</w:t>
      </w:r>
    </w:p>
    <w:p w14:paraId="511C56EB" w14:textId="77777777" w:rsidR="005113F2" w:rsidRDefault="005113F2" w:rsidP="00555DB7"/>
    <w:p w14:paraId="546626FF" w14:textId="0FF55075" w:rsidR="00555DB7" w:rsidRPr="00555DB7" w:rsidRDefault="00555DB7" w:rsidP="00555DB7">
      <w:pPr>
        <w:rPr>
          <w:b/>
          <w:bCs/>
          <w:sz w:val="32"/>
          <w:szCs w:val="32"/>
        </w:rPr>
      </w:pPr>
      <w:r w:rsidRPr="00555DB7">
        <w:rPr>
          <w:b/>
          <w:bCs/>
          <w:sz w:val="32"/>
          <w:szCs w:val="32"/>
        </w:rPr>
        <w:t>What-If Scenario: Operational Strategy</w:t>
      </w:r>
    </w:p>
    <w:p w14:paraId="6DF2F088" w14:textId="77777777" w:rsidR="00555DB7" w:rsidRPr="00555DB7" w:rsidRDefault="00555DB7" w:rsidP="00555DB7">
      <w:r w:rsidRPr="00555DB7">
        <w:rPr>
          <w:b/>
          <w:bCs/>
        </w:rPr>
        <w:t>Scenario</w:t>
      </w:r>
      <w:r w:rsidRPr="00555DB7">
        <w:t>: What if all products currently marked “Pending” for inspection were delayed by 5 extra days?</w:t>
      </w:r>
    </w:p>
    <w:p w14:paraId="1C0280D4" w14:textId="77777777" w:rsidR="00555DB7" w:rsidRPr="00555DB7" w:rsidRDefault="00555DB7" w:rsidP="00555DB7">
      <w:pPr>
        <w:numPr>
          <w:ilvl w:val="0"/>
          <w:numId w:val="23"/>
        </w:numPr>
      </w:pPr>
      <w:r w:rsidRPr="00555DB7">
        <w:t xml:space="preserve">This would increase </w:t>
      </w:r>
      <w:r w:rsidRPr="00555DB7">
        <w:rPr>
          <w:b/>
          <w:bCs/>
        </w:rPr>
        <w:t>Total Delivery Time</w:t>
      </w:r>
      <w:r w:rsidRPr="00555DB7">
        <w:t xml:space="preserve"> from 22.83 days to over </w:t>
      </w:r>
      <w:r w:rsidRPr="00555DB7">
        <w:rPr>
          <w:b/>
          <w:bCs/>
        </w:rPr>
        <w:t>27.83 days</w:t>
      </w:r>
      <w:r w:rsidRPr="00555DB7">
        <w:t xml:space="preserve"> average.</w:t>
      </w:r>
    </w:p>
    <w:p w14:paraId="2714FC64" w14:textId="77777777" w:rsidR="00555DB7" w:rsidRPr="00555DB7" w:rsidRDefault="00555DB7" w:rsidP="00555DB7">
      <w:pPr>
        <w:numPr>
          <w:ilvl w:val="0"/>
          <w:numId w:val="23"/>
        </w:numPr>
      </w:pPr>
      <w:r w:rsidRPr="00555DB7">
        <w:t xml:space="preserve">Could lead to missed SLAs and </w:t>
      </w:r>
      <w:r w:rsidRPr="00555DB7">
        <w:rPr>
          <w:b/>
          <w:bCs/>
        </w:rPr>
        <w:t>loss of customer trust</w:t>
      </w:r>
      <w:r w:rsidRPr="00555DB7">
        <w:t>.</w:t>
      </w:r>
    </w:p>
    <w:p w14:paraId="6B2344B8" w14:textId="77777777" w:rsidR="00555DB7" w:rsidRPr="00555DB7" w:rsidRDefault="00555DB7" w:rsidP="00555DB7">
      <w:pPr>
        <w:numPr>
          <w:ilvl w:val="0"/>
          <w:numId w:val="23"/>
        </w:numPr>
      </w:pPr>
      <w:r w:rsidRPr="00555DB7">
        <w:t xml:space="preserve">Use </w:t>
      </w:r>
      <w:r w:rsidRPr="00555DB7">
        <w:rPr>
          <w:b/>
          <w:bCs/>
        </w:rPr>
        <w:t>Power BI slicers</w:t>
      </w:r>
      <w:r w:rsidRPr="00555DB7">
        <w:t xml:space="preserve"> to simulate reducing inspection backlog and observe delivery time gain.</w:t>
      </w:r>
    </w:p>
    <w:p w14:paraId="4310301E" w14:textId="77777777" w:rsidR="00555DB7" w:rsidRPr="00555DB7" w:rsidRDefault="00555DB7" w:rsidP="00555DB7">
      <w:r w:rsidRPr="00555DB7">
        <w:t>Alternatively:</w:t>
      </w:r>
    </w:p>
    <w:p w14:paraId="5F12D0AE" w14:textId="77777777" w:rsidR="00555DB7" w:rsidRPr="00555DB7" w:rsidRDefault="00555DB7" w:rsidP="00555DB7">
      <w:r w:rsidRPr="00555DB7">
        <w:t xml:space="preserve">What if we </w:t>
      </w:r>
      <w:r w:rsidRPr="00555DB7">
        <w:rPr>
          <w:b/>
          <w:bCs/>
        </w:rPr>
        <w:t>switch all air shipments to road</w:t>
      </w:r>
      <w:r w:rsidRPr="00555DB7">
        <w:t>?</w:t>
      </w:r>
    </w:p>
    <w:p w14:paraId="6FDC7E9F" w14:textId="77777777" w:rsidR="00555DB7" w:rsidRPr="00555DB7" w:rsidRDefault="00555DB7" w:rsidP="00555DB7">
      <w:pPr>
        <w:numPr>
          <w:ilvl w:val="0"/>
          <w:numId w:val="24"/>
        </w:numPr>
      </w:pPr>
      <w:r w:rsidRPr="00555DB7">
        <w:t>Cost reduces, but delivery time may increase by 2–3 days.</w:t>
      </w:r>
    </w:p>
    <w:p w14:paraId="78F28AAD" w14:textId="77777777" w:rsidR="00555DB7" w:rsidRPr="00555DB7" w:rsidRDefault="00555DB7" w:rsidP="00555DB7">
      <w:pPr>
        <w:numPr>
          <w:ilvl w:val="0"/>
          <w:numId w:val="24"/>
        </w:numPr>
      </w:pPr>
      <w:r w:rsidRPr="00555DB7">
        <w:t>Use matrix visual + route filter to assess impact.</w:t>
      </w:r>
    </w:p>
    <w:p w14:paraId="799DB238" w14:textId="77777777" w:rsidR="005113F2" w:rsidRDefault="005113F2" w:rsidP="00555DB7"/>
    <w:p w14:paraId="3A2A490F" w14:textId="0AC318DE" w:rsidR="00555DB7" w:rsidRPr="00555DB7" w:rsidRDefault="00555DB7" w:rsidP="00555DB7">
      <w:pPr>
        <w:rPr>
          <w:b/>
          <w:bCs/>
          <w:sz w:val="32"/>
          <w:szCs w:val="32"/>
        </w:rPr>
      </w:pPr>
      <w:r w:rsidRPr="00555DB7">
        <w:rPr>
          <w:b/>
          <w:bCs/>
          <w:sz w:val="32"/>
          <w:szCs w:val="32"/>
        </w:rPr>
        <w:t>Strategic Recommendations</w:t>
      </w:r>
    </w:p>
    <w:p w14:paraId="034195D3" w14:textId="77777777" w:rsidR="00555DB7" w:rsidRPr="00555DB7" w:rsidRDefault="00555DB7" w:rsidP="00555DB7">
      <w:r w:rsidRPr="00555DB7">
        <w:t>The dashboard provides complete visibility into the operational health of the supply chain. Key recommendations:</w:t>
      </w:r>
    </w:p>
    <w:p w14:paraId="061D7D2C" w14:textId="31CB09AD" w:rsidR="00555DB7" w:rsidRPr="00555DB7" w:rsidRDefault="00555DB7" w:rsidP="00555DB7">
      <w:pPr>
        <w:numPr>
          <w:ilvl w:val="0"/>
          <w:numId w:val="25"/>
        </w:numPr>
      </w:pPr>
      <w:r w:rsidRPr="00555DB7">
        <w:t xml:space="preserve"> Reduce defect rates with better supplier selection and QA controls.</w:t>
      </w:r>
    </w:p>
    <w:p w14:paraId="3457B955" w14:textId="553F0B16" w:rsidR="00555DB7" w:rsidRPr="00555DB7" w:rsidRDefault="00555DB7" w:rsidP="00555DB7">
      <w:pPr>
        <w:numPr>
          <w:ilvl w:val="0"/>
          <w:numId w:val="25"/>
        </w:numPr>
      </w:pPr>
      <w:r w:rsidRPr="00555DB7">
        <w:t xml:space="preserve"> Implement </w:t>
      </w:r>
      <w:r w:rsidRPr="00555DB7">
        <w:rPr>
          <w:b/>
          <w:bCs/>
        </w:rPr>
        <w:t>inventory balancing</w:t>
      </w:r>
      <w:r w:rsidRPr="00555DB7">
        <w:t xml:space="preserve"> to avoid over/understocking.</w:t>
      </w:r>
    </w:p>
    <w:p w14:paraId="246DD321" w14:textId="6E9931A4" w:rsidR="00555DB7" w:rsidRPr="00555DB7" w:rsidRDefault="00555DB7" w:rsidP="00555DB7">
      <w:pPr>
        <w:numPr>
          <w:ilvl w:val="0"/>
          <w:numId w:val="25"/>
        </w:numPr>
      </w:pPr>
      <w:r w:rsidRPr="00555DB7">
        <w:t xml:space="preserve"> Optimize logistics by combining cheaper carriers with efficient routes.</w:t>
      </w:r>
    </w:p>
    <w:p w14:paraId="24495ABD" w14:textId="06125AF1" w:rsidR="00555DB7" w:rsidRPr="00555DB7" w:rsidRDefault="00555DB7" w:rsidP="00555DB7">
      <w:pPr>
        <w:numPr>
          <w:ilvl w:val="0"/>
          <w:numId w:val="25"/>
        </w:numPr>
      </w:pPr>
      <w:r w:rsidRPr="00555DB7">
        <w:t xml:space="preserve"> Clean customer data to unlock marketing value.</w:t>
      </w:r>
    </w:p>
    <w:p w14:paraId="2DCD1160" w14:textId="140838B8" w:rsidR="005113F2" w:rsidRDefault="00555DB7" w:rsidP="005113F2">
      <w:pPr>
        <w:numPr>
          <w:ilvl w:val="0"/>
          <w:numId w:val="25"/>
        </w:numPr>
      </w:pPr>
      <w:r w:rsidRPr="00555DB7">
        <w:t xml:space="preserve"> Use dynamic Power BI filters for </w:t>
      </w:r>
      <w:r w:rsidRPr="00555DB7">
        <w:rPr>
          <w:b/>
          <w:bCs/>
        </w:rPr>
        <w:t>interactive what-if planning</w:t>
      </w:r>
      <w:r w:rsidRPr="00555DB7">
        <w:t>.</w:t>
      </w:r>
    </w:p>
    <w:p w14:paraId="55F741DF" w14:textId="664A64CA" w:rsidR="005113F2" w:rsidRPr="005113F2" w:rsidRDefault="005113F2" w:rsidP="005113F2">
      <w:pPr>
        <w:rPr>
          <w:b/>
          <w:bCs/>
          <w:sz w:val="32"/>
          <w:szCs w:val="32"/>
        </w:rPr>
      </w:pPr>
      <w:r w:rsidRPr="005113F2">
        <w:rPr>
          <w:b/>
          <w:bCs/>
          <w:sz w:val="32"/>
          <w:szCs w:val="32"/>
        </w:rPr>
        <w:lastRenderedPageBreak/>
        <w:t>Conclusion</w:t>
      </w:r>
    </w:p>
    <w:p w14:paraId="09A6DC9C" w14:textId="77777777" w:rsidR="005113F2" w:rsidRPr="005113F2" w:rsidRDefault="005113F2" w:rsidP="005113F2">
      <w:r w:rsidRPr="005113F2">
        <w:t>This Power BI project provided a comprehensive view of the supply chain by transforming raw CSV data into a powerful and interactive dashboard. Through visual analysis of 100 product records and over 20 key metrics, we were able to extract valuable business insights across all operational areas — from production and inventory to shipping, quality, and customer behavior.</w:t>
      </w:r>
    </w:p>
    <w:p w14:paraId="616A02EB" w14:textId="77777777" w:rsidR="005113F2" w:rsidRPr="005113F2" w:rsidRDefault="005113F2" w:rsidP="005113F2">
      <w:r w:rsidRPr="005113F2">
        <w:t>The dashboard revealed that while the company is generating consistent revenue, it is also facing significant challenges such as:</w:t>
      </w:r>
    </w:p>
    <w:p w14:paraId="3AFEDEB1" w14:textId="77777777" w:rsidR="005113F2" w:rsidRPr="005113F2" w:rsidRDefault="005113F2" w:rsidP="005113F2">
      <w:pPr>
        <w:numPr>
          <w:ilvl w:val="0"/>
          <w:numId w:val="30"/>
        </w:numPr>
      </w:pPr>
      <w:r w:rsidRPr="005113F2">
        <w:t>High defect rates impacting quality and cost.</w:t>
      </w:r>
    </w:p>
    <w:p w14:paraId="5EB206AA" w14:textId="77777777" w:rsidR="005113F2" w:rsidRPr="005113F2" w:rsidRDefault="005113F2" w:rsidP="005113F2">
      <w:pPr>
        <w:numPr>
          <w:ilvl w:val="0"/>
          <w:numId w:val="30"/>
        </w:numPr>
      </w:pPr>
      <w:r w:rsidRPr="005113F2">
        <w:t>Negative inventory values indicating stockouts or poor planning.</w:t>
      </w:r>
    </w:p>
    <w:p w14:paraId="6EB683D8" w14:textId="77777777" w:rsidR="005113F2" w:rsidRPr="005113F2" w:rsidRDefault="005113F2" w:rsidP="005113F2">
      <w:pPr>
        <w:numPr>
          <w:ilvl w:val="0"/>
          <w:numId w:val="30"/>
        </w:numPr>
      </w:pPr>
      <w:r w:rsidRPr="005113F2">
        <w:t>Variations in supplier lead time and inspection status.</w:t>
      </w:r>
    </w:p>
    <w:p w14:paraId="6AECD85F" w14:textId="77777777" w:rsidR="005113F2" w:rsidRPr="005113F2" w:rsidRDefault="005113F2" w:rsidP="005113F2">
      <w:pPr>
        <w:numPr>
          <w:ilvl w:val="0"/>
          <w:numId w:val="30"/>
        </w:numPr>
      </w:pPr>
      <w:r w:rsidRPr="005113F2">
        <w:t>Delivery delays influenced by mode of transport and route optimization.</w:t>
      </w:r>
    </w:p>
    <w:p w14:paraId="1B35ABBA" w14:textId="77777777" w:rsidR="005113F2" w:rsidRPr="005113F2" w:rsidRDefault="005113F2" w:rsidP="005113F2">
      <w:pPr>
        <w:numPr>
          <w:ilvl w:val="0"/>
          <w:numId w:val="30"/>
        </w:numPr>
      </w:pPr>
      <w:r w:rsidRPr="005113F2">
        <w:t>Gaps in customer data, limiting personalized decision-making.</w:t>
      </w:r>
    </w:p>
    <w:p w14:paraId="7509B1BE" w14:textId="77777777" w:rsidR="005113F2" w:rsidRPr="005113F2" w:rsidRDefault="005113F2" w:rsidP="005113F2">
      <w:r w:rsidRPr="005113F2">
        <w:t xml:space="preserve">The use of Power BI enabled real-time tracking of KPIs such as revenue, lead time, delivery performance, and cost per unit. With slicers and filters, users can drill down by product, supplier, location, and time — making this dashboard a </w:t>
      </w:r>
      <w:r w:rsidRPr="005113F2">
        <w:rPr>
          <w:b/>
          <w:bCs/>
        </w:rPr>
        <w:t>strategic tool for decision-making</w:t>
      </w:r>
      <w:r w:rsidRPr="005113F2">
        <w:t>.</w:t>
      </w:r>
    </w:p>
    <w:p w14:paraId="0FF4C88D" w14:textId="45024C81" w:rsidR="005113F2" w:rsidRPr="005113F2" w:rsidRDefault="005113F2" w:rsidP="005113F2">
      <w:pPr>
        <w:rPr>
          <w:b/>
          <w:bCs/>
        </w:rPr>
      </w:pPr>
      <w:r w:rsidRPr="005113F2">
        <w:rPr>
          <w:b/>
          <w:bCs/>
        </w:rPr>
        <w:t xml:space="preserve"> Key Takeaways:</w:t>
      </w:r>
    </w:p>
    <w:p w14:paraId="3CBE8CE2" w14:textId="77777777" w:rsidR="005113F2" w:rsidRPr="005113F2" w:rsidRDefault="005113F2" w:rsidP="005113F2">
      <w:pPr>
        <w:numPr>
          <w:ilvl w:val="0"/>
          <w:numId w:val="31"/>
        </w:numPr>
      </w:pPr>
      <w:r w:rsidRPr="005113F2">
        <w:t>Focus on supplier evaluation and quality control to reduce defect costs.</w:t>
      </w:r>
    </w:p>
    <w:p w14:paraId="752F94C3" w14:textId="77777777" w:rsidR="005113F2" w:rsidRPr="005113F2" w:rsidRDefault="005113F2" w:rsidP="005113F2">
      <w:pPr>
        <w:numPr>
          <w:ilvl w:val="0"/>
          <w:numId w:val="31"/>
        </w:numPr>
      </w:pPr>
      <w:r w:rsidRPr="005113F2">
        <w:t>Optimize shipping routes and carrier selection to improve delivery times.</w:t>
      </w:r>
    </w:p>
    <w:p w14:paraId="3D6AF4CD" w14:textId="77777777" w:rsidR="005113F2" w:rsidRPr="005113F2" w:rsidRDefault="005113F2" w:rsidP="005113F2">
      <w:pPr>
        <w:numPr>
          <w:ilvl w:val="0"/>
          <w:numId w:val="31"/>
        </w:numPr>
      </w:pPr>
      <w:r w:rsidRPr="005113F2">
        <w:t>Improve inventory planning to prevent both overstock and stockouts.</w:t>
      </w:r>
    </w:p>
    <w:p w14:paraId="4B3E2EF8" w14:textId="77777777" w:rsidR="005113F2" w:rsidRPr="005113F2" w:rsidRDefault="005113F2" w:rsidP="005113F2">
      <w:pPr>
        <w:numPr>
          <w:ilvl w:val="0"/>
          <w:numId w:val="31"/>
        </w:numPr>
      </w:pPr>
      <w:r w:rsidRPr="005113F2">
        <w:t>Clean and enhance customer data to unlock deeper demographic insights.</w:t>
      </w:r>
    </w:p>
    <w:p w14:paraId="2B9CB969" w14:textId="77777777" w:rsidR="005113F2" w:rsidRPr="005113F2" w:rsidRDefault="005113F2" w:rsidP="005113F2">
      <w:pPr>
        <w:numPr>
          <w:ilvl w:val="0"/>
          <w:numId w:val="31"/>
        </w:numPr>
      </w:pPr>
      <w:r w:rsidRPr="005113F2">
        <w:t>Use the dashboard as a live monitoring tool for operational efficiency.</w:t>
      </w:r>
    </w:p>
    <w:p w14:paraId="3681B867" w14:textId="77777777" w:rsidR="005113F2" w:rsidRPr="005113F2" w:rsidRDefault="005113F2" w:rsidP="005113F2">
      <w:r w:rsidRPr="005113F2">
        <w:t xml:space="preserve">In conclusion, this project demonstrates the </w:t>
      </w:r>
      <w:r w:rsidRPr="005113F2">
        <w:rPr>
          <w:b/>
          <w:bCs/>
        </w:rPr>
        <w:t>power of data visualization and analytics</w:t>
      </w:r>
      <w:r w:rsidRPr="005113F2">
        <w:t xml:space="preserve"> in modern supply chain management. The insights generated can directly support smarter decisions, reduce operational costs, and improve customer satisfaction. This Power BI dashboard is not just a project—it is a blueprint for smarter, data-driven supply chain operations.</w:t>
      </w:r>
    </w:p>
    <w:p w14:paraId="298C174B" w14:textId="043DC71C" w:rsidR="005113F2" w:rsidRPr="005113F2" w:rsidRDefault="005113F2" w:rsidP="005113F2"/>
    <w:p w14:paraId="09DB9F95" w14:textId="77777777" w:rsidR="005113F2" w:rsidRPr="00555DB7" w:rsidRDefault="005113F2" w:rsidP="005113F2"/>
    <w:p w14:paraId="352E961D" w14:textId="77777777" w:rsidR="00555DB7" w:rsidRPr="00555DB7" w:rsidRDefault="00555DB7"/>
    <w:sectPr w:rsidR="00555DB7" w:rsidRPr="0055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967"/>
    <w:multiLevelType w:val="multilevel"/>
    <w:tmpl w:val="C5A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247"/>
    <w:multiLevelType w:val="multilevel"/>
    <w:tmpl w:val="97F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2CE8"/>
    <w:multiLevelType w:val="multilevel"/>
    <w:tmpl w:val="EA6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0A54"/>
    <w:multiLevelType w:val="multilevel"/>
    <w:tmpl w:val="EB0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6DE5"/>
    <w:multiLevelType w:val="multilevel"/>
    <w:tmpl w:val="62E4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4629C"/>
    <w:multiLevelType w:val="multilevel"/>
    <w:tmpl w:val="71D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803DF"/>
    <w:multiLevelType w:val="multilevel"/>
    <w:tmpl w:val="481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E7B4B"/>
    <w:multiLevelType w:val="multilevel"/>
    <w:tmpl w:val="7A8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72D96"/>
    <w:multiLevelType w:val="multilevel"/>
    <w:tmpl w:val="397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02E1C"/>
    <w:multiLevelType w:val="multilevel"/>
    <w:tmpl w:val="55D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27711"/>
    <w:multiLevelType w:val="multilevel"/>
    <w:tmpl w:val="4F9E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10761"/>
    <w:multiLevelType w:val="multilevel"/>
    <w:tmpl w:val="7B4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B0DC0"/>
    <w:multiLevelType w:val="multilevel"/>
    <w:tmpl w:val="7CB4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4108"/>
    <w:multiLevelType w:val="multilevel"/>
    <w:tmpl w:val="35D4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657AD"/>
    <w:multiLevelType w:val="multilevel"/>
    <w:tmpl w:val="9072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20421"/>
    <w:multiLevelType w:val="multilevel"/>
    <w:tmpl w:val="434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94735"/>
    <w:multiLevelType w:val="multilevel"/>
    <w:tmpl w:val="E7E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1746B"/>
    <w:multiLevelType w:val="multilevel"/>
    <w:tmpl w:val="0D3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7638B"/>
    <w:multiLevelType w:val="multilevel"/>
    <w:tmpl w:val="4152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45549"/>
    <w:multiLevelType w:val="multilevel"/>
    <w:tmpl w:val="2F0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E147B"/>
    <w:multiLevelType w:val="multilevel"/>
    <w:tmpl w:val="E40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131B4"/>
    <w:multiLevelType w:val="multilevel"/>
    <w:tmpl w:val="03D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94158"/>
    <w:multiLevelType w:val="multilevel"/>
    <w:tmpl w:val="390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0565A"/>
    <w:multiLevelType w:val="multilevel"/>
    <w:tmpl w:val="E3D4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1257F4"/>
    <w:multiLevelType w:val="multilevel"/>
    <w:tmpl w:val="FA10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17468"/>
    <w:multiLevelType w:val="multilevel"/>
    <w:tmpl w:val="0B4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34D09"/>
    <w:multiLevelType w:val="multilevel"/>
    <w:tmpl w:val="3B6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80E9B"/>
    <w:multiLevelType w:val="multilevel"/>
    <w:tmpl w:val="0402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B655F"/>
    <w:multiLevelType w:val="multilevel"/>
    <w:tmpl w:val="6E3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E299A"/>
    <w:multiLevelType w:val="multilevel"/>
    <w:tmpl w:val="79B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205E5"/>
    <w:multiLevelType w:val="multilevel"/>
    <w:tmpl w:val="7EF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723450">
    <w:abstractNumId w:val="27"/>
  </w:num>
  <w:num w:numId="2" w16cid:durableId="217480356">
    <w:abstractNumId w:val="26"/>
  </w:num>
  <w:num w:numId="3" w16cid:durableId="721709020">
    <w:abstractNumId w:val="24"/>
  </w:num>
  <w:num w:numId="4" w16cid:durableId="865825885">
    <w:abstractNumId w:val="7"/>
  </w:num>
  <w:num w:numId="5" w16cid:durableId="1576743426">
    <w:abstractNumId w:val="25"/>
  </w:num>
  <w:num w:numId="6" w16cid:durableId="2106875676">
    <w:abstractNumId w:val="10"/>
  </w:num>
  <w:num w:numId="7" w16cid:durableId="778767464">
    <w:abstractNumId w:val="30"/>
  </w:num>
  <w:num w:numId="8" w16cid:durableId="2077240164">
    <w:abstractNumId w:val="9"/>
  </w:num>
  <w:num w:numId="9" w16cid:durableId="2096169275">
    <w:abstractNumId w:val="14"/>
  </w:num>
  <w:num w:numId="10" w16cid:durableId="1397700672">
    <w:abstractNumId w:val="6"/>
  </w:num>
  <w:num w:numId="11" w16cid:durableId="301473118">
    <w:abstractNumId w:val="11"/>
  </w:num>
  <w:num w:numId="12" w16cid:durableId="617376560">
    <w:abstractNumId w:val="22"/>
  </w:num>
  <w:num w:numId="13" w16cid:durableId="979963957">
    <w:abstractNumId w:val="20"/>
  </w:num>
  <w:num w:numId="14" w16cid:durableId="1346133164">
    <w:abstractNumId w:val="23"/>
  </w:num>
  <w:num w:numId="15" w16cid:durableId="774591597">
    <w:abstractNumId w:val="1"/>
  </w:num>
  <w:num w:numId="16" w16cid:durableId="140467576">
    <w:abstractNumId w:val="4"/>
  </w:num>
  <w:num w:numId="17" w16cid:durableId="1296065120">
    <w:abstractNumId w:val="3"/>
  </w:num>
  <w:num w:numId="18" w16cid:durableId="778991048">
    <w:abstractNumId w:val="13"/>
  </w:num>
  <w:num w:numId="19" w16cid:durableId="865480354">
    <w:abstractNumId w:val="12"/>
  </w:num>
  <w:num w:numId="20" w16cid:durableId="1981617719">
    <w:abstractNumId w:val="15"/>
  </w:num>
  <w:num w:numId="21" w16cid:durableId="556286768">
    <w:abstractNumId w:val="28"/>
  </w:num>
  <w:num w:numId="22" w16cid:durableId="88355536">
    <w:abstractNumId w:val="19"/>
  </w:num>
  <w:num w:numId="23" w16cid:durableId="531697441">
    <w:abstractNumId w:val="17"/>
  </w:num>
  <w:num w:numId="24" w16cid:durableId="1622179236">
    <w:abstractNumId w:val="0"/>
  </w:num>
  <w:num w:numId="25" w16cid:durableId="249436187">
    <w:abstractNumId w:val="16"/>
  </w:num>
  <w:num w:numId="26" w16cid:durableId="631517208">
    <w:abstractNumId w:val="29"/>
  </w:num>
  <w:num w:numId="27" w16cid:durableId="1607077758">
    <w:abstractNumId w:val="21"/>
  </w:num>
  <w:num w:numId="28" w16cid:durableId="1828354436">
    <w:abstractNumId w:val="18"/>
  </w:num>
  <w:num w:numId="29" w16cid:durableId="2136438311">
    <w:abstractNumId w:val="2"/>
  </w:num>
  <w:num w:numId="30" w16cid:durableId="158664701">
    <w:abstractNumId w:val="5"/>
  </w:num>
  <w:num w:numId="31" w16cid:durableId="586617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B7"/>
    <w:rsid w:val="000968E5"/>
    <w:rsid w:val="00115942"/>
    <w:rsid w:val="003E524B"/>
    <w:rsid w:val="004A5E68"/>
    <w:rsid w:val="005113F2"/>
    <w:rsid w:val="00555DB7"/>
    <w:rsid w:val="008B321B"/>
    <w:rsid w:val="009A2FAE"/>
    <w:rsid w:val="00B32DDF"/>
    <w:rsid w:val="00CC5603"/>
    <w:rsid w:val="00DB3EB1"/>
    <w:rsid w:val="00E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2B73"/>
  <w15:chartTrackingRefBased/>
  <w15:docId w15:val="{F3E946FB-36DF-47C8-BA26-2150BB26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DB7"/>
    <w:rPr>
      <w:rFonts w:eastAsiaTheme="majorEastAsia" w:cstheme="majorBidi"/>
      <w:color w:val="272727" w:themeColor="text1" w:themeTint="D8"/>
    </w:rPr>
  </w:style>
  <w:style w:type="paragraph" w:styleId="Title">
    <w:name w:val="Title"/>
    <w:basedOn w:val="Normal"/>
    <w:next w:val="Normal"/>
    <w:link w:val="TitleChar"/>
    <w:uiPriority w:val="10"/>
    <w:qFormat/>
    <w:rsid w:val="00555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DB7"/>
    <w:pPr>
      <w:spacing w:before="160"/>
      <w:jc w:val="center"/>
    </w:pPr>
    <w:rPr>
      <w:i/>
      <w:iCs/>
      <w:color w:val="404040" w:themeColor="text1" w:themeTint="BF"/>
    </w:rPr>
  </w:style>
  <w:style w:type="character" w:customStyle="1" w:styleId="QuoteChar">
    <w:name w:val="Quote Char"/>
    <w:basedOn w:val="DefaultParagraphFont"/>
    <w:link w:val="Quote"/>
    <w:uiPriority w:val="29"/>
    <w:rsid w:val="00555DB7"/>
    <w:rPr>
      <w:i/>
      <w:iCs/>
      <w:color w:val="404040" w:themeColor="text1" w:themeTint="BF"/>
    </w:rPr>
  </w:style>
  <w:style w:type="paragraph" w:styleId="ListParagraph">
    <w:name w:val="List Paragraph"/>
    <w:basedOn w:val="Normal"/>
    <w:uiPriority w:val="34"/>
    <w:qFormat/>
    <w:rsid w:val="00555DB7"/>
    <w:pPr>
      <w:ind w:left="720"/>
      <w:contextualSpacing/>
    </w:pPr>
  </w:style>
  <w:style w:type="character" w:styleId="IntenseEmphasis">
    <w:name w:val="Intense Emphasis"/>
    <w:basedOn w:val="DefaultParagraphFont"/>
    <w:uiPriority w:val="21"/>
    <w:qFormat/>
    <w:rsid w:val="00555DB7"/>
    <w:rPr>
      <w:i/>
      <w:iCs/>
      <w:color w:val="2F5496" w:themeColor="accent1" w:themeShade="BF"/>
    </w:rPr>
  </w:style>
  <w:style w:type="paragraph" w:styleId="IntenseQuote">
    <w:name w:val="Intense Quote"/>
    <w:basedOn w:val="Normal"/>
    <w:next w:val="Normal"/>
    <w:link w:val="IntenseQuoteChar"/>
    <w:uiPriority w:val="30"/>
    <w:qFormat/>
    <w:rsid w:val="00555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DB7"/>
    <w:rPr>
      <w:i/>
      <w:iCs/>
      <w:color w:val="2F5496" w:themeColor="accent1" w:themeShade="BF"/>
    </w:rPr>
  </w:style>
  <w:style w:type="character" w:styleId="IntenseReference">
    <w:name w:val="Intense Reference"/>
    <w:basedOn w:val="DefaultParagraphFont"/>
    <w:uiPriority w:val="32"/>
    <w:qFormat/>
    <w:rsid w:val="00555D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9305">
      <w:bodyDiv w:val="1"/>
      <w:marLeft w:val="0"/>
      <w:marRight w:val="0"/>
      <w:marTop w:val="0"/>
      <w:marBottom w:val="0"/>
      <w:divBdr>
        <w:top w:val="none" w:sz="0" w:space="0" w:color="auto"/>
        <w:left w:val="none" w:sz="0" w:space="0" w:color="auto"/>
        <w:bottom w:val="none" w:sz="0" w:space="0" w:color="auto"/>
        <w:right w:val="none" w:sz="0" w:space="0" w:color="auto"/>
      </w:divBdr>
    </w:div>
    <w:div w:id="157119905">
      <w:bodyDiv w:val="1"/>
      <w:marLeft w:val="0"/>
      <w:marRight w:val="0"/>
      <w:marTop w:val="0"/>
      <w:marBottom w:val="0"/>
      <w:divBdr>
        <w:top w:val="none" w:sz="0" w:space="0" w:color="auto"/>
        <w:left w:val="none" w:sz="0" w:space="0" w:color="auto"/>
        <w:bottom w:val="none" w:sz="0" w:space="0" w:color="auto"/>
        <w:right w:val="none" w:sz="0" w:space="0" w:color="auto"/>
      </w:divBdr>
    </w:div>
    <w:div w:id="203107054">
      <w:bodyDiv w:val="1"/>
      <w:marLeft w:val="0"/>
      <w:marRight w:val="0"/>
      <w:marTop w:val="0"/>
      <w:marBottom w:val="0"/>
      <w:divBdr>
        <w:top w:val="none" w:sz="0" w:space="0" w:color="auto"/>
        <w:left w:val="none" w:sz="0" w:space="0" w:color="auto"/>
        <w:bottom w:val="none" w:sz="0" w:space="0" w:color="auto"/>
        <w:right w:val="none" w:sz="0" w:space="0" w:color="auto"/>
      </w:divBdr>
    </w:div>
    <w:div w:id="206919967">
      <w:bodyDiv w:val="1"/>
      <w:marLeft w:val="0"/>
      <w:marRight w:val="0"/>
      <w:marTop w:val="0"/>
      <w:marBottom w:val="0"/>
      <w:divBdr>
        <w:top w:val="none" w:sz="0" w:space="0" w:color="auto"/>
        <w:left w:val="none" w:sz="0" w:space="0" w:color="auto"/>
        <w:bottom w:val="none" w:sz="0" w:space="0" w:color="auto"/>
        <w:right w:val="none" w:sz="0" w:space="0" w:color="auto"/>
      </w:divBdr>
    </w:div>
    <w:div w:id="212810605">
      <w:bodyDiv w:val="1"/>
      <w:marLeft w:val="0"/>
      <w:marRight w:val="0"/>
      <w:marTop w:val="0"/>
      <w:marBottom w:val="0"/>
      <w:divBdr>
        <w:top w:val="none" w:sz="0" w:space="0" w:color="auto"/>
        <w:left w:val="none" w:sz="0" w:space="0" w:color="auto"/>
        <w:bottom w:val="none" w:sz="0" w:space="0" w:color="auto"/>
        <w:right w:val="none" w:sz="0" w:space="0" w:color="auto"/>
      </w:divBdr>
    </w:div>
    <w:div w:id="216478874">
      <w:bodyDiv w:val="1"/>
      <w:marLeft w:val="0"/>
      <w:marRight w:val="0"/>
      <w:marTop w:val="0"/>
      <w:marBottom w:val="0"/>
      <w:divBdr>
        <w:top w:val="none" w:sz="0" w:space="0" w:color="auto"/>
        <w:left w:val="none" w:sz="0" w:space="0" w:color="auto"/>
        <w:bottom w:val="none" w:sz="0" w:space="0" w:color="auto"/>
        <w:right w:val="none" w:sz="0" w:space="0" w:color="auto"/>
      </w:divBdr>
    </w:div>
    <w:div w:id="226112648">
      <w:bodyDiv w:val="1"/>
      <w:marLeft w:val="0"/>
      <w:marRight w:val="0"/>
      <w:marTop w:val="0"/>
      <w:marBottom w:val="0"/>
      <w:divBdr>
        <w:top w:val="none" w:sz="0" w:space="0" w:color="auto"/>
        <w:left w:val="none" w:sz="0" w:space="0" w:color="auto"/>
        <w:bottom w:val="none" w:sz="0" w:space="0" w:color="auto"/>
        <w:right w:val="none" w:sz="0" w:space="0" w:color="auto"/>
      </w:divBdr>
    </w:div>
    <w:div w:id="403069559">
      <w:bodyDiv w:val="1"/>
      <w:marLeft w:val="0"/>
      <w:marRight w:val="0"/>
      <w:marTop w:val="0"/>
      <w:marBottom w:val="0"/>
      <w:divBdr>
        <w:top w:val="none" w:sz="0" w:space="0" w:color="auto"/>
        <w:left w:val="none" w:sz="0" w:space="0" w:color="auto"/>
        <w:bottom w:val="none" w:sz="0" w:space="0" w:color="auto"/>
        <w:right w:val="none" w:sz="0" w:space="0" w:color="auto"/>
      </w:divBdr>
    </w:div>
    <w:div w:id="416094682">
      <w:bodyDiv w:val="1"/>
      <w:marLeft w:val="0"/>
      <w:marRight w:val="0"/>
      <w:marTop w:val="0"/>
      <w:marBottom w:val="0"/>
      <w:divBdr>
        <w:top w:val="none" w:sz="0" w:space="0" w:color="auto"/>
        <w:left w:val="none" w:sz="0" w:space="0" w:color="auto"/>
        <w:bottom w:val="none" w:sz="0" w:space="0" w:color="auto"/>
        <w:right w:val="none" w:sz="0" w:space="0" w:color="auto"/>
      </w:divBdr>
    </w:div>
    <w:div w:id="419329844">
      <w:bodyDiv w:val="1"/>
      <w:marLeft w:val="0"/>
      <w:marRight w:val="0"/>
      <w:marTop w:val="0"/>
      <w:marBottom w:val="0"/>
      <w:divBdr>
        <w:top w:val="none" w:sz="0" w:space="0" w:color="auto"/>
        <w:left w:val="none" w:sz="0" w:space="0" w:color="auto"/>
        <w:bottom w:val="none" w:sz="0" w:space="0" w:color="auto"/>
        <w:right w:val="none" w:sz="0" w:space="0" w:color="auto"/>
      </w:divBdr>
    </w:div>
    <w:div w:id="427851544">
      <w:bodyDiv w:val="1"/>
      <w:marLeft w:val="0"/>
      <w:marRight w:val="0"/>
      <w:marTop w:val="0"/>
      <w:marBottom w:val="0"/>
      <w:divBdr>
        <w:top w:val="none" w:sz="0" w:space="0" w:color="auto"/>
        <w:left w:val="none" w:sz="0" w:space="0" w:color="auto"/>
        <w:bottom w:val="none" w:sz="0" w:space="0" w:color="auto"/>
        <w:right w:val="none" w:sz="0" w:space="0" w:color="auto"/>
      </w:divBdr>
    </w:div>
    <w:div w:id="452863679">
      <w:bodyDiv w:val="1"/>
      <w:marLeft w:val="0"/>
      <w:marRight w:val="0"/>
      <w:marTop w:val="0"/>
      <w:marBottom w:val="0"/>
      <w:divBdr>
        <w:top w:val="none" w:sz="0" w:space="0" w:color="auto"/>
        <w:left w:val="none" w:sz="0" w:space="0" w:color="auto"/>
        <w:bottom w:val="none" w:sz="0" w:space="0" w:color="auto"/>
        <w:right w:val="none" w:sz="0" w:space="0" w:color="auto"/>
      </w:divBdr>
    </w:div>
    <w:div w:id="621151484">
      <w:bodyDiv w:val="1"/>
      <w:marLeft w:val="0"/>
      <w:marRight w:val="0"/>
      <w:marTop w:val="0"/>
      <w:marBottom w:val="0"/>
      <w:divBdr>
        <w:top w:val="none" w:sz="0" w:space="0" w:color="auto"/>
        <w:left w:val="none" w:sz="0" w:space="0" w:color="auto"/>
        <w:bottom w:val="none" w:sz="0" w:space="0" w:color="auto"/>
        <w:right w:val="none" w:sz="0" w:space="0" w:color="auto"/>
      </w:divBdr>
    </w:div>
    <w:div w:id="764306495">
      <w:bodyDiv w:val="1"/>
      <w:marLeft w:val="0"/>
      <w:marRight w:val="0"/>
      <w:marTop w:val="0"/>
      <w:marBottom w:val="0"/>
      <w:divBdr>
        <w:top w:val="none" w:sz="0" w:space="0" w:color="auto"/>
        <w:left w:val="none" w:sz="0" w:space="0" w:color="auto"/>
        <w:bottom w:val="none" w:sz="0" w:space="0" w:color="auto"/>
        <w:right w:val="none" w:sz="0" w:space="0" w:color="auto"/>
      </w:divBdr>
    </w:div>
    <w:div w:id="776293312">
      <w:bodyDiv w:val="1"/>
      <w:marLeft w:val="0"/>
      <w:marRight w:val="0"/>
      <w:marTop w:val="0"/>
      <w:marBottom w:val="0"/>
      <w:divBdr>
        <w:top w:val="none" w:sz="0" w:space="0" w:color="auto"/>
        <w:left w:val="none" w:sz="0" w:space="0" w:color="auto"/>
        <w:bottom w:val="none" w:sz="0" w:space="0" w:color="auto"/>
        <w:right w:val="none" w:sz="0" w:space="0" w:color="auto"/>
      </w:divBdr>
    </w:div>
    <w:div w:id="901478720">
      <w:bodyDiv w:val="1"/>
      <w:marLeft w:val="0"/>
      <w:marRight w:val="0"/>
      <w:marTop w:val="0"/>
      <w:marBottom w:val="0"/>
      <w:divBdr>
        <w:top w:val="none" w:sz="0" w:space="0" w:color="auto"/>
        <w:left w:val="none" w:sz="0" w:space="0" w:color="auto"/>
        <w:bottom w:val="none" w:sz="0" w:space="0" w:color="auto"/>
        <w:right w:val="none" w:sz="0" w:space="0" w:color="auto"/>
      </w:divBdr>
    </w:div>
    <w:div w:id="994408697">
      <w:bodyDiv w:val="1"/>
      <w:marLeft w:val="0"/>
      <w:marRight w:val="0"/>
      <w:marTop w:val="0"/>
      <w:marBottom w:val="0"/>
      <w:divBdr>
        <w:top w:val="none" w:sz="0" w:space="0" w:color="auto"/>
        <w:left w:val="none" w:sz="0" w:space="0" w:color="auto"/>
        <w:bottom w:val="none" w:sz="0" w:space="0" w:color="auto"/>
        <w:right w:val="none" w:sz="0" w:space="0" w:color="auto"/>
      </w:divBdr>
    </w:div>
    <w:div w:id="1046949094">
      <w:bodyDiv w:val="1"/>
      <w:marLeft w:val="0"/>
      <w:marRight w:val="0"/>
      <w:marTop w:val="0"/>
      <w:marBottom w:val="0"/>
      <w:divBdr>
        <w:top w:val="none" w:sz="0" w:space="0" w:color="auto"/>
        <w:left w:val="none" w:sz="0" w:space="0" w:color="auto"/>
        <w:bottom w:val="none" w:sz="0" w:space="0" w:color="auto"/>
        <w:right w:val="none" w:sz="0" w:space="0" w:color="auto"/>
      </w:divBdr>
    </w:div>
    <w:div w:id="1142842493">
      <w:bodyDiv w:val="1"/>
      <w:marLeft w:val="0"/>
      <w:marRight w:val="0"/>
      <w:marTop w:val="0"/>
      <w:marBottom w:val="0"/>
      <w:divBdr>
        <w:top w:val="none" w:sz="0" w:space="0" w:color="auto"/>
        <w:left w:val="none" w:sz="0" w:space="0" w:color="auto"/>
        <w:bottom w:val="none" w:sz="0" w:space="0" w:color="auto"/>
        <w:right w:val="none" w:sz="0" w:space="0" w:color="auto"/>
      </w:divBdr>
      <w:divsChild>
        <w:div w:id="872501740">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1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989645">
      <w:bodyDiv w:val="1"/>
      <w:marLeft w:val="0"/>
      <w:marRight w:val="0"/>
      <w:marTop w:val="0"/>
      <w:marBottom w:val="0"/>
      <w:divBdr>
        <w:top w:val="none" w:sz="0" w:space="0" w:color="auto"/>
        <w:left w:val="none" w:sz="0" w:space="0" w:color="auto"/>
        <w:bottom w:val="none" w:sz="0" w:space="0" w:color="auto"/>
        <w:right w:val="none" w:sz="0" w:space="0" w:color="auto"/>
      </w:divBdr>
    </w:div>
    <w:div w:id="1159686218">
      <w:bodyDiv w:val="1"/>
      <w:marLeft w:val="0"/>
      <w:marRight w:val="0"/>
      <w:marTop w:val="0"/>
      <w:marBottom w:val="0"/>
      <w:divBdr>
        <w:top w:val="none" w:sz="0" w:space="0" w:color="auto"/>
        <w:left w:val="none" w:sz="0" w:space="0" w:color="auto"/>
        <w:bottom w:val="none" w:sz="0" w:space="0" w:color="auto"/>
        <w:right w:val="none" w:sz="0" w:space="0" w:color="auto"/>
      </w:divBdr>
    </w:div>
    <w:div w:id="1173644912">
      <w:bodyDiv w:val="1"/>
      <w:marLeft w:val="0"/>
      <w:marRight w:val="0"/>
      <w:marTop w:val="0"/>
      <w:marBottom w:val="0"/>
      <w:divBdr>
        <w:top w:val="none" w:sz="0" w:space="0" w:color="auto"/>
        <w:left w:val="none" w:sz="0" w:space="0" w:color="auto"/>
        <w:bottom w:val="none" w:sz="0" w:space="0" w:color="auto"/>
        <w:right w:val="none" w:sz="0" w:space="0" w:color="auto"/>
      </w:divBdr>
    </w:div>
    <w:div w:id="1253932623">
      <w:bodyDiv w:val="1"/>
      <w:marLeft w:val="0"/>
      <w:marRight w:val="0"/>
      <w:marTop w:val="0"/>
      <w:marBottom w:val="0"/>
      <w:divBdr>
        <w:top w:val="none" w:sz="0" w:space="0" w:color="auto"/>
        <w:left w:val="none" w:sz="0" w:space="0" w:color="auto"/>
        <w:bottom w:val="none" w:sz="0" w:space="0" w:color="auto"/>
        <w:right w:val="none" w:sz="0" w:space="0" w:color="auto"/>
      </w:divBdr>
    </w:div>
    <w:div w:id="1288659357">
      <w:bodyDiv w:val="1"/>
      <w:marLeft w:val="0"/>
      <w:marRight w:val="0"/>
      <w:marTop w:val="0"/>
      <w:marBottom w:val="0"/>
      <w:divBdr>
        <w:top w:val="none" w:sz="0" w:space="0" w:color="auto"/>
        <w:left w:val="none" w:sz="0" w:space="0" w:color="auto"/>
        <w:bottom w:val="none" w:sz="0" w:space="0" w:color="auto"/>
        <w:right w:val="none" w:sz="0" w:space="0" w:color="auto"/>
      </w:divBdr>
    </w:div>
    <w:div w:id="1300266714">
      <w:bodyDiv w:val="1"/>
      <w:marLeft w:val="0"/>
      <w:marRight w:val="0"/>
      <w:marTop w:val="0"/>
      <w:marBottom w:val="0"/>
      <w:divBdr>
        <w:top w:val="none" w:sz="0" w:space="0" w:color="auto"/>
        <w:left w:val="none" w:sz="0" w:space="0" w:color="auto"/>
        <w:bottom w:val="none" w:sz="0" w:space="0" w:color="auto"/>
        <w:right w:val="none" w:sz="0" w:space="0" w:color="auto"/>
      </w:divBdr>
    </w:div>
    <w:div w:id="1398287797">
      <w:bodyDiv w:val="1"/>
      <w:marLeft w:val="0"/>
      <w:marRight w:val="0"/>
      <w:marTop w:val="0"/>
      <w:marBottom w:val="0"/>
      <w:divBdr>
        <w:top w:val="none" w:sz="0" w:space="0" w:color="auto"/>
        <w:left w:val="none" w:sz="0" w:space="0" w:color="auto"/>
        <w:bottom w:val="none" w:sz="0" w:space="0" w:color="auto"/>
        <w:right w:val="none" w:sz="0" w:space="0" w:color="auto"/>
      </w:divBdr>
    </w:div>
    <w:div w:id="1417900037">
      <w:bodyDiv w:val="1"/>
      <w:marLeft w:val="0"/>
      <w:marRight w:val="0"/>
      <w:marTop w:val="0"/>
      <w:marBottom w:val="0"/>
      <w:divBdr>
        <w:top w:val="none" w:sz="0" w:space="0" w:color="auto"/>
        <w:left w:val="none" w:sz="0" w:space="0" w:color="auto"/>
        <w:bottom w:val="none" w:sz="0" w:space="0" w:color="auto"/>
        <w:right w:val="none" w:sz="0" w:space="0" w:color="auto"/>
      </w:divBdr>
    </w:div>
    <w:div w:id="1452482316">
      <w:bodyDiv w:val="1"/>
      <w:marLeft w:val="0"/>
      <w:marRight w:val="0"/>
      <w:marTop w:val="0"/>
      <w:marBottom w:val="0"/>
      <w:divBdr>
        <w:top w:val="none" w:sz="0" w:space="0" w:color="auto"/>
        <w:left w:val="none" w:sz="0" w:space="0" w:color="auto"/>
        <w:bottom w:val="none" w:sz="0" w:space="0" w:color="auto"/>
        <w:right w:val="none" w:sz="0" w:space="0" w:color="auto"/>
      </w:divBdr>
      <w:divsChild>
        <w:div w:id="20984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7780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151710">
      <w:bodyDiv w:val="1"/>
      <w:marLeft w:val="0"/>
      <w:marRight w:val="0"/>
      <w:marTop w:val="0"/>
      <w:marBottom w:val="0"/>
      <w:divBdr>
        <w:top w:val="none" w:sz="0" w:space="0" w:color="auto"/>
        <w:left w:val="none" w:sz="0" w:space="0" w:color="auto"/>
        <w:bottom w:val="none" w:sz="0" w:space="0" w:color="auto"/>
        <w:right w:val="none" w:sz="0" w:space="0" w:color="auto"/>
      </w:divBdr>
      <w:divsChild>
        <w:div w:id="208387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0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076152">
      <w:bodyDiv w:val="1"/>
      <w:marLeft w:val="0"/>
      <w:marRight w:val="0"/>
      <w:marTop w:val="0"/>
      <w:marBottom w:val="0"/>
      <w:divBdr>
        <w:top w:val="none" w:sz="0" w:space="0" w:color="auto"/>
        <w:left w:val="none" w:sz="0" w:space="0" w:color="auto"/>
        <w:bottom w:val="none" w:sz="0" w:space="0" w:color="auto"/>
        <w:right w:val="none" w:sz="0" w:space="0" w:color="auto"/>
      </w:divBdr>
    </w:div>
    <w:div w:id="1738481360">
      <w:bodyDiv w:val="1"/>
      <w:marLeft w:val="0"/>
      <w:marRight w:val="0"/>
      <w:marTop w:val="0"/>
      <w:marBottom w:val="0"/>
      <w:divBdr>
        <w:top w:val="none" w:sz="0" w:space="0" w:color="auto"/>
        <w:left w:val="none" w:sz="0" w:space="0" w:color="auto"/>
        <w:bottom w:val="none" w:sz="0" w:space="0" w:color="auto"/>
        <w:right w:val="none" w:sz="0" w:space="0" w:color="auto"/>
      </w:divBdr>
    </w:div>
    <w:div w:id="1770468516">
      <w:bodyDiv w:val="1"/>
      <w:marLeft w:val="0"/>
      <w:marRight w:val="0"/>
      <w:marTop w:val="0"/>
      <w:marBottom w:val="0"/>
      <w:divBdr>
        <w:top w:val="none" w:sz="0" w:space="0" w:color="auto"/>
        <w:left w:val="none" w:sz="0" w:space="0" w:color="auto"/>
        <w:bottom w:val="none" w:sz="0" w:space="0" w:color="auto"/>
        <w:right w:val="none" w:sz="0" w:space="0" w:color="auto"/>
      </w:divBdr>
    </w:div>
    <w:div w:id="1771703565">
      <w:bodyDiv w:val="1"/>
      <w:marLeft w:val="0"/>
      <w:marRight w:val="0"/>
      <w:marTop w:val="0"/>
      <w:marBottom w:val="0"/>
      <w:divBdr>
        <w:top w:val="none" w:sz="0" w:space="0" w:color="auto"/>
        <w:left w:val="none" w:sz="0" w:space="0" w:color="auto"/>
        <w:bottom w:val="none" w:sz="0" w:space="0" w:color="auto"/>
        <w:right w:val="none" w:sz="0" w:space="0" w:color="auto"/>
      </w:divBdr>
    </w:div>
    <w:div w:id="2001421201">
      <w:bodyDiv w:val="1"/>
      <w:marLeft w:val="0"/>
      <w:marRight w:val="0"/>
      <w:marTop w:val="0"/>
      <w:marBottom w:val="0"/>
      <w:divBdr>
        <w:top w:val="none" w:sz="0" w:space="0" w:color="auto"/>
        <w:left w:val="none" w:sz="0" w:space="0" w:color="auto"/>
        <w:bottom w:val="none" w:sz="0" w:space="0" w:color="auto"/>
        <w:right w:val="none" w:sz="0" w:space="0" w:color="auto"/>
      </w:divBdr>
      <w:divsChild>
        <w:div w:id="146303295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4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saivamshi kammampati</dc:creator>
  <cp:keywords/>
  <dc:description/>
  <cp:lastModifiedBy>saivamshi kammampati</cp:lastModifiedBy>
  <cp:revision>3</cp:revision>
  <dcterms:created xsi:type="dcterms:W3CDTF">2025-06-19T16:16:00Z</dcterms:created>
  <dcterms:modified xsi:type="dcterms:W3CDTF">2025-06-20T08:27:00Z</dcterms:modified>
</cp:coreProperties>
</file>