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right"/>
        <w:rPr>
          <w:b w:val="1"/>
          <w:color w:val="b45f06"/>
          <w:sz w:val="24"/>
          <w:szCs w:val="24"/>
        </w:rPr>
      </w:pPr>
      <w:r w:rsidDel="00000000" w:rsidR="00000000" w:rsidRPr="00000000">
        <w:rPr>
          <w:b w:val="1"/>
          <w:color w:val="b45f06"/>
          <w:sz w:val="24"/>
          <w:szCs w:val="24"/>
          <w:rtl w:val="0"/>
        </w:rPr>
        <w:t xml:space="preserve">Kamontat Chantrachirathumrong 5810546552</w:t>
      </w:r>
    </w:p>
    <w:p w:rsidR="00000000" w:rsidDel="00000000" w:rsidP="00000000" w:rsidRDefault="00000000" w:rsidRPr="00000000">
      <w:pPr>
        <w:pBdr/>
        <w:contextualSpacing w:val="0"/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Use case 1: Check validation of id-number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1025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25"/>
        <w:tblGridChange w:id="0">
          <w:tblGrid>
            <w:gridCol w:w="110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validation of id-number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Scope: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Context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User-goal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Actor: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User (Person who use this application)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Stakeholders and Interests: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— who enter input id-number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page — the page that user input to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User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must open the program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Success Guarantee (Postconditions):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User known is input id-number corrected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Main Success Scenario (or Basic flow):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pBdr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User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use keyboard to enter the number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pBdr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Input page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will change the color and text, and let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User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know the result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instantly.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Extensions (or Alternative Flows):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pBdr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User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enter character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pBdr/>
              <w:ind w:left="144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Impossible, since the keyboard show only number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Special Requirements: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null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Variations in Technology and Data: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Frequency of Occurrence: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every time to use this application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Miscellaneous: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pBdr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display available only in english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Use case 2: Enter/Save the id-number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1025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25"/>
        <w:tblGridChange w:id="0">
          <w:tblGrid>
            <w:gridCol w:w="110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enter/save the id-number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Scope: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Context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User-goal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Actor: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User (Person who use this application)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Stakeholders and Interests: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— who want to save input id-number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page — the page that user click enter/save button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The Input Page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must be opened.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User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must input the valid id-number.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Success Guarantee (Postconditions):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User save the id-number to export later.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Main Success Scenario (or Basic flow):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pBdr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User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click on enter 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pBdr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Input number in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Input Page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should disappear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Extensions (or Alternative Flows):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null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Special Requirements: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null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Variations in Technology and Data: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null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Frequency of Occurrence: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every time to use this application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Miscellaneous: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cannot enter invalid id-number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Use case 3: View list of input id-number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1025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25"/>
        <w:tblGridChange w:id="0">
          <w:tblGrid>
            <w:gridCol w:w="110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view list of id-number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Scope: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Context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Subfunction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Actor: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User (Person who use this application)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Stakeholders and Interests: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— who want to know the saved id-number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Page — the page that list all input id-number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User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should save at least 1 id-number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Success Guarantee (Postconditions):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User know all input id-number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Main Success Scenario (or Basic flow):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swipe to the right side or click on List navigation bar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shown the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List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User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look the id-numbers and status of that id-number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Extensions (or Alternative Flows):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null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Special Requirements: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null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Variations in Technology and Data: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null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Frequency of Occurrence: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when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User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need to know the saving id-number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Miscellaneous: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Use case 4: export the id-numbers to excel 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1025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25"/>
        <w:tblGridChange w:id="0">
          <w:tblGrid>
            <w:gridCol w:w="110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export the id-numbers to excel file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Scope: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Context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User-goal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Actor: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User (Person who use this application)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Stakeholders and Interests: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— who want to export saved id-number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User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should save at least 1 id-number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Success Guarantee (Postconditions):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User get excel file (xls)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Main Success Scenario (or Basic flow):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User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click on 3 dot at right side of the screen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User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choose the Export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User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allow the permission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User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choose to delete saving id-number while export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User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enter file name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User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get dialog show export result and location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Extensions (or Alternative Flows):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pBdr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disallow permission</w:t>
            </w:r>
          </w:p>
          <w:p w:rsidR="00000000" w:rsidDel="00000000" w:rsidP="00000000" w:rsidRDefault="00000000" w:rsidRPr="00000000">
            <w:pPr>
              <w:numPr>
                <w:ilvl w:val="1"/>
                <w:numId w:val="9"/>
              </w:numPr>
              <w:pBdr/>
              <w:ind w:left="144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export feature should disable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 export again, after disallow permission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pBdr/>
              <w:ind w:left="144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dialog ask user for sure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disallow and click Don’t Show again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pBdr/>
              <w:ind w:left="144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export button should disappear or unclickable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don’t know the file location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pBdr/>
              <w:ind w:left="144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Application should navigate to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cannot export / save the file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pBdr/>
              <w:ind w:left="144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should talk to developer to find out, why?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Special Requirements: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Variations in Technology and Data: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null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Frequency of Occurrence: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when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User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want to use id-number in other ways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Miscellaneous: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syntax from: http://www.csci.csusb.edu/dick/samples/usecases.html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