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3A6" w14:textId="77777777" w:rsidR="007D72C2" w:rsidRPr="006B621E" w:rsidRDefault="00A537D1">
      <w:pPr>
        <w:pStyle w:val="Title"/>
        <w:jc w:val="center"/>
        <w:rPr>
          <w:rFonts w:ascii="Times New Roman" w:hAnsi="Times New Roman" w:cs="Times New Roman"/>
          <w:color w:val="000000" w:themeColor="text1"/>
        </w:rPr>
      </w:pPr>
      <w:r w:rsidRPr="006B621E">
        <w:rPr>
          <w:rFonts w:ascii="Times New Roman" w:hAnsi="Times New Roman" w:cs="Times New Roman"/>
          <w:color w:val="000000" w:themeColor="text1"/>
        </w:rPr>
        <w:t>Business Summary Report: Predictive Insights for Collections Strategy</w:t>
      </w:r>
    </w:p>
    <w:p w14:paraId="2F4337BF" w14:textId="77777777" w:rsidR="007D72C2" w:rsidRPr="006B621E" w:rsidRDefault="00A537D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6B621E">
        <w:rPr>
          <w:rFonts w:ascii="Times New Roman" w:hAnsi="Times New Roman" w:cs="Times New Roman"/>
          <w:color w:val="000000" w:themeColor="text1"/>
        </w:rPr>
        <w:t>1. Summary of Predictive Insights</w:t>
      </w:r>
    </w:p>
    <w:p w14:paraId="59094BB7" w14:textId="34634247" w:rsidR="00A36DBA" w:rsidRPr="006B621E" w:rsidRDefault="00A537D1" w:rsidP="00A36DBA">
      <w:pPr>
        <w:rPr>
          <w:rFonts w:ascii="Times New Roman" w:hAnsi="Times New Roman" w:cs="Times New Roman"/>
          <w:color w:val="000000" w:themeColor="text1"/>
          <w:lang w:val="en-IN"/>
        </w:rPr>
      </w:pPr>
      <w:r w:rsidRPr="006B621E">
        <w:rPr>
          <w:rFonts w:ascii="Times New Roman" w:hAnsi="Times New Roman" w:cs="Times New Roman"/>
          <w:color w:val="000000" w:themeColor="text1"/>
        </w:rPr>
        <w:br/>
      </w:r>
      <w:r w:rsidR="00A36DBA" w:rsidRPr="006B621E">
        <w:rPr>
          <w:rFonts w:ascii="Times New Roman" w:hAnsi="Times New Roman" w:cs="Times New Roman"/>
          <w:color w:val="000000" w:themeColor="text1"/>
          <w:lang w:val="en-IN"/>
        </w:rPr>
        <w:t xml:space="preserve">Our predictive model, developed using </w:t>
      </w:r>
      <w:proofErr w:type="spellStart"/>
      <w:r w:rsidR="00A36DBA" w:rsidRPr="006B621E">
        <w:rPr>
          <w:rFonts w:ascii="Times New Roman" w:hAnsi="Times New Roman" w:cs="Times New Roman"/>
          <w:color w:val="000000" w:themeColor="text1"/>
          <w:lang w:val="en-IN"/>
        </w:rPr>
        <w:t>Geldium’s</w:t>
      </w:r>
      <w:proofErr w:type="spellEnd"/>
      <w:r w:rsidR="00A36DBA" w:rsidRPr="006B621E">
        <w:rPr>
          <w:rFonts w:ascii="Times New Roman" w:hAnsi="Times New Roman" w:cs="Times New Roman"/>
          <w:color w:val="000000" w:themeColor="text1"/>
          <w:lang w:val="en-IN"/>
        </w:rPr>
        <w:t xml:space="preserve"> delinquency dataset, highlights several patterns that help identify customers most at risk of default. These insights combine financial ratios, </w:t>
      </w:r>
      <w:proofErr w:type="spellStart"/>
      <w:r w:rsidR="00A36DBA" w:rsidRPr="006B621E">
        <w:rPr>
          <w:rFonts w:ascii="Times New Roman" w:hAnsi="Times New Roman" w:cs="Times New Roman"/>
          <w:color w:val="000000" w:themeColor="text1"/>
          <w:lang w:val="en-IN"/>
        </w:rPr>
        <w:t>behavioral</w:t>
      </w:r>
      <w:proofErr w:type="spellEnd"/>
      <w:r w:rsidR="00A36DBA" w:rsidRPr="006B621E">
        <w:rPr>
          <w:rFonts w:ascii="Times New Roman" w:hAnsi="Times New Roman" w:cs="Times New Roman"/>
          <w:color w:val="000000" w:themeColor="text1"/>
          <w:lang w:val="en-IN"/>
        </w:rPr>
        <w:t xml:space="preserve"> history, and demographic factors to provide a clearer picture of risk.</w:t>
      </w:r>
    </w:p>
    <w:p w14:paraId="54AA86D1" w14:textId="77777777" w:rsidR="00A36DBA" w:rsidRPr="00A36DBA" w:rsidRDefault="00A36DBA" w:rsidP="00A36DBA">
      <w:pPr>
        <w:rPr>
          <w:rFonts w:ascii="Times New Roman" w:hAnsi="Times New Roman" w:cs="Times New Roman"/>
          <w:color w:val="000000" w:themeColor="text1"/>
          <w:lang w:val="en-IN"/>
        </w:rPr>
      </w:pPr>
      <w:r w:rsidRPr="00A36DBA">
        <w:rPr>
          <w:rFonts w:ascii="Times New Roman" w:hAnsi="Times New Roman" w:cs="Times New Roman"/>
          <w:b/>
          <w:bCs/>
          <w:color w:val="000000" w:themeColor="text1"/>
          <w:lang w:val="en-IN"/>
        </w:rPr>
        <w:t>Top 3 Risk Factors</w:t>
      </w:r>
    </w:p>
    <w:p w14:paraId="2D02E9E0" w14:textId="77777777" w:rsidR="00A36DBA" w:rsidRPr="00A36DBA" w:rsidRDefault="00A36DBA" w:rsidP="00A36DBA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A36DBA">
        <w:rPr>
          <w:rFonts w:ascii="Times New Roman" w:hAnsi="Times New Roman" w:cs="Times New Roman"/>
          <w:b/>
          <w:bCs/>
          <w:color w:val="000000" w:themeColor="text1"/>
          <w:lang w:val="en-IN"/>
        </w:rPr>
        <w:t>Credit Utilization</w:t>
      </w:r>
      <w:r w:rsidRPr="00A36DBA">
        <w:rPr>
          <w:rFonts w:ascii="Times New Roman" w:hAnsi="Times New Roman" w:cs="Times New Roman"/>
          <w:color w:val="000000" w:themeColor="text1"/>
          <w:lang w:val="en-IN"/>
        </w:rPr>
        <w:t xml:space="preserve"> – Delinquent customers, on average, use a higher share of their available credit (0.507) than non-delinquent customers (0.489). Over-reliance on credit is a strong signal of potential delinquency.</w:t>
      </w:r>
    </w:p>
    <w:p w14:paraId="63D30A11" w14:textId="77777777" w:rsidR="00A36DBA" w:rsidRPr="00A36DBA" w:rsidRDefault="00A36DBA" w:rsidP="00A36DBA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A36DBA">
        <w:rPr>
          <w:rFonts w:ascii="Times New Roman" w:hAnsi="Times New Roman" w:cs="Times New Roman"/>
          <w:b/>
          <w:bCs/>
          <w:color w:val="000000" w:themeColor="text1"/>
          <w:lang w:val="en-IN"/>
        </w:rPr>
        <w:t>Debt-to-Income Ratio (DTI)</w:t>
      </w:r>
      <w:r w:rsidRPr="00A36DBA">
        <w:rPr>
          <w:rFonts w:ascii="Times New Roman" w:hAnsi="Times New Roman" w:cs="Times New Roman"/>
          <w:color w:val="000000" w:themeColor="text1"/>
          <w:lang w:val="en-IN"/>
        </w:rPr>
        <w:t xml:space="preserve"> – Higher ratios among delinquent customers (0.306 vs. 0.297) suggest financial stress and difficulty managing repayment obligations.</w:t>
      </w:r>
    </w:p>
    <w:p w14:paraId="32362A42" w14:textId="77777777" w:rsidR="00A36DBA" w:rsidRPr="00A36DBA" w:rsidRDefault="00A36DBA" w:rsidP="00A36DBA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A36DBA">
        <w:rPr>
          <w:rFonts w:ascii="Times New Roman" w:hAnsi="Times New Roman" w:cs="Times New Roman"/>
          <w:b/>
          <w:bCs/>
          <w:color w:val="000000" w:themeColor="text1"/>
          <w:lang w:val="en-IN"/>
        </w:rPr>
        <w:t xml:space="preserve">Payment </w:t>
      </w:r>
      <w:proofErr w:type="spellStart"/>
      <w:r w:rsidRPr="00A36DBA">
        <w:rPr>
          <w:rFonts w:ascii="Times New Roman" w:hAnsi="Times New Roman" w:cs="Times New Roman"/>
          <w:b/>
          <w:bCs/>
          <w:color w:val="000000" w:themeColor="text1"/>
          <w:lang w:val="en-IN"/>
        </w:rPr>
        <w:t>Behavior</w:t>
      </w:r>
      <w:proofErr w:type="spellEnd"/>
      <w:r w:rsidRPr="00A36DBA">
        <w:rPr>
          <w:rFonts w:ascii="Times New Roman" w:hAnsi="Times New Roman" w:cs="Times New Roman"/>
          <w:b/>
          <w:bCs/>
          <w:color w:val="000000" w:themeColor="text1"/>
          <w:lang w:val="en-IN"/>
        </w:rPr>
        <w:t xml:space="preserve"> &amp; History</w:t>
      </w:r>
      <w:r w:rsidRPr="00A36DBA">
        <w:rPr>
          <w:rFonts w:ascii="Times New Roman" w:hAnsi="Times New Roman" w:cs="Times New Roman"/>
          <w:color w:val="000000" w:themeColor="text1"/>
          <w:lang w:val="en-IN"/>
        </w:rPr>
        <w:t xml:space="preserve"> – Customers with frequent late or missed payments over the past six months are significantly more likely to become delinquent.</w:t>
      </w:r>
    </w:p>
    <w:p w14:paraId="50978634" w14:textId="3E54ED07" w:rsidR="00A537D1" w:rsidRPr="006B621E" w:rsidRDefault="00A36DBA">
      <w:pPr>
        <w:rPr>
          <w:rFonts w:ascii="Times New Roman" w:hAnsi="Times New Roman" w:cs="Times New Roman"/>
          <w:color w:val="000000" w:themeColor="text1"/>
          <w:lang w:val="en-IN"/>
        </w:rPr>
      </w:pPr>
      <w:r w:rsidRPr="00A36DBA">
        <w:rPr>
          <w:rFonts w:ascii="Times New Roman" w:hAnsi="Times New Roman" w:cs="Times New Roman"/>
          <w:b/>
          <w:bCs/>
          <w:color w:val="000000" w:themeColor="text1"/>
          <w:lang w:val="en-IN"/>
        </w:rPr>
        <w:t>Unexpected Patterns</w:t>
      </w:r>
      <w:r w:rsidRPr="00A36DBA">
        <w:rPr>
          <w:rFonts w:ascii="Times New Roman" w:hAnsi="Times New Roman" w:cs="Times New Roman"/>
          <w:color w:val="000000" w:themeColor="text1"/>
          <w:lang w:val="en-IN"/>
        </w:rPr>
        <w:br/>
        <w:t xml:space="preserve">Interestingly, some delinquent customers reported </w:t>
      </w:r>
      <w:r w:rsidRPr="00A36DBA">
        <w:rPr>
          <w:rFonts w:ascii="Times New Roman" w:hAnsi="Times New Roman" w:cs="Times New Roman"/>
          <w:b/>
          <w:bCs/>
          <w:color w:val="000000" w:themeColor="text1"/>
          <w:lang w:val="en-IN"/>
        </w:rPr>
        <w:t>higher incomes and credit scores</w:t>
      </w:r>
      <w:r w:rsidRPr="00A36DBA">
        <w:rPr>
          <w:rFonts w:ascii="Times New Roman" w:hAnsi="Times New Roman" w:cs="Times New Roman"/>
          <w:color w:val="000000" w:themeColor="text1"/>
          <w:lang w:val="en-IN"/>
        </w:rPr>
        <w:t xml:space="preserve"> compared to non-delinquent peers. This anomaly indicates that delinquency is not solely linked to low financial standing, but also to </w:t>
      </w:r>
      <w:proofErr w:type="spellStart"/>
      <w:r w:rsidRPr="00A36DBA">
        <w:rPr>
          <w:rFonts w:ascii="Times New Roman" w:hAnsi="Times New Roman" w:cs="Times New Roman"/>
          <w:b/>
          <w:bCs/>
          <w:color w:val="000000" w:themeColor="text1"/>
          <w:lang w:val="en-IN"/>
        </w:rPr>
        <w:t>behavioral</w:t>
      </w:r>
      <w:proofErr w:type="spellEnd"/>
      <w:r w:rsidRPr="00A36DBA">
        <w:rPr>
          <w:rFonts w:ascii="Times New Roman" w:hAnsi="Times New Roman" w:cs="Times New Roman"/>
          <w:b/>
          <w:bCs/>
          <w:color w:val="000000" w:themeColor="text1"/>
          <w:lang w:val="en-IN"/>
        </w:rPr>
        <w:t xml:space="preserve"> or short-term financial shocks</w:t>
      </w:r>
      <w:r w:rsidRPr="00A36DBA">
        <w:rPr>
          <w:rFonts w:ascii="Times New Roman" w:hAnsi="Times New Roman" w:cs="Times New Roman"/>
          <w:color w:val="000000" w:themeColor="text1"/>
          <w:lang w:val="en-IN"/>
        </w:rPr>
        <w:t>.</w:t>
      </w:r>
    </w:p>
    <w:p w14:paraId="1119ACB9" w14:textId="77777777" w:rsidR="00A36DBA" w:rsidRPr="00A36DBA" w:rsidRDefault="00A36DBA" w:rsidP="00A36DBA">
      <w:pPr>
        <w:rPr>
          <w:rFonts w:ascii="Times New Roman" w:hAnsi="Times New Roman" w:cs="Times New Roman"/>
          <w:color w:val="000000" w:themeColor="text1"/>
          <w:lang w:val="en-IN"/>
        </w:rPr>
      </w:pPr>
      <w:r w:rsidRPr="00A36DBA">
        <w:rPr>
          <w:rFonts w:ascii="Times New Roman" w:hAnsi="Times New Roman" w:cs="Times New Roman"/>
          <w:b/>
          <w:bCs/>
          <w:color w:val="000000" w:themeColor="text1"/>
          <w:lang w:val="en-IN"/>
        </w:rPr>
        <w:t>High-Risk Segments Identified</w:t>
      </w:r>
    </w:p>
    <w:p w14:paraId="2103F2BA" w14:textId="77777777" w:rsidR="00A36DBA" w:rsidRPr="00A36DBA" w:rsidRDefault="00A36DBA" w:rsidP="00A36DB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A36DBA">
        <w:rPr>
          <w:rFonts w:ascii="Times New Roman" w:hAnsi="Times New Roman" w:cs="Times New Roman"/>
          <w:color w:val="000000" w:themeColor="text1"/>
          <w:lang w:val="en-IN"/>
        </w:rPr>
        <w:t>Younger customers (&lt;30 years) with high utilization and multiple missed payments.</w:t>
      </w:r>
    </w:p>
    <w:p w14:paraId="2F8381EB" w14:textId="77777777" w:rsidR="00A36DBA" w:rsidRPr="00A36DBA" w:rsidRDefault="00A36DBA" w:rsidP="00A36DBA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A36DBA">
        <w:rPr>
          <w:rFonts w:ascii="Times New Roman" w:hAnsi="Times New Roman" w:cs="Times New Roman"/>
          <w:color w:val="000000" w:themeColor="text1"/>
          <w:lang w:val="en-IN"/>
        </w:rPr>
        <w:t>Customers whose DTI continues to rise despite stable or above-average income.</w:t>
      </w:r>
    </w:p>
    <w:p w14:paraId="7363C1C2" w14:textId="5C351351" w:rsidR="00A36DBA" w:rsidRPr="006B621E" w:rsidRDefault="00A36DBA" w:rsidP="007C1B49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A36DBA">
        <w:rPr>
          <w:rFonts w:ascii="Times New Roman" w:hAnsi="Times New Roman" w:cs="Times New Roman"/>
          <w:color w:val="000000" w:themeColor="text1"/>
          <w:lang w:val="en-IN"/>
        </w:rPr>
        <w:t>Customers in certain locations or with specific card types where late payments cluster.</w:t>
      </w:r>
    </w:p>
    <w:p w14:paraId="72833B3F" w14:textId="77777777" w:rsidR="007D72C2" w:rsidRPr="006B621E" w:rsidRDefault="00A537D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6B621E">
        <w:rPr>
          <w:rFonts w:ascii="Times New Roman" w:hAnsi="Times New Roman" w:cs="Times New Roman"/>
          <w:color w:val="000000" w:themeColor="text1"/>
        </w:rPr>
        <w:t>2. Recommendation Framework</w:t>
      </w:r>
    </w:p>
    <w:p w14:paraId="3EBC3F3B" w14:textId="77777777" w:rsidR="00A36DBA" w:rsidRPr="00A36DBA" w:rsidRDefault="00A36DBA" w:rsidP="00A36DBA">
      <w:pPr>
        <w:rPr>
          <w:rFonts w:ascii="Times New Roman" w:hAnsi="Times New Roman" w:cs="Times New Roman"/>
          <w:lang w:val="en-IN"/>
        </w:rPr>
      </w:pPr>
      <w:r w:rsidRPr="00A36DBA">
        <w:rPr>
          <w:rFonts w:ascii="Times New Roman" w:hAnsi="Times New Roman" w:cs="Times New Roman"/>
          <w:b/>
          <w:bCs/>
          <w:lang w:val="en-IN"/>
        </w:rPr>
        <w:t>Restated Insight</w:t>
      </w:r>
      <w:r w:rsidRPr="00A36DBA">
        <w:rPr>
          <w:rFonts w:ascii="Times New Roman" w:hAnsi="Times New Roman" w:cs="Times New Roman"/>
          <w:lang w:val="en-IN"/>
        </w:rPr>
        <w:br/>
        <w:t xml:space="preserve">Customers with </w:t>
      </w:r>
      <w:r w:rsidRPr="00A36DBA">
        <w:rPr>
          <w:rFonts w:ascii="Times New Roman" w:hAnsi="Times New Roman" w:cs="Times New Roman"/>
          <w:b/>
          <w:bCs/>
          <w:lang w:val="en-IN"/>
        </w:rPr>
        <w:t>high credit utilization (&gt;50%)</w:t>
      </w:r>
      <w:r w:rsidRPr="00A36DBA">
        <w:rPr>
          <w:rFonts w:ascii="Times New Roman" w:hAnsi="Times New Roman" w:cs="Times New Roman"/>
          <w:lang w:val="en-IN"/>
        </w:rPr>
        <w:t xml:space="preserve"> are significantly more likely to become delinquent.</w:t>
      </w:r>
    </w:p>
    <w:p w14:paraId="56D291E0" w14:textId="77777777" w:rsidR="00A36DBA" w:rsidRPr="00A36DBA" w:rsidRDefault="00A36DBA" w:rsidP="00A36DBA">
      <w:pPr>
        <w:rPr>
          <w:rFonts w:ascii="Times New Roman" w:hAnsi="Times New Roman" w:cs="Times New Roman"/>
          <w:lang w:val="en-IN"/>
        </w:rPr>
      </w:pPr>
      <w:r w:rsidRPr="00A36DBA">
        <w:rPr>
          <w:rFonts w:ascii="Times New Roman" w:hAnsi="Times New Roman" w:cs="Times New Roman"/>
          <w:b/>
          <w:bCs/>
          <w:lang w:val="en-IN"/>
        </w:rPr>
        <w:t>Proposed Recommendation (SMART)</w:t>
      </w:r>
    </w:p>
    <w:p w14:paraId="6733173D" w14:textId="77777777" w:rsidR="00A36DBA" w:rsidRPr="00A36DBA" w:rsidRDefault="00A36DBA" w:rsidP="00A36DBA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A36DBA">
        <w:rPr>
          <w:rFonts w:ascii="Times New Roman" w:hAnsi="Times New Roman" w:cs="Times New Roman"/>
          <w:b/>
          <w:bCs/>
          <w:lang w:val="en-IN"/>
        </w:rPr>
        <w:t>Specific:</w:t>
      </w:r>
      <w:r w:rsidRPr="00A36DBA">
        <w:rPr>
          <w:rFonts w:ascii="Times New Roman" w:hAnsi="Times New Roman" w:cs="Times New Roman"/>
          <w:lang w:val="en-IN"/>
        </w:rPr>
        <w:t xml:space="preserve"> Launch a </w:t>
      </w:r>
      <w:r w:rsidRPr="00A36DBA">
        <w:rPr>
          <w:rFonts w:ascii="Times New Roman" w:hAnsi="Times New Roman" w:cs="Times New Roman"/>
          <w:b/>
          <w:bCs/>
          <w:lang w:val="en-IN"/>
        </w:rPr>
        <w:t>6-week pilot SMS and email outreach program</w:t>
      </w:r>
      <w:r w:rsidRPr="00A36DBA">
        <w:rPr>
          <w:rFonts w:ascii="Times New Roman" w:hAnsi="Times New Roman" w:cs="Times New Roman"/>
          <w:lang w:val="en-IN"/>
        </w:rPr>
        <w:t xml:space="preserve"> targeting customers with utilization &gt;0.5.</w:t>
      </w:r>
    </w:p>
    <w:p w14:paraId="2E0F6956" w14:textId="77777777" w:rsidR="00A36DBA" w:rsidRPr="00A36DBA" w:rsidRDefault="00A36DBA" w:rsidP="00A36DBA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A36DBA">
        <w:rPr>
          <w:rFonts w:ascii="Times New Roman" w:hAnsi="Times New Roman" w:cs="Times New Roman"/>
          <w:b/>
          <w:bCs/>
          <w:lang w:val="en-IN"/>
        </w:rPr>
        <w:lastRenderedPageBreak/>
        <w:t>Measurable:</w:t>
      </w:r>
      <w:r w:rsidRPr="00A36DBA">
        <w:rPr>
          <w:rFonts w:ascii="Times New Roman" w:hAnsi="Times New Roman" w:cs="Times New Roman"/>
          <w:lang w:val="en-IN"/>
        </w:rPr>
        <w:t xml:space="preserve"> Aim to reduce </w:t>
      </w:r>
      <w:r w:rsidRPr="00A36DBA">
        <w:rPr>
          <w:rFonts w:ascii="Times New Roman" w:hAnsi="Times New Roman" w:cs="Times New Roman"/>
          <w:b/>
          <w:bCs/>
          <w:lang w:val="en-IN"/>
        </w:rPr>
        <w:t>30+ day delinquency by at least 10%</w:t>
      </w:r>
      <w:r w:rsidRPr="00A36DBA">
        <w:rPr>
          <w:rFonts w:ascii="Times New Roman" w:hAnsi="Times New Roman" w:cs="Times New Roman"/>
          <w:lang w:val="en-IN"/>
        </w:rPr>
        <w:t xml:space="preserve"> within this pilot group.</w:t>
      </w:r>
    </w:p>
    <w:p w14:paraId="2048CA7B" w14:textId="77777777" w:rsidR="00A36DBA" w:rsidRPr="00A36DBA" w:rsidRDefault="00A36DBA" w:rsidP="00A36DBA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A36DBA">
        <w:rPr>
          <w:rFonts w:ascii="Times New Roman" w:hAnsi="Times New Roman" w:cs="Times New Roman"/>
          <w:b/>
          <w:bCs/>
          <w:lang w:val="en-IN"/>
        </w:rPr>
        <w:t>Actionable:</w:t>
      </w:r>
      <w:r w:rsidRPr="00A36DBA">
        <w:rPr>
          <w:rFonts w:ascii="Times New Roman" w:hAnsi="Times New Roman" w:cs="Times New Roman"/>
          <w:lang w:val="en-IN"/>
        </w:rPr>
        <w:t xml:space="preserve"> Use </w:t>
      </w:r>
      <w:proofErr w:type="spellStart"/>
      <w:r w:rsidRPr="00A36DBA">
        <w:rPr>
          <w:rFonts w:ascii="Times New Roman" w:hAnsi="Times New Roman" w:cs="Times New Roman"/>
          <w:lang w:val="en-IN"/>
        </w:rPr>
        <w:t>Geldium’s</w:t>
      </w:r>
      <w:proofErr w:type="spellEnd"/>
      <w:r w:rsidRPr="00A36DBA">
        <w:rPr>
          <w:rFonts w:ascii="Times New Roman" w:hAnsi="Times New Roman" w:cs="Times New Roman"/>
          <w:lang w:val="en-IN"/>
        </w:rPr>
        <w:t xml:space="preserve"> existing CRM and communication channels to deliver reminders and personalized repayment plan offers.</w:t>
      </w:r>
    </w:p>
    <w:p w14:paraId="238C9A0A" w14:textId="77777777" w:rsidR="00A36DBA" w:rsidRPr="00A36DBA" w:rsidRDefault="00A36DBA" w:rsidP="00A36DBA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A36DBA">
        <w:rPr>
          <w:rFonts w:ascii="Times New Roman" w:hAnsi="Times New Roman" w:cs="Times New Roman"/>
          <w:b/>
          <w:bCs/>
          <w:lang w:val="en-IN"/>
        </w:rPr>
        <w:t>Relevant:</w:t>
      </w:r>
      <w:r w:rsidRPr="00A36DBA">
        <w:rPr>
          <w:rFonts w:ascii="Times New Roman" w:hAnsi="Times New Roman" w:cs="Times New Roman"/>
          <w:lang w:val="en-IN"/>
        </w:rPr>
        <w:t xml:space="preserve"> Addresses one of the strongest predictors of delinquency while aligning with the company’s goal of reducing risk exposure.</w:t>
      </w:r>
    </w:p>
    <w:p w14:paraId="63FE44CD" w14:textId="77777777" w:rsidR="00A36DBA" w:rsidRPr="00A36DBA" w:rsidRDefault="00A36DBA" w:rsidP="00A36DBA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A36DBA">
        <w:rPr>
          <w:rFonts w:ascii="Times New Roman" w:hAnsi="Times New Roman" w:cs="Times New Roman"/>
          <w:b/>
          <w:bCs/>
          <w:lang w:val="en-IN"/>
        </w:rPr>
        <w:t>Time-bound:</w:t>
      </w:r>
      <w:r w:rsidRPr="00A36DBA">
        <w:rPr>
          <w:rFonts w:ascii="Times New Roman" w:hAnsi="Times New Roman" w:cs="Times New Roman"/>
          <w:lang w:val="en-IN"/>
        </w:rPr>
        <w:t xml:space="preserve"> Run the pilot for 6 weeks, followed by a review of delinquency outcomes and return on investment.</w:t>
      </w:r>
    </w:p>
    <w:p w14:paraId="2CA25E24" w14:textId="77777777" w:rsidR="00A36DBA" w:rsidRPr="00A36DBA" w:rsidRDefault="00A36DBA" w:rsidP="00A36DBA">
      <w:pPr>
        <w:rPr>
          <w:rFonts w:ascii="Times New Roman" w:hAnsi="Times New Roman" w:cs="Times New Roman"/>
          <w:lang w:val="en-IN"/>
        </w:rPr>
      </w:pPr>
      <w:r w:rsidRPr="00A36DBA">
        <w:rPr>
          <w:rFonts w:ascii="Times New Roman" w:hAnsi="Times New Roman" w:cs="Times New Roman"/>
          <w:b/>
          <w:bCs/>
          <w:lang w:val="en-IN"/>
        </w:rPr>
        <w:t>Justification and Business Rationale</w:t>
      </w:r>
      <w:r w:rsidRPr="00A36DBA">
        <w:rPr>
          <w:rFonts w:ascii="Times New Roman" w:hAnsi="Times New Roman" w:cs="Times New Roman"/>
          <w:lang w:val="en-IN"/>
        </w:rPr>
        <w:br/>
        <w:t xml:space="preserve">This intervention is </w:t>
      </w:r>
      <w:r w:rsidRPr="00A36DBA">
        <w:rPr>
          <w:rFonts w:ascii="Times New Roman" w:hAnsi="Times New Roman" w:cs="Times New Roman"/>
          <w:b/>
          <w:bCs/>
          <w:lang w:val="en-IN"/>
        </w:rPr>
        <w:t xml:space="preserve">low-cost, scalable, and </w:t>
      </w:r>
      <w:proofErr w:type="gramStart"/>
      <w:r w:rsidRPr="00A36DBA">
        <w:rPr>
          <w:rFonts w:ascii="Times New Roman" w:hAnsi="Times New Roman" w:cs="Times New Roman"/>
          <w:b/>
          <w:bCs/>
          <w:lang w:val="en-IN"/>
        </w:rPr>
        <w:t>customer-friendly</w:t>
      </w:r>
      <w:proofErr w:type="gramEnd"/>
      <w:r w:rsidRPr="00A36DBA">
        <w:rPr>
          <w:rFonts w:ascii="Times New Roman" w:hAnsi="Times New Roman" w:cs="Times New Roman"/>
          <w:lang w:val="en-IN"/>
        </w:rPr>
        <w:t xml:space="preserve">. By sending proactive reminders and repayment plan options, </w:t>
      </w:r>
      <w:proofErr w:type="spellStart"/>
      <w:r w:rsidRPr="00A36DBA">
        <w:rPr>
          <w:rFonts w:ascii="Times New Roman" w:hAnsi="Times New Roman" w:cs="Times New Roman"/>
          <w:lang w:val="en-IN"/>
        </w:rPr>
        <w:t>Geldium</w:t>
      </w:r>
      <w:proofErr w:type="spellEnd"/>
      <w:r w:rsidRPr="00A36DBA">
        <w:rPr>
          <w:rFonts w:ascii="Times New Roman" w:hAnsi="Times New Roman" w:cs="Times New Roman"/>
          <w:lang w:val="en-IN"/>
        </w:rPr>
        <w:t xml:space="preserve"> can reduce delinquency without penalizing customers. The approach supports both </w:t>
      </w:r>
      <w:r w:rsidRPr="00A36DBA">
        <w:rPr>
          <w:rFonts w:ascii="Times New Roman" w:hAnsi="Times New Roman" w:cs="Times New Roman"/>
          <w:b/>
          <w:bCs/>
          <w:lang w:val="en-IN"/>
        </w:rPr>
        <w:t>risk reduction and customer retention</w:t>
      </w:r>
      <w:r w:rsidRPr="00A36DBA">
        <w:rPr>
          <w:rFonts w:ascii="Times New Roman" w:hAnsi="Times New Roman" w:cs="Times New Roman"/>
          <w:lang w:val="en-IN"/>
        </w:rPr>
        <w:t>, strengthening long-term relationships while improving recovery rates.</w:t>
      </w:r>
    </w:p>
    <w:p w14:paraId="276DDD8D" w14:textId="77777777" w:rsidR="00A36DBA" w:rsidRPr="006B621E" w:rsidRDefault="00A36DBA" w:rsidP="00A36DBA">
      <w:pPr>
        <w:rPr>
          <w:rFonts w:ascii="Times New Roman" w:hAnsi="Times New Roman" w:cs="Times New Roman"/>
        </w:rPr>
      </w:pPr>
    </w:p>
    <w:p w14:paraId="08E6A272" w14:textId="77777777" w:rsidR="007D72C2" w:rsidRPr="006B621E" w:rsidRDefault="00A537D1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6B621E">
        <w:rPr>
          <w:rFonts w:ascii="Times New Roman" w:hAnsi="Times New Roman" w:cs="Times New Roman"/>
          <w:color w:val="000000" w:themeColor="text1"/>
        </w:rPr>
        <w:t>3. Ethical and Responsible AI Considerations</w:t>
      </w:r>
    </w:p>
    <w:p w14:paraId="7B9D9CCD" w14:textId="77777777" w:rsidR="007C1B49" w:rsidRPr="007C1B49" w:rsidRDefault="007C1B49" w:rsidP="007C1B49">
      <w:pPr>
        <w:rPr>
          <w:rFonts w:ascii="Times New Roman" w:hAnsi="Times New Roman" w:cs="Times New Roman"/>
          <w:color w:val="000000" w:themeColor="text1"/>
          <w:lang w:val="en-IN"/>
        </w:rPr>
      </w:pPr>
      <w:r w:rsidRPr="007C1B49">
        <w:rPr>
          <w:rFonts w:ascii="Times New Roman" w:hAnsi="Times New Roman" w:cs="Times New Roman"/>
          <w:b/>
          <w:bCs/>
          <w:color w:val="000000" w:themeColor="text1"/>
          <w:lang w:val="en-IN"/>
        </w:rPr>
        <w:t>Fairness and Bias Risks</w:t>
      </w:r>
    </w:p>
    <w:p w14:paraId="68956AD1" w14:textId="77777777" w:rsidR="007C1B49" w:rsidRPr="007C1B49" w:rsidRDefault="007C1B49" w:rsidP="007C1B4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7C1B49">
        <w:rPr>
          <w:rFonts w:ascii="Times New Roman" w:hAnsi="Times New Roman" w:cs="Times New Roman"/>
          <w:b/>
          <w:bCs/>
          <w:color w:val="000000" w:themeColor="text1"/>
          <w:lang w:val="en-IN"/>
        </w:rPr>
        <w:t>Income Bias:</w:t>
      </w:r>
      <w:r w:rsidRPr="007C1B49">
        <w:rPr>
          <w:rFonts w:ascii="Times New Roman" w:hAnsi="Times New Roman" w:cs="Times New Roman"/>
          <w:color w:val="000000" w:themeColor="text1"/>
          <w:lang w:val="en-IN"/>
        </w:rPr>
        <w:t xml:space="preserve"> Higher-income customers also appear at risk. If left unchecked, the model could unfairly emphasize low-income groups.</w:t>
      </w:r>
      <w:r w:rsidRPr="007C1B49">
        <w:rPr>
          <w:rFonts w:ascii="Times New Roman" w:hAnsi="Times New Roman" w:cs="Times New Roman"/>
          <w:color w:val="000000" w:themeColor="text1"/>
          <w:lang w:val="en-IN"/>
        </w:rPr>
        <w:br/>
      </w:r>
      <w:r w:rsidRPr="007C1B49">
        <w:rPr>
          <w:rFonts w:ascii="Times New Roman" w:hAnsi="Times New Roman" w:cs="Times New Roman"/>
          <w:i/>
          <w:iCs/>
          <w:color w:val="000000" w:themeColor="text1"/>
          <w:lang w:val="en-IN"/>
        </w:rPr>
        <w:t>Mitigation:</w:t>
      </w:r>
      <w:r w:rsidRPr="007C1B49">
        <w:rPr>
          <w:rFonts w:ascii="Times New Roman" w:hAnsi="Times New Roman" w:cs="Times New Roman"/>
          <w:color w:val="000000" w:themeColor="text1"/>
          <w:lang w:val="en-IN"/>
        </w:rPr>
        <w:t xml:space="preserve"> Regular fairness testing across income bands, with balanced training data.</w:t>
      </w:r>
    </w:p>
    <w:p w14:paraId="472FC7FD" w14:textId="77777777" w:rsidR="007C1B49" w:rsidRPr="007C1B49" w:rsidRDefault="007C1B49" w:rsidP="007C1B4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lang w:val="en-IN"/>
        </w:rPr>
      </w:pPr>
      <w:r w:rsidRPr="007C1B49">
        <w:rPr>
          <w:rFonts w:ascii="Times New Roman" w:hAnsi="Times New Roman" w:cs="Times New Roman"/>
          <w:b/>
          <w:bCs/>
          <w:color w:val="000000" w:themeColor="text1"/>
          <w:lang w:val="en-IN"/>
        </w:rPr>
        <w:t>Location Bias:</w:t>
      </w:r>
      <w:r w:rsidRPr="007C1B49">
        <w:rPr>
          <w:rFonts w:ascii="Times New Roman" w:hAnsi="Times New Roman" w:cs="Times New Roman"/>
          <w:color w:val="000000" w:themeColor="text1"/>
          <w:lang w:val="en-IN"/>
        </w:rPr>
        <w:t xml:space="preserve"> Regional payment patterns may cause over-targeting in certain areas.</w:t>
      </w:r>
      <w:r w:rsidRPr="007C1B49">
        <w:rPr>
          <w:rFonts w:ascii="Times New Roman" w:hAnsi="Times New Roman" w:cs="Times New Roman"/>
          <w:color w:val="000000" w:themeColor="text1"/>
          <w:lang w:val="en-IN"/>
        </w:rPr>
        <w:br/>
      </w:r>
      <w:r w:rsidRPr="007C1B49">
        <w:rPr>
          <w:rFonts w:ascii="Times New Roman" w:hAnsi="Times New Roman" w:cs="Times New Roman"/>
          <w:i/>
          <w:iCs/>
          <w:color w:val="000000" w:themeColor="text1"/>
          <w:lang w:val="en-IN"/>
        </w:rPr>
        <w:t>Mitigation:</w:t>
      </w:r>
      <w:r w:rsidRPr="007C1B49">
        <w:rPr>
          <w:rFonts w:ascii="Times New Roman" w:hAnsi="Times New Roman" w:cs="Times New Roman"/>
          <w:color w:val="000000" w:themeColor="text1"/>
          <w:lang w:val="en-IN"/>
        </w:rPr>
        <w:t xml:space="preserve"> Monitor performance by geography and adjust outreach to ensure fair treatment.</w:t>
      </w:r>
    </w:p>
    <w:p w14:paraId="0F181C9D" w14:textId="77777777" w:rsidR="007C1B49" w:rsidRPr="007C1B49" w:rsidRDefault="007C1B49" w:rsidP="007C1B49">
      <w:pPr>
        <w:rPr>
          <w:rFonts w:ascii="Times New Roman" w:hAnsi="Times New Roman" w:cs="Times New Roman"/>
          <w:color w:val="000000" w:themeColor="text1"/>
          <w:lang w:val="en-IN"/>
        </w:rPr>
      </w:pPr>
      <w:r w:rsidRPr="007C1B49">
        <w:rPr>
          <w:rFonts w:ascii="Times New Roman" w:hAnsi="Times New Roman" w:cs="Times New Roman"/>
          <w:b/>
          <w:bCs/>
          <w:color w:val="000000" w:themeColor="text1"/>
          <w:lang w:val="en-IN"/>
        </w:rPr>
        <w:t>Explainability</w:t>
      </w:r>
      <w:r w:rsidRPr="007C1B49">
        <w:rPr>
          <w:rFonts w:ascii="Times New Roman" w:hAnsi="Times New Roman" w:cs="Times New Roman"/>
          <w:color w:val="000000" w:themeColor="text1"/>
          <w:lang w:val="en-IN"/>
        </w:rPr>
        <w:br/>
        <w:t xml:space="preserve">The model’s predictions are translated into </w:t>
      </w:r>
      <w:r w:rsidRPr="007C1B49">
        <w:rPr>
          <w:rFonts w:ascii="Times New Roman" w:hAnsi="Times New Roman" w:cs="Times New Roman"/>
          <w:b/>
          <w:bCs/>
          <w:color w:val="000000" w:themeColor="text1"/>
          <w:lang w:val="en-IN"/>
        </w:rPr>
        <w:t>plain-language rules</w:t>
      </w:r>
      <w:r w:rsidRPr="007C1B49">
        <w:rPr>
          <w:rFonts w:ascii="Times New Roman" w:hAnsi="Times New Roman" w:cs="Times New Roman"/>
          <w:color w:val="000000" w:themeColor="text1"/>
          <w:lang w:val="en-IN"/>
        </w:rPr>
        <w:t xml:space="preserve"> for the Collections team. For example:</w:t>
      </w:r>
      <w:r w:rsidRPr="007C1B49">
        <w:rPr>
          <w:rFonts w:ascii="Times New Roman" w:hAnsi="Times New Roman" w:cs="Times New Roman"/>
          <w:color w:val="000000" w:themeColor="text1"/>
          <w:lang w:val="en-IN"/>
        </w:rPr>
        <w:br/>
      </w:r>
      <w:r w:rsidRPr="007C1B49">
        <w:rPr>
          <w:rFonts w:ascii="Times New Roman" w:hAnsi="Times New Roman" w:cs="Times New Roman"/>
          <w:i/>
          <w:iCs/>
          <w:color w:val="000000" w:themeColor="text1"/>
          <w:lang w:val="en-IN"/>
        </w:rPr>
        <w:t>“Customers with utilization over 50% and two or more late payments are about three times more likely to become delinquent.”</w:t>
      </w:r>
      <w:r w:rsidRPr="007C1B49">
        <w:rPr>
          <w:rFonts w:ascii="Times New Roman" w:hAnsi="Times New Roman" w:cs="Times New Roman"/>
          <w:color w:val="000000" w:themeColor="text1"/>
          <w:lang w:val="en-IN"/>
        </w:rPr>
        <w:br/>
        <w:t>This ensures transparency and supports staff confidence in using the model.</w:t>
      </w:r>
    </w:p>
    <w:p w14:paraId="2B0E7580" w14:textId="77777777" w:rsidR="007C1B49" w:rsidRPr="007C1B49" w:rsidRDefault="007C1B49" w:rsidP="007C1B49">
      <w:pPr>
        <w:rPr>
          <w:rFonts w:ascii="Times New Roman" w:hAnsi="Times New Roman" w:cs="Times New Roman"/>
          <w:color w:val="000000" w:themeColor="text1"/>
          <w:lang w:val="en-IN"/>
        </w:rPr>
      </w:pPr>
      <w:r w:rsidRPr="007C1B49">
        <w:rPr>
          <w:rFonts w:ascii="Times New Roman" w:hAnsi="Times New Roman" w:cs="Times New Roman"/>
          <w:b/>
          <w:bCs/>
          <w:color w:val="000000" w:themeColor="text1"/>
          <w:lang w:val="en-IN"/>
        </w:rPr>
        <w:t>Responsible Decision-Making</w:t>
      </w:r>
      <w:r w:rsidRPr="007C1B49">
        <w:rPr>
          <w:rFonts w:ascii="Times New Roman" w:hAnsi="Times New Roman" w:cs="Times New Roman"/>
          <w:color w:val="000000" w:themeColor="text1"/>
          <w:lang w:val="en-IN"/>
        </w:rPr>
        <w:br/>
        <w:t xml:space="preserve">The model is designed to </w:t>
      </w:r>
      <w:r w:rsidRPr="007C1B49">
        <w:rPr>
          <w:rFonts w:ascii="Times New Roman" w:hAnsi="Times New Roman" w:cs="Times New Roman"/>
          <w:b/>
          <w:bCs/>
          <w:color w:val="000000" w:themeColor="text1"/>
          <w:lang w:val="en-IN"/>
        </w:rPr>
        <w:t>support, not replace, human judgment</w:t>
      </w:r>
      <w:r w:rsidRPr="007C1B49">
        <w:rPr>
          <w:rFonts w:ascii="Times New Roman" w:hAnsi="Times New Roman" w:cs="Times New Roman"/>
          <w:color w:val="000000" w:themeColor="text1"/>
          <w:lang w:val="en-IN"/>
        </w:rPr>
        <w:t xml:space="preserve">. Recommendations focus on </w:t>
      </w:r>
      <w:r w:rsidRPr="007C1B49">
        <w:rPr>
          <w:rFonts w:ascii="Times New Roman" w:hAnsi="Times New Roman" w:cs="Times New Roman"/>
          <w:b/>
          <w:bCs/>
          <w:color w:val="000000" w:themeColor="text1"/>
          <w:lang w:val="en-IN"/>
        </w:rPr>
        <w:t>proactive and supportive measures</w:t>
      </w:r>
      <w:r w:rsidRPr="007C1B49">
        <w:rPr>
          <w:rFonts w:ascii="Times New Roman" w:hAnsi="Times New Roman" w:cs="Times New Roman"/>
          <w:color w:val="000000" w:themeColor="text1"/>
          <w:lang w:val="en-IN"/>
        </w:rPr>
        <w:t xml:space="preserve"> (reminders, repayment restructuring, financial </w:t>
      </w:r>
      <w:proofErr w:type="spellStart"/>
      <w:r w:rsidRPr="007C1B49">
        <w:rPr>
          <w:rFonts w:ascii="Times New Roman" w:hAnsi="Times New Roman" w:cs="Times New Roman"/>
          <w:color w:val="000000" w:themeColor="text1"/>
          <w:lang w:val="en-IN"/>
        </w:rPr>
        <w:t>counseling</w:t>
      </w:r>
      <w:proofErr w:type="spellEnd"/>
      <w:r w:rsidRPr="007C1B49">
        <w:rPr>
          <w:rFonts w:ascii="Times New Roman" w:hAnsi="Times New Roman" w:cs="Times New Roman"/>
          <w:color w:val="000000" w:themeColor="text1"/>
          <w:lang w:val="en-IN"/>
        </w:rPr>
        <w:t>) rather than punitive actions like reducing credit limits. Regular monitoring will ensure fairness, accountability, and compliance with regulatory standards.</w:t>
      </w:r>
    </w:p>
    <w:p w14:paraId="6D0EB48B" w14:textId="2044F574" w:rsidR="007C1B49" w:rsidRPr="006B621E" w:rsidRDefault="006B621E">
      <w:pPr>
        <w:rPr>
          <w:rFonts w:ascii="Times New Roman" w:hAnsi="Times New Roman" w:cs="Times New Roman"/>
          <w:color w:val="000000" w:themeColor="text1"/>
        </w:rPr>
      </w:pPr>
      <w:r w:rsidRPr="006B621E">
        <w:rPr>
          <w:rFonts w:ascii="Segoe UI Emoji" w:hAnsi="Segoe UI Emoji" w:cs="Segoe UI Emoji"/>
          <w:color w:val="000000" w:themeColor="text1"/>
        </w:rPr>
        <w:t>✅</w:t>
      </w:r>
      <w:r w:rsidRPr="006B621E">
        <w:rPr>
          <w:rFonts w:ascii="Times New Roman" w:hAnsi="Times New Roman" w:cs="Times New Roman"/>
          <w:color w:val="000000" w:themeColor="text1"/>
        </w:rPr>
        <w:t xml:space="preserve"> </w:t>
      </w:r>
      <w:r w:rsidRPr="006B621E">
        <w:rPr>
          <w:rFonts w:ascii="Times New Roman" w:hAnsi="Times New Roman" w:cs="Times New Roman"/>
          <w:b/>
          <w:bCs/>
          <w:color w:val="000000" w:themeColor="text1"/>
        </w:rPr>
        <w:t>Final Note</w:t>
      </w:r>
      <w:r w:rsidRPr="006B621E">
        <w:rPr>
          <w:rFonts w:ascii="Times New Roman" w:hAnsi="Times New Roman" w:cs="Times New Roman"/>
          <w:color w:val="000000" w:themeColor="text1"/>
        </w:rPr>
        <w:br/>
        <w:t xml:space="preserve">This report translates predictive insights into actionable next steps for </w:t>
      </w:r>
      <w:proofErr w:type="spellStart"/>
      <w:r w:rsidRPr="006B621E">
        <w:rPr>
          <w:rFonts w:ascii="Times New Roman" w:hAnsi="Times New Roman" w:cs="Times New Roman"/>
          <w:color w:val="000000" w:themeColor="text1"/>
        </w:rPr>
        <w:t>Geldium’s</w:t>
      </w:r>
      <w:proofErr w:type="spellEnd"/>
      <w:r w:rsidRPr="006B621E">
        <w:rPr>
          <w:rFonts w:ascii="Times New Roman" w:hAnsi="Times New Roman" w:cs="Times New Roman"/>
          <w:color w:val="000000" w:themeColor="text1"/>
        </w:rPr>
        <w:t xml:space="preserve"> Collections </w:t>
      </w:r>
      <w:r w:rsidRPr="006B621E">
        <w:rPr>
          <w:rFonts w:ascii="Times New Roman" w:hAnsi="Times New Roman" w:cs="Times New Roman"/>
          <w:color w:val="000000" w:themeColor="text1"/>
        </w:rPr>
        <w:lastRenderedPageBreak/>
        <w:t xml:space="preserve">team. By focusing on high-risk segments, targeted outreach, and responsible AI practices, </w:t>
      </w:r>
      <w:proofErr w:type="spellStart"/>
      <w:r w:rsidRPr="006B621E">
        <w:rPr>
          <w:rFonts w:ascii="Times New Roman" w:hAnsi="Times New Roman" w:cs="Times New Roman"/>
          <w:color w:val="000000" w:themeColor="text1"/>
        </w:rPr>
        <w:t>Geldium</w:t>
      </w:r>
      <w:proofErr w:type="spellEnd"/>
      <w:r w:rsidRPr="006B621E">
        <w:rPr>
          <w:rFonts w:ascii="Times New Roman" w:hAnsi="Times New Roman" w:cs="Times New Roman"/>
          <w:color w:val="000000" w:themeColor="text1"/>
        </w:rPr>
        <w:t xml:space="preserve"> can improve recovery rates, reduce risk, and maintain customer trust</w:t>
      </w:r>
    </w:p>
    <w:sectPr w:rsidR="007C1B49" w:rsidRPr="006B62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0A2AE4"/>
    <w:multiLevelType w:val="multilevel"/>
    <w:tmpl w:val="5E2A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B5E92"/>
    <w:multiLevelType w:val="multilevel"/>
    <w:tmpl w:val="9F7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065BC"/>
    <w:multiLevelType w:val="multilevel"/>
    <w:tmpl w:val="4AE2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208ED"/>
    <w:multiLevelType w:val="multilevel"/>
    <w:tmpl w:val="2F6E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785268594">
    <w:abstractNumId w:val="9"/>
  </w:num>
  <w:num w:numId="11" w16cid:durableId="1255744812">
    <w:abstractNumId w:val="10"/>
  </w:num>
  <w:num w:numId="12" w16cid:durableId="592588932">
    <w:abstractNumId w:val="11"/>
  </w:num>
  <w:num w:numId="13" w16cid:durableId="6650195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621E"/>
    <w:rsid w:val="007C1B49"/>
    <w:rsid w:val="007D72C2"/>
    <w:rsid w:val="008237CA"/>
    <w:rsid w:val="00A36DBA"/>
    <w:rsid w:val="00A537D1"/>
    <w:rsid w:val="00AA1D8D"/>
    <w:rsid w:val="00B47730"/>
    <w:rsid w:val="00CB0664"/>
    <w:rsid w:val="00D83B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36D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Kamoosh Shaik</cp:lastModifiedBy>
  <cp:revision>5</cp:revision>
  <dcterms:created xsi:type="dcterms:W3CDTF">2013-12-23T23:15:00Z</dcterms:created>
  <dcterms:modified xsi:type="dcterms:W3CDTF">2025-09-01T19:14:00Z</dcterms:modified>
  <cp:category/>
</cp:coreProperties>
</file>