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570" w:rsidRDefault="00592570" w:rsidP="00592570">
      <w:r>
        <w:t>The Indian Penal Code, 1860 (IPC, 1860) exhaustively codifies the law relating to offences with which it deals and the rules of the common law cannot be resorted to for inventing exemptions which are not expressly enacted.1. It is not necessary and indeed not permissible to construe the IPC, 1860 at the present day in accordance with the notions of criminal jurisdiction prevailing at the time when the Code was enacted. The notions relating to this matter have very considerably changed between then and now during nearly a century that has elapsed. It is legitimate to construe the Code with reference to the modern needs, wherever this is permissible, unless there is anything in the Code or in any particular section to indicate the contrary.2.</w:t>
      </w:r>
    </w:p>
    <w:p w:rsidR="00DE7DF6" w:rsidRDefault="00DE7DF6"/>
    <w:sectPr w:rsidR="00DE7DF6" w:rsidSect="00DE7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92570"/>
    <w:rsid w:val="00592570"/>
    <w:rsid w:val="00DE7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5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OKOK PRO</dc:creator>
  <cp:keywords/>
  <dc:description/>
  <cp:lastModifiedBy>OKOK PRO</cp:lastModifiedBy>
  <cp:revision>2</cp:revision>
  <dcterms:created xsi:type="dcterms:W3CDTF">2024-12-23T18:49:00Z</dcterms:created>
  <dcterms:modified xsi:type="dcterms:W3CDTF">2024-12-23T18:49:00Z</dcterms:modified>
</cp:coreProperties>
</file>