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 2</w:t>
      </w:r>
    </w:p>
    <w:p>
      <w:r>
        <w:t>Manuscript: "In-Bag Pressure and Temperature Monitoring of Palletised 3-L Bag-in-Box Wine under Static Chamber Conditions"</w:t>
      </w:r>
    </w:p>
    <w:p>
      <w:r>
        <w:t>We thank Reviewer 2 for the detailed and constructive assessment. In response to the reviewer comments, we undertook a comprehensive re-examination of the original experimental records and revised the manuscript accordingly. This included re-analysis of the main-trial pressure and temperature time-series, an internal common-mode pressure diagnostic, a sensitivity analysis of the initial handling period, a descriptive-only presentation of Table 2 chemistry, a more detailed examination of the verification trial, and revision of Figures 3-7 to ensure that nominal chamber set points are clearly distinguished from measured in-bag temperatures. These analyses improve the transparency and traceability of the reported results but do not alter the underlying experimental design or its limitations.</w:t>
      </w:r>
    </w:p>
    <w:p>
      <w:pPr>
        <w:pStyle w:val="Heading2"/>
      </w:pPr>
      <w:r>
        <w:t>R2.1 Main trial did not achieve 50 degC</w:t>
      </w:r>
    </w:p>
    <w:p>
      <w:pPr>
        <w:pStyle w:val="Heading3"/>
      </w:pPr>
      <w:r>
        <w:t>Reviewer Comment</w:t>
      </w:r>
    </w:p>
    <w:p>
      <w:r>
        <w:t>The chamber was set at 50 degC, but the wine experienced about 25-34 degC; this changes the hypothesis test.</w:t>
      </w:r>
    </w:p>
    <w:p>
      <w:pPr>
        <w:pStyle w:val="Heading3"/>
      </w:pPr>
      <w:r>
        <w:t>Response</w:t>
      </w:r>
    </w:p>
    <w:p>
      <w:r>
        <w:t>We agree. The revised manuscript no longer treats the main trial as actual 50 degC wine exposure. In response to this comment, we re-examined the original main-trial pressure and temperature records and quantified the realised in-bag temperatures directly. During the late storage window (days 19.5-20), the nominal 50 degC chamber averaged 34.18 +/- 0.36 degC in top-position sensors and 26.08 +/- 0.23 degC in bottom-position sensors. The nominal 19 degC chamber averaged 23.50 +/- 0.21 degC in top-position sensors and 22.84 +/- 0.30 degC in bottom-position sensors. The study is therefore interpreted as a comparison between nominal chamber conditions and measured package temperatures, not as a direct 19 degC versus 50 degC wine-temperature comparison.</w:t>
      </w:r>
    </w:p>
    <w:p>
      <w:pPr>
        <w:pStyle w:val="Heading3"/>
      </w:pPr>
      <w:r>
        <w:t>Changes in Manuscript</w:t>
      </w:r>
    </w:p>
    <w:p>
      <w:r>
        <w:t>The Title, Abstract, Sections 2, 3.1, 3.2, 3.4, Conclusions, captions and Table 2 now distinguish nominal chamber set point from measured in-bag temperature. The highlighted manuscript marks these changes.</w:t>
      </w:r>
    </w:p>
    <w:p>
      <w:pPr>
        <w:pStyle w:val="Heading2"/>
      </w:pPr>
      <w:r>
        <w:t>R2.2 Abstract</w:t>
      </w:r>
    </w:p>
    <w:p>
      <w:pPr>
        <w:pStyle w:val="Heading3"/>
      </w:pPr>
      <w:r>
        <w:t>Reviewer Comment</w:t>
      </w:r>
    </w:p>
    <w:p>
      <w:r>
        <w:t>The Abstract should be condensed, restructured and explicit about the actual temperatures.</w:t>
      </w:r>
    </w:p>
    <w:p>
      <w:pPr>
        <w:pStyle w:val="Heading3"/>
      </w:pPr>
      <w:r>
        <w:t>Response</w:t>
      </w:r>
    </w:p>
    <w:p>
      <w:r>
        <w:t>The Abstract has been revised to reflect the re-analysis of the original experimental records. It now reports the late-temperature summaries, the uncorrected exploratory pressure result, the common-mode pressure sensitivity, the descriptive-only scope of the chemistry data, and the limited role of the verification trial.</w:t>
      </w:r>
    </w:p>
    <w:p>
      <w:pPr>
        <w:pStyle w:val="Heading3"/>
      </w:pPr>
      <w:r>
        <w:t>Changes in Manuscript</w:t>
      </w:r>
    </w:p>
    <w:p>
      <w:r>
        <w:t>The Abstract was replaced with a shorter evidence-aligned version. It no longer states or implies that the main trial exposed wine to 50 degC and no longer describes all pressure peaks as occurring on a single day.</w:t>
      </w:r>
    </w:p>
    <w:p>
      <w:pPr>
        <w:pStyle w:val="Heading2"/>
      </w:pPr>
      <w:r>
        <w:t>R2.3 Chamber characteristics</w:t>
      </w:r>
    </w:p>
    <w:p>
      <w:pPr>
        <w:pStyle w:val="Heading3"/>
      </w:pPr>
      <w:r>
        <w:t>Reviewer Comment</w:t>
      </w:r>
    </w:p>
    <w:p>
      <w:r>
        <w:t>Chamber model, air circulation, fan power, chamber volume and pallet occupancy should be provided.</w:t>
      </w:r>
    </w:p>
    <w:p>
      <w:pPr>
        <w:pStyle w:val="Heading3"/>
      </w:pPr>
      <w:r>
        <w:t>Response</w:t>
      </w:r>
    </w:p>
    <w:p>
      <w:r>
        <w:t>We re-examined the original study records and available chamber documentation. These chamber-control details were not present. We have not invented specifications. Instead, the manuscript now states that chamber model, chamber volume, fan power, airflow rate and pallet occupancy ratio were not recorded and that this limits diagnosis of the thermal lag and vertical gradient observed in the main trial.</w:t>
      </w:r>
    </w:p>
    <w:p>
      <w:pPr>
        <w:pStyle w:val="Heading3"/>
      </w:pPr>
      <w:r>
        <w:t>Changes in Manuscript</w:t>
      </w:r>
    </w:p>
    <w:p>
      <w:r>
        <w:t>The Materials and Methods and Limitations sections state which chamber details were unavailable and restrict mechanism language to hypotheses.</w:t>
      </w:r>
    </w:p>
    <w:p>
      <w:pPr>
        <w:pStyle w:val="Heading2"/>
      </w:pPr>
      <w:r>
        <w:t>R2.4 Small sample size and ANOVA power</w:t>
      </w:r>
    </w:p>
    <w:p>
      <w:pPr>
        <w:pStyle w:val="Heading3"/>
      </w:pPr>
      <w:r>
        <w:t>Reviewer Comment</w:t>
      </w:r>
    </w:p>
    <w:p>
      <w:r>
        <w:t>The pressure ANOVA has very limited power because n is small and one bottom sensor is missing.</w:t>
      </w:r>
    </w:p>
    <w:p>
      <w:pPr>
        <w:pStyle w:val="Heading3"/>
      </w:pPr>
      <w:r>
        <w:t>Response</w:t>
      </w:r>
    </w:p>
    <w:p>
      <w:r>
        <w:t>We agree. The re-analysis improves reproducibility but does not change the replication status. We reanalysed the original main-trial sensor records and independently reconstructed the pressure summaries used in the statistical analysis. The reconstructed values match the reported summaries to 0.0000 mbar. However, the pressure cells remain n = 3, 3, 3 and 2, chamber condition remains one chamber per nominal set point, and the records do not retain stack IDs or sensor-to-stack pairings for a blocked or paired stack-level analysis. We also added an internal common-mode diagnostic because no barometric reference sensor was logged. The uncorrected peak-position result remains F(1,8) = 9.14 and p = 0.017, but the position term for each sensor's maximum common-mode residual was not statistically detectable (F(1,8) = 3.21; p = 0.111). We therefore present the pressure result as an exploratory transient position-related offset rather than a definitive package-mechanics effect.</w:t>
      </w:r>
    </w:p>
    <w:p>
      <w:pPr>
        <w:pStyle w:val="Heading3"/>
      </w:pPr>
      <w:r>
        <w:t>Changes in Manuscript</w:t>
      </w:r>
    </w:p>
    <w:p>
      <w:r>
        <w:t>Sections 2.2, 2.4, 3.2, 3.4 and Conclusions now state the experimental unit, the missing sensor, the unbalanced design, the unreplicated chamber factor, the absence of barometric reference logging and the exploratory interpretation. The analysis report and reproducibility scripts document the raw-workbook reconstruction and additional common-mode pressure diagnostics.</w:t>
      </w:r>
    </w:p>
    <w:p>
      <w:pPr>
        <w:pStyle w:val="Heading2"/>
      </w:pPr>
      <w:r>
        <w:t>R2.5 Verification trial n=1 stack</w:t>
      </w:r>
    </w:p>
    <w:p>
      <w:pPr>
        <w:pStyle w:val="Heading3"/>
      </w:pPr>
      <w:r>
        <w:t>Reviewer Comment</w:t>
      </w:r>
    </w:p>
    <w:p>
      <w:r>
        <w:t>The verification trial cannot confirm general conclusions because it used only one stack and one sensor failed.</w:t>
      </w:r>
    </w:p>
    <w:p>
      <w:pPr>
        <w:pStyle w:val="Heading3"/>
      </w:pPr>
      <w:r>
        <w:t>Response</w:t>
      </w:r>
    </w:p>
    <w:p>
      <w:r>
        <w:t>We agree. We re-examined the original verification-trial records in greater detail, but this does not create replication. The trial used one three-box stack. V26, one top-position sensor, stopped at day 4.35. Across the four verification sensors, maximum in-bag temperatures ranged from 45.0 to 48.8 degC, and no in-bag sensor reached 50 degC. Pressure changes from each sensor's first valid baseline were transient, with peaks of 9.6-26.5 mbar. The manuscript presents this trial as limited supporting evidence under one configuration, not as confirmation of a general position effect.</w:t>
      </w:r>
    </w:p>
    <w:p>
      <w:pPr>
        <w:pStyle w:val="Heading3"/>
      </w:pPr>
      <w:r>
        <w:t>Changes in Manuscript</w:t>
      </w:r>
    </w:p>
    <w:p>
      <w:r>
        <w:t>Sections 2.3, 3.3, 3.4 and Conclusions were revised to remove confirmatory language and to report the verification trial's scale, V26 dropout and actual sensor maxima.</w:t>
      </w:r>
    </w:p>
    <w:p>
      <w:pPr>
        <w:pStyle w:val="Heading2"/>
      </w:pPr>
      <w:r>
        <w:t>R2.6 Physical-versus-chemical binary conclusion</w:t>
      </w:r>
    </w:p>
    <w:p>
      <w:pPr>
        <w:pStyle w:val="Heading3"/>
      </w:pPr>
      <w:r>
        <w:t>Reviewer Comment</w:t>
      </w:r>
    </w:p>
    <w:p>
      <w:r>
        <w:t>The claim that palletisation governs physical behaviour and temperature governs chemical stability is overreaching because chemistry was not position-resolved.</w:t>
      </w:r>
    </w:p>
    <w:p>
      <w:pPr>
        <w:pStyle w:val="Heading3"/>
      </w:pPr>
      <w:r>
        <w:t>Response</w:t>
      </w:r>
    </w:p>
    <w:p>
      <w:r>
        <w:t>We agree. The manuscript no longer presents this binary causal attribution. The original study records do not contain position-resolved chemistry. The final text states that pressure was measured by package position and showed transient position-related offsets superimposed on a common-mode absolute-pressure component, whereas chemistry is presented as descriptive bulk summaries grouped by nominal chamber condition. These two datasets support different descriptive response patterns, but they do not demonstrate that palletisation and temperature act independently or exclusively on separate parts of the system.</w:t>
      </w:r>
    </w:p>
    <w:p>
      <w:pPr>
        <w:pStyle w:val="Heading3"/>
      </w:pPr>
      <w:r>
        <w:t>Changes in Manuscript</w:t>
      </w:r>
    </w:p>
    <w:p>
      <w:r>
        <w:t>The Abstract, Discussion, Limitations and Conclusions were revised; unsupported "governs" language was removed and the pressure interpretation was further limited by the common-mode diagnostic.</w:t>
      </w:r>
    </w:p>
    <w:p>
      <w:pPr>
        <w:pStyle w:val="Heading2"/>
      </w:pPr>
      <w:r>
        <w:t>R2.7 Lactic acid interpretation</w:t>
      </w:r>
    </w:p>
    <w:p>
      <w:pPr>
        <w:pStyle w:val="Heading3"/>
      </w:pPr>
      <w:r>
        <w:t>Reviewer Comment</w:t>
      </w:r>
    </w:p>
    <w:p>
      <w:r>
        <w:t>The lactic-acid increase cannot be confidently attributed to heat-driven chemistry rather than malolactic fermentation without microbiological data.</w:t>
      </w:r>
    </w:p>
    <w:p>
      <w:pPr>
        <w:pStyle w:val="Heading3"/>
      </w:pPr>
      <w:r>
        <w:t>Response</w:t>
      </w:r>
    </w:p>
    <w:p>
      <w:r>
        <w:t>We agree. We re-examined the available original experimental records and confirmed that raw replicate-level chemical measurements were not retained in the available study records. The originally submitted Table 2 reports `0.29 +/- 0.02 g/L`, whereas no primary experimental record supports the alternative `0.29 +/- 0.20 g/L`. The manuscript therefore reports `0.29 +/- 0.02 g/L` as the traceable descriptive Table 2 value, without a significance claim. Because independent treatment-level replication cannot be verified for the chemistry table, Tukey letters and chemistry p-values have been removed. Malic acid was numerically similar between conditions, but we no longer state that malolactic fermentation was ruled out. Residual microbial activity cannot be excluded.</w:t>
      </w:r>
    </w:p>
    <w:p>
      <w:pPr>
        <w:pStyle w:val="Heading3"/>
      </w:pPr>
      <w:r>
        <w:t>Changes in Manuscript</w:t>
      </w:r>
    </w:p>
    <w:p>
      <w:r>
        <w:t>Sections 2.1, 2.4 and 3.1, Table 2 and Limitations were revised to report chemistry descriptively using the traceable Table 2 values and to state the absence of raw chemical replicates, microbiology, viable cell counts and method-sensitivity data.</w:t>
      </w:r>
    </w:p>
    <w:p>
      <w:pPr>
        <w:pStyle w:val="Heading2"/>
      </w:pPr>
      <w:r>
        <w:t>R2.8 Table 2 labels</w:t>
      </w:r>
    </w:p>
    <w:p>
      <w:pPr>
        <w:pStyle w:val="Heading3"/>
      </w:pPr>
      <w:r>
        <w:t>Reviewer Comment</w:t>
      </w:r>
    </w:p>
    <w:p>
      <w:r>
        <w:t>"Wine at 19 degC" and "Wine at 50 degC" are misleading.</w:t>
      </w:r>
    </w:p>
    <w:p>
      <w:pPr>
        <w:pStyle w:val="Heading3"/>
      </w:pPr>
      <w:r>
        <w:t>Response</w:t>
      </w:r>
    </w:p>
    <w:p>
      <w:r>
        <w:t>Corrected. Table 2 now labels the rows as wine from the nominal 19 degC chamber and wine from the nominal 50 degC chamber. The caption states that these labels are chamber set points, not actual in-bag wine temperatures. Because independent treatment-level replication could not be verified for the chemistry records, the table now reports descriptive summaries only and contains no significance letters. Because independent treatment-level replication could not be verified for the chemistry records, the table now reports descriptive summaries only and contains no significance letters.</w:t>
      </w:r>
    </w:p>
    <w:p>
      <w:pPr>
        <w:pStyle w:val="Heading3"/>
      </w:pPr>
      <w:r>
        <w:t>Changes in Manuscript</w:t>
      </w:r>
    </w:p>
    <w:p>
      <w:r>
        <w:t>Table 2 row labels, caption, values and note were revised and highlighted; significance letters were removed.</w:t>
      </w:r>
    </w:p>
    <w:p>
      <w:pPr>
        <w:pStyle w:val="Heading2"/>
      </w:pPr>
      <w:r>
        <w:t>R2.9 First five hours excluded</w:t>
      </w:r>
    </w:p>
    <w:p>
      <w:pPr>
        <w:pStyle w:val="Heading3"/>
      </w:pPr>
      <w:r>
        <w:t>Reviewer Comment</w:t>
      </w:r>
    </w:p>
    <w:p>
      <w:r>
        <w:t>The first five hours may represent realistic transport disturbances and should be discussed or tested by sensitivity analysis.</w:t>
      </w:r>
    </w:p>
    <w:p>
      <w:pPr>
        <w:pStyle w:val="Heading3"/>
      </w:pPr>
      <w:r>
        <w:t>Response</w:t>
      </w:r>
    </w:p>
    <w:p>
      <w:r>
        <w:t>In response to the reviewer, we performed an additional sensitivity analysis using the original main-trial pressure records. Including the first five hours did not change the primary peak-pressure endpoint: for all 11 usable sensors, the full-record maximum dP was identical to the post-handling maximum used in the primary analysis. The individual maxima occurred after the handling window, between 85.0 and 138.5 h. We still do not treat the first five hours as settled storage exposure because the interval contained transport/handling/stack assembly and the available records contain duplicated early rows. The final manuscript therefore keeps the primary post-handling analysis but now reports the full-record sensitivity result and discusses the logistics relevance of early transients.</w:t>
      </w:r>
    </w:p>
    <w:p>
      <w:pPr>
        <w:pStyle w:val="Heading3"/>
      </w:pPr>
      <w:r>
        <w:t>Changes in Manuscript</w:t>
      </w:r>
    </w:p>
    <w:p>
      <w:r>
        <w:t>Section 3.2 and Limitations now report the sensitivity analysis and no longer say that raw pressure data were absent.</w:t>
      </w:r>
    </w:p>
    <w:p>
      <w:pPr>
        <w:pStyle w:val="Heading2"/>
      </w:pPr>
      <w:r>
        <w:t>R2.10 Wine identity</w:t>
      </w:r>
    </w:p>
    <w:p>
      <w:pPr>
        <w:pStyle w:val="Heading3"/>
      </w:pPr>
      <w:r>
        <w:t>Reviewer Comment</w:t>
      </w:r>
    </w:p>
    <w:p>
      <w:r>
        <w:t>Grape variety and vintage are unknown.</w:t>
      </w:r>
    </w:p>
    <w:p>
      <w:pPr>
        <w:pStyle w:val="Heading3"/>
      </w:pPr>
      <w:r>
        <w:t>Response</w:t>
      </w:r>
    </w:p>
    <w:p>
      <w:r>
        <w:t>Correct. We re-examined the original study records and found no information on grape variety or vintage. The supplier did not provide this information, and the manuscript retains it as a limitation.</w:t>
      </w:r>
    </w:p>
    <w:p>
      <w:pPr>
        <w:pStyle w:val="Heading3"/>
      </w:pPr>
      <w:r>
        <w:t>Changes in Manuscript</w:t>
      </w:r>
    </w:p>
    <w:p>
      <w:r>
        <w:t>Materials and Methods and Limitations state that grape variety and vintage were unavailable.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