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 3</w:t>
      </w:r>
    </w:p>
    <w:p>
      <w:r>
        <w:t>Manuscript: "In-Bag Pressure and Temperature Monitoring of Palletised 3-L Bag-in-Box Wine under Static Chamber Conditions"</w:t>
      </w:r>
    </w:p>
    <w:p>
      <w:r>
        <w:t>We thank Reviewer 3 for the detailed and constructive assessment. In response to the reviewer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descriptive-only presentation of Table 2 chemistry,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2"/>
      </w:pPr>
      <w:r>
        <w:t>R3.1 Stacking configuration and interpretability</w:t>
      </w:r>
    </w:p>
    <w:p>
      <w:pPr>
        <w:pStyle w:val="Heading3"/>
      </w:pPr>
      <w:r>
        <w:t>Reviewer Comment</w:t>
      </w:r>
    </w:p>
    <w:p>
      <w:r>
        <w:t>It is difficult to evaluate stacking configuration because different configurations and temperatures may be confounded or averaged.</w:t>
      </w:r>
    </w:p>
    <w:p>
      <w:pPr>
        <w:pStyle w:val="Heading3"/>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confirmed the available sensor traces and position/chamber mapping; however, stack identifiers or sensor-to-stack pairings were not retained. Chamber condition also remains unreplicated at the chamber level, and no barometric reference was logged. The pressure ANOVA is therefore presented as exploratory sensor-level analysis rather than a definitive test of stack height, chamber temperature, package mechanics or paired stack effects.</w:t>
      </w:r>
    </w:p>
    <w:p>
      <w:pPr>
        <w:pStyle w:val="Heading3"/>
      </w:pPr>
      <w:r>
        <w:t>Changes in Manuscript</w:t>
      </w:r>
    </w:p>
    <w:p>
      <w:r>
        <w:t>Figure 2 caption, Table 1 note, Sections 2.2, 2.4, 3.4 and Conclusions were revised to define the tested factors and inference limits.</w:t>
      </w:r>
    </w:p>
    <w:p>
      <w:pPr>
        <w:pStyle w:val="Heading2"/>
      </w:pPr>
      <w:r>
        <w:t>R3.2 SO2 reduction and post-transport shelf life</w:t>
      </w:r>
    </w:p>
    <w:p>
      <w:pPr>
        <w:pStyle w:val="Heading3"/>
      </w:pPr>
      <w:r>
        <w:t>Reviewer Comment</w:t>
      </w:r>
    </w:p>
    <w:p>
      <w:r>
        <w:t>Could SO2 loss affect shelf life and storage after transport?</w:t>
      </w:r>
    </w:p>
    <w:p>
      <w:pPr>
        <w:pStyle w:val="Heading3"/>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3"/>
      </w:pPr>
      <w:r>
        <w:t>Changes in Manuscript</w:t>
      </w:r>
    </w:p>
    <w:p>
      <w:r>
        <w:t>Section 3.1, Limitations and Conclusions were revised.</w:t>
      </w:r>
    </w:p>
    <w:p>
      <w:pPr>
        <w:pStyle w:val="Heading2"/>
      </w:pPr>
      <w:r>
        <w:t>R3.3 Economic feasibility of pressure sensors</w:t>
      </w:r>
    </w:p>
    <w:p>
      <w:pPr>
        <w:pStyle w:val="Heading3"/>
      </w:pPr>
      <w:r>
        <w:t>Reviewer Comment</w:t>
      </w:r>
    </w:p>
    <w:p>
      <w:r>
        <w:t>The feasibility of using pressure sensors at scale is unclear.</w:t>
      </w:r>
    </w:p>
    <w:p>
      <w:pPr>
        <w:pStyle w:val="Heading3"/>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3"/>
      </w:pPr>
      <w:r>
        <w:t>Changes in Manuscript</w:t>
      </w:r>
    </w:p>
    <w:p>
      <w:r>
        <w:t>Limitations and Conclusions were revised.</w:t>
      </w:r>
    </w:p>
    <w:p>
      <w:pPr>
        <w:pStyle w:val="Heading2"/>
      </w:pPr>
      <w:r>
        <w:t>R3.4 Thermal behaviour under nominal 19 degC and nominal 50 degC conditions</w:t>
      </w:r>
    </w:p>
    <w:p>
      <w:pPr>
        <w:pStyle w:val="Heading3"/>
      </w:pPr>
      <w:r>
        <w:t>Reviewer Comment</w:t>
      </w:r>
    </w:p>
    <w:p>
      <w:r>
        <w:t>The nominal 50 degC packages stayed below set point, whereas nominal 19 degC packages reached about 23 degC; this different behaviour needs explanation.</w:t>
      </w:r>
    </w:p>
    <w:p>
      <w:pPr>
        <w:pStyle w:val="Heading3"/>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By the end of storage, the main-trial temperatures were stable far below the nominal 50 degC set point, suggesting sustained under-delivery and/or stratification of the effective thermal environment rather than only a short transient lag. Because no chamber-air logger, chamber model, airflow or occupancy data were recorded, the chamber mechanism cannot be resolved.</w:t>
      </w:r>
    </w:p>
    <w:p>
      <w:pPr>
        <w:pStyle w:val="Heading3"/>
      </w:pPr>
      <w:r>
        <w:t>Changes in Manuscript</w:t>
      </w:r>
    </w:p>
    <w:p>
      <w:r>
        <w:t>Sections 3.2, 3.3, 3.4 and the captions to Figures 3 and 6 were revised with the quantified temperatures and the sustained-under-delivery/stratification limitation.</w:t>
      </w:r>
    </w:p>
    <w:p>
      <w:pPr>
        <w:pStyle w:val="Heading2"/>
      </w:pPr>
      <w:r>
        <w:t>R3.5 Main experiment versus verification experiment discrepancy</w:t>
      </w:r>
    </w:p>
    <w:p>
      <w:pPr>
        <w:pStyle w:val="Heading3"/>
      </w:pPr>
      <w:r>
        <w:t>Reviewer Comment</w:t>
      </w:r>
    </w:p>
    <w:p>
      <w:r>
        <w:t>The large difference between the main and verification experiment may indicate an error or scale effect.</w:t>
      </w:r>
    </w:p>
    <w:p>
      <w:pPr>
        <w:pStyle w:val="Heading3"/>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3"/>
      </w:pPr>
      <w:r>
        <w:t>Changes in Manuscript</w:t>
      </w:r>
    </w:p>
    <w:p>
      <w:r>
        <w:t>Sections 3.3 and 3.4, Figure 6 caption, Figure 7 caption and Conclusions were revised to quantify the discrepancy and avoid unsupported causal attribution.</w:t>
      </w:r>
    </w:p>
    <w:p>
      <w:pPr>
        <w:pStyle w:val="Heading2"/>
      </w:pPr>
      <w:r>
        <w:t>R3.6 English readability</w:t>
      </w:r>
    </w:p>
    <w:p>
      <w:pPr>
        <w:pStyle w:val="Heading3"/>
      </w:pPr>
      <w:r>
        <w:t>Reviewer Comment</w:t>
      </w:r>
    </w:p>
    <w:p>
      <w:r>
        <w:t>Several sentences are overly complex.</w:t>
      </w:r>
    </w:p>
    <w:p>
      <w:pPr>
        <w:pStyle w:val="Heading3"/>
      </w:pPr>
      <w:r>
        <w:t>Response</w:t>
      </w:r>
    </w:p>
    <w:p>
      <w:r>
        <w:t>The manuscript was edited throughout to improve clarity and to maintain consistent terminology for nominal set point, nominal chamber condition and measured in-bag temperature.</w:t>
      </w:r>
    </w:p>
    <w:p>
      <w:pPr>
        <w:pStyle w:val="Heading3"/>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