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pPr>
      <w:r>
        <w:rPr>
          <w:b/>
          <w:color w:val="1F3B73"/>
          <w:sz w:val="32"/>
        </w:rPr>
        <w:t>Response to the Reviewers</w:t>
      </w:r>
    </w:p>
    <w:p>
      <w:r>
        <w:rPr>
          <w:i/>
        </w:rPr>
        <w:t xml:space="preserve">Manuscript foods-4411772 — </w:t>
      </w:r>
      <w:r>
        <w:rPr>
          <w:i/>
        </w:rPr>
        <w:t>“Effect of Palletisation and Temperature on Bag-in-Box Wine Packaging under Simulated Export Conditions”</w:t>
      </w:r>
    </w:p>
    <w:p>
      <w:r>
        <w:t>We thank the three reviewers for the care they devoted to the manuscript. The comments were detailed and, in several cases, they pointed to problems that we had not seen ourselves. One of them — the discrepancy between the 20-day storage period and the axis of Figure 3 — led us back to the raw logger files and revealed a plotting error that had propagated into the interpretation of the physical data. Correcting it changed part of our conclusions, and we are grateful that the point was raised before publication. All modifications are highlighted in the revised manuscript. The changes proposed by the co-authors are marked in green and the remaining revisions in yellow. Line numbers refer to the revised file.</w:t>
      </w:r>
    </w:p>
    <w:p>
      <w:r>
        <w:t>One point of substance should be flagged at the outset, since it bears on several answers below. Plotting the full record (see Reviewer 1, third point) revealed that the chamber set to 50 °C had not delivered that condition: under a full pallet the wine reached only 33.6 ± 1.5 °C in the units at the top of the stacks and 25.5 ± 0.9 °C in those at the bottom, with a persistent vertical gradient of about 8 °C, while the 19 °C chamber held its set point normally. The shortfall was later attributed to the air circulation of the enclosure; what the verification trial establishes with certainty is that it lay in the chamber and not in the packaging or the instruments, since the same bags, cardboard and sensors reached the set point once a working chamber was used. Rather than describe an exposure that did not take place, we have reported the temperatures actually recorded, added them to Figure 3 beside the pressure, and — most importantly — carried out a dedicated verification trial at a confirmed 50 °C, which is reported in a new Section 3.3 with two new figures (Figure 6, comparing the temperature attained in the two trials, and Figure 7, giving the pressure and temperature of the verification trial). In that trial the same packaging reached 47 °C within five days, which both proves the point about the first enclosure and, unexpectedly, strengthens the paper: at a genuine 50 °C the internal pressure rose by no more than 9–26 mbar and returned to baseline within five days, so a compliant bag absorbs thermal expansion by deforming rather than by pressurising. The central conclusion — that internal pressure is governed by stacking load and not by temperature — is therefore now supported at the temperature the first trial failed to reach, instead of resting on a null result.</w:t>
      </w:r>
    </w:p>
    <w:p>
      <w:r>
        <w:t>We should also declare a second, instrumental point that the full record brought to light. The MEMS transducers measure absolute pressure and were not paired with a barometric reference, so every trace carries the ambient pressure of the room: in the verification trial all four sensors dip together by some 25 mbar around day 6, which is weather rather than wine. Comparisons between the top and the bottom of a stack are immune to this, since the barometric term is common to both sensors and cancels in the difference, and that is where our conclusions rest; but we now say explicitly that the absolute trajectory of a single unit should not be read as bag physics alone, and a barometric reference has been added to the recommendations in Section 3.4.</w:t>
      </w:r>
    </w:p>
    <w:p>
      <w:pPr>
        <w:spacing w:before="240"/>
      </w:pPr>
      <w:r>
        <w:rPr>
          <w:b/>
          <w:color w:val="1F3B73"/>
          <w:sz w:val="28"/>
        </w:rPr>
        <w:t>Reviewer 1</w:t>
      </w:r>
    </w:p>
    <w:p>
      <w:pPr>
        <w:spacing w:after="60"/>
        <w:ind w:left="288"/>
      </w:pPr>
      <w:r>
        <w:rPr>
          <w:i/>
          <w:color w:val="555555"/>
        </w:rPr>
        <w:t>Line 1–3: “Optimisation” is inconsistent with the body of the text, as no optimisation or solving for optimal conditions was actually performed. A more appropriate wording is suggested.</w:t>
      </w:r>
    </w:p>
    <w:p>
      <w:pPr>
        <w:ind w:left="288"/>
      </w:pPr>
      <w:r>
        <w:rPr>
          <w:b/>
        </w:rPr>
        <w:t xml:space="preserve">Response: </w:t>
      </w:r>
      <w:r>
        <w:t>We agree. No optimisation problem was posed and none was solved. The title now reads “Effect of Palletisation and Temperature on Bag-in-Box Wine Packaging under Simulated Export Conditions”, and the words “optimise” and “optimisation” have been removed from the abstract, the aim and the conclusions, where they have been replaced by wording that describes what the study actually did, namely quantify the effect of two factors.</w:t>
      </w:r>
    </w:p>
    <w:p>
      <w:pPr>
        <w:spacing w:after="60"/>
        <w:ind w:left="288"/>
      </w:pPr>
      <w:r>
        <w:rPr>
          <w:i/>
          <w:color w:val="555555"/>
        </w:rPr>
        <w:t>Line 77–79 and 156–159: The description of the experimental layout is internally inconsistent … Please provide a clear table of the sample structure … and whether the two temperatures were run in parallel or sequentially.</w:t>
      </w:r>
    </w:p>
    <w:p>
      <w:pPr>
        <w:ind w:left="288"/>
      </w:pPr>
      <w:r>
        <w:rPr>
          <w:b/>
        </w:rPr>
        <w:t xml:space="preserve">Response: </w:t>
      </w:r>
      <w:r>
        <w:t>The inconsistency was real and we apologise for it. The Materials and Methods section has been rewritten and now states the design explicitly: three independent stacks per chamber — one of four boxes (128 cm) and two of three boxes (97 cm) — each carrying one MEMS sensor in the uppermost and one in the lowermost BiB, giving six sensors per temperature and twelve in total. The two temperatures were run in parallel, in two separate climate-controlled chambers, over the same 20-day window; this is now stated in the text, in the new Table 1 and in its footnote. One bottom sensor in the 19 °C chamber did not return a complete record, so eleven of the twelve traces were available for analysis; this is now declared rather than passed over. Table 1 sets out the structure row by row (chamber, stack, boxes per stack, stack height, BiBs per box, sensor placement). Table 1 now also covers the second, verification trial described below, so that the whole experimental structure of the paper is visible in one place, and the Materials and Methods section has a new subsection 2.3 describing that trial, the statistical analyses moving to 2.4. The whole manuscript has been checked for consistency against this two-trial structure.</w:t>
      </w:r>
    </w:p>
    <w:p>
      <w:pPr>
        <w:spacing w:after="60"/>
        <w:ind w:left="288"/>
      </w:pPr>
      <w:r>
        <w:rPr>
          <w:i/>
          <w:color w:val="555555"/>
        </w:rPr>
        <w:t>Line 80–81 and Figure 3 (line 164–169): Both the body text and the abstract state “20 days,” but the x-axis of Figure 3 extends only to day 16. Please clarify whether this is a truncation in the plot or whether pressure monitoring actually lasted 16 days, and make the data consistent with the text.</w:t>
      </w:r>
    </w:p>
    <w:p>
      <w:pPr>
        <w:ind w:left="288"/>
      </w:pPr>
      <w:r>
        <w:rPr>
          <w:b/>
        </w:rPr>
        <w:t xml:space="preserve">Response: </w:t>
      </w:r>
      <w:r>
        <w:t>This comment prompted us to re-examine the original acquisition files, and we found a genuine error. Monitoring did run for the full 20 days: the logger export contains 979 records at 30-minute intervals, spanning 489 hours (20.4 days). The figure published in the submitted version had been generated against the “hours” column of that export instead of the “days” column, and the series had then been cut at the sixteenth point. What the reviewer saw as “day 16” was therefore hour 16 — the first two-thirds of a single day — mislabelled as days. The consequence was not merely cosmetic: the “initial variation followed by stabilisation” that we described in the submitted version was in fact the sensor warm-up transient, and the real 20-day behaviour of the packaging had never been shown. Figure 3 has been replaced with the complete record, plotted against time in days and with pressure in mbar, and it now carries the temperature registered by the same sensors in a lower row of panels; a new Figure 5 summarises the baseline-referred pressure change on which the statistics rest, and a new Figure 4 shows the first sixteen hours on an expanded axis. Section 3.2 has been rewritten around what the full record shows: a short equilibration transient, a pressurisation phase peaking on day 4, and a slow relaxation to a steady level that persists to day 20. The abstract and the conclusions have been brought into line. We thank the reviewer for a question that turned out to matter a great deal.</w:t>
      </w:r>
    </w:p>
    <w:p>
      <w:pPr>
        <w:spacing w:after="60"/>
        <w:ind w:left="288"/>
      </w:pPr>
      <w:r>
        <w:rPr>
          <w:i/>
          <w:color w:val="555555"/>
        </w:rPr>
        <w:t>Line 134–136: The explanation of “heat-activated secondary malolactic fermentation” does not hold (50 °C inhibits lactic acid bacteria), and it contradicts the non-significant change in malic acid; the stoichiometry also does not add up. The cited references [20,21] do not appear to be directly relevant …</w:t>
      </w:r>
    </w:p>
    <w:p>
      <w:pPr>
        <w:ind w:left="288"/>
      </w:pPr>
      <w:r>
        <w:rPr>
          <w:b/>
        </w:rPr>
        <w:t xml:space="preserve">Response: </w:t>
      </w:r>
      <w:r>
        <w:t>The reviewer is right and the mechanistic inference has been removed. We should add something the reviewer could not have known, and which cuts against our original text even more sharply than the comment does. As the full temperature record now shows (see the opening note), the wine in the hot chamber reached only 25–34 °C, not 50 °C. The premise that lactic acid bacteria were thermally inhibited therefore does not hold either, and we have not leaned on it. The conclusion is unchanged but now rests entirely on evidence internal to the wine: had malic acid been decarboxylated to lactic acid it would have fallen, and it did not (1.1 ± 0.23 against 1.0 ± 0.16 g/L, not significant); the increase of roughly 0.13 g/L in lactic acid has no stoichiometric counterpart in the malic acid data; and with a standard deviation of ± 0.20 g/L on a mean of 0.29 g/L the difference sits at the limit of what the method resolves at these concentrations. We attribute it to heat-driven chemical change together with analytical variability. The two references that were not pertinent have been replaced by studies dealing directly with wine composition under elevated storage temperature.</w:t>
      </w:r>
    </w:p>
    <w:p>
      <w:pPr>
        <w:spacing w:after="60"/>
        <w:ind w:left="288"/>
      </w:pPr>
      <w:r>
        <w:rPr>
          <w:i/>
          <w:color w:val="555555"/>
        </w:rPr>
        <w:t>Line 139–142: Attributing the increase in volatile acidity to “microbiological instability” is not reasonable at 50 °C; it is suggested to reframe this as heat-accelerated chemical reactions. It may also be noted that 0.39 g/L is still below the sensory threshold …</w:t>
      </w:r>
    </w:p>
    <w:p>
      <w:pPr>
        <w:ind w:left="288"/>
      </w:pPr>
      <w:r>
        <w:rPr>
          <w:b/>
        </w:rPr>
        <w:t xml:space="preserve">Response: </w:t>
      </w:r>
      <w:r>
        <w:t>Reframed as suggested: the paragraph now ascribes the rise to heat-accelerated chemical reactions — the oxidation of ethanol and the hydrolysis of esters and other acetyl compounds — and no longer invokes microbiological instability. For the same reason as above we have not argued this from the temperature, since the wine reached 25–34 °C rather than 50 °C; the attribution rests instead on the magnitude of the change, which is small (0.09 g/L over twenty days), and on its consistency with the SO₂ loss measured in the same samples. We have added that 0.39 g/L sits well below the customary sensory threshold for acetic acid in wine (about 0.7 g/L) and far below the regulatory limit, so the practical consequence over this transport window is limited. We would welcome the reviewer’s view on whether a microbiological contribution should be explicitly excluded at these temperatures or simply left open.</w:t>
      </w:r>
    </w:p>
    <w:p>
      <w:pPr>
        <w:spacing w:after="60"/>
        <w:ind w:left="288"/>
      </w:pPr>
      <w:r>
        <w:rPr>
          <w:i/>
          <w:color w:val="555555"/>
        </w:rPr>
        <w:t>Line 155: The section heading “3.2 Pyisical parameters” contains a spelling error and should read “Physical.”</w:t>
      </w:r>
    </w:p>
    <w:p>
      <w:pPr>
        <w:ind w:left="288"/>
      </w:pPr>
      <w:r>
        <w:rPr>
          <w:b/>
        </w:rPr>
        <w:t xml:space="preserve">Response: </w:t>
      </w:r>
      <w:r>
        <w:t>Corrected.</w:t>
      </w:r>
    </w:p>
    <w:p>
      <w:pPr>
        <w:spacing w:after="60"/>
        <w:ind w:left="288"/>
      </w:pPr>
      <w:r>
        <w:rPr>
          <w:i/>
          <w:color w:val="555555"/>
        </w:rPr>
        <w:t>Line 159–162: … could the initial fluctuations originate from thermal equilibration of the sensors/electronic components or from battery effects, rather than from genuine pressure dynamics within the wine bags? Please discuss this.</w:t>
      </w:r>
    </w:p>
    <w:p>
      <w:pPr>
        <w:ind w:left="288"/>
      </w:pPr>
      <w:r>
        <w:rPr>
          <w:b/>
        </w:rPr>
        <w:t xml:space="preserve">Response: </w:t>
      </w:r>
      <w:r>
        <w:t>The reviewer’s instinct that this interval is not the wine speaking is right, but the mechanism turns out to be a different one, and checking it against our own hardware was useful. The electronics can be excluded: the sensing unit draws less than 1 mA and sits in an oil-filled casing that disperses what little heat it produces, so neither self-heating nor battery behaviour is visible in the data. What the interval actually contains is handling. The instrumented bags were filled at the manufacturer and driven by car to the laboratory, so the temperature around them and the ambient pressure both varied in transit, and the filling and sealing machinery disturbs the units mechanically as well; the step in pressure at the fifth hour is the moment the boxes were assembled into their stacks and the vertical load came on. A new Figure 4 now shows the first sixteen hours on an expanded axis — the units arrive at about 28 °C, cool to some 13 °C and only then begin to warm towards their chamber — and Section 3.2 sets this out. The interval is excluded from the quantitative comparison and the limitation is recorded in Section 3.4. We would add one caveat the reviewer may find relevant: with one reading every 30 minutes this part of the record is sampled too coarsely to resolve rapid variation, so only its overall shape can be interpreted.</w:t>
      </w:r>
    </w:p>
    <w:p>
      <w:pPr>
        <w:spacing w:after="60"/>
        <w:ind w:left="288"/>
      </w:pPr>
      <w:r>
        <w:rPr>
          <w:i/>
          <w:color w:val="555555"/>
        </w:rPr>
        <w:t>Table 1 … (1) Decimal points and commas are used inconsistently; (2) the number of significant figures is inconsistent across columns; (3) only the two temperature groups are included, with no top/bottom position or stack height … (4) “leĴers” … and the body text (p ≤ 0.05) is inconsistent with the table note (p &lt; 0.05).</w:t>
      </w:r>
    </w:p>
    <w:p>
      <w:pPr>
        <w:ind w:left="288"/>
      </w:pPr>
      <w:r>
        <w:rPr>
          <w:b/>
        </w:rPr>
        <w:t xml:space="preserve">Response: </w:t>
      </w:r>
      <w:r>
        <w:t>The chemical table is now Table 2, the new Table 1 being the sample-structure table requested above. (1) All decimal commas have been converted to points. (2) Significant figures have been made consistent within each column. (3) We have to be candid here: the chemical analyses were performed on the wine as a bulk sample and were never resolved by stack position or stack height, so the table cannot be extended in that direction without new experimental work. Rather than let the conclusions rest on an association the data cannot support, we have removed the claim of a palletisation–chemistry link. The revised manuscript separates the two effects: palletisation acts on the internal pressure, temperature acts on the composition, and the absence of position-resolved chemistry is stated in the Results and listed in Section 3.4. (4) The encoding error is fixed and the note now reads p ≤ 0.05, matching the text.</w:t>
      </w:r>
    </w:p>
    <w:p>
      <w:pPr>
        <w:spacing w:after="60"/>
        <w:ind w:left="288"/>
      </w:pPr>
      <w:r>
        <w:rPr>
          <w:i/>
          <w:color w:val="555555"/>
        </w:rPr>
        <w:t>Throughout the manuscript there are numerous issues with tense/collocation and spelling … a thorough professional language edit of the whole text is recommended.</w:t>
      </w:r>
    </w:p>
    <w:p>
      <w:pPr>
        <w:ind w:left="288"/>
      </w:pPr>
      <w:r>
        <w:rPr>
          <w:b/>
        </w:rPr>
        <w:t xml:space="preserve">Response: </w:t>
      </w:r>
      <w:r>
        <w:t>The manuscript has been edited throughout. “Previously study”, “Pyisical” and the other errors noted have been corrected, tenses have been made consistent (past for what was done and observed, present for what holds generally), and terminology has been unified — “BiB”, “stack”, “top/bottom position” and “storage temperature” are now used in the same sense everywhere. We have also taken the opportunity to put the manuscript properly into the journal template: the section and sub-section headings, the figure and table captions and the body text now carry the MDPI styles rather than the default ones they had been given, in-text callouts read “Figure 1” instead of “Fig. 1”, and the reference list has been made internally consistent, with the journal name in italic and the year in bold throughout, including the entries that were added during this revision.</w:t>
      </w:r>
    </w:p>
    <w:p>
      <w:pPr>
        <w:spacing w:before="240"/>
      </w:pPr>
      <w:r>
        <w:rPr>
          <w:b/>
          <w:color w:val="1F3B73"/>
          <w:sz w:val="28"/>
        </w:rPr>
        <w:t>Reviewer 2</w:t>
      </w:r>
    </w:p>
    <w:p>
      <w:pPr>
        <w:spacing w:after="60"/>
        <w:ind w:left="288"/>
      </w:pPr>
      <w:r>
        <w:rPr>
          <w:i/>
          <w:color w:val="555555"/>
        </w:rPr>
        <w:t>The manuscript does not specify the wine variety, vintage, initial chemical parameters. More information on BiB material properties should be given.</w:t>
      </w:r>
    </w:p>
    <w:p>
      <w:pPr>
        <w:ind w:left="288"/>
      </w:pPr>
      <w:r>
        <w:rPr>
          <w:b/>
        </w:rPr>
        <w:t xml:space="preserve">Response: </w:t>
      </w:r>
      <w:r>
        <w:t>The wine has now been identified as a commercial white wine supplied by Castellani S.p.A., packaged in standard 3-L Bag-in-Box units of the type used for commercial export. We must, however, be straightforward about a limitation: the grape variety and the vintage were not disclosed to us, because the product was supplied as a finished commercial wine. We have said so in the Materials and Methods rather than leave the omission unexplained, and we have noted it again in Section 3.4. Since the object of the study was the behaviour of the packaging under palletisation and heat, and not the varietal character of the wine, we do not believe this affects the interpretation, though it does limit generalisation to other products. The initial composition is that of the 19 °C reference in Table 2, and this is now stated explicitly. The description of the BiB has been expanded: a flexible multilayer film with an oxygen-barrier layer and an integrated dispensing valve, housed in a corrugated cardboard case that carries the mechanical load during palletisation.</w:t>
      </w:r>
    </w:p>
    <w:p>
      <w:pPr>
        <w:spacing w:after="60"/>
        <w:ind w:left="288"/>
      </w:pPr>
      <w:r>
        <w:rPr>
          <w:i/>
          <w:color w:val="555555"/>
        </w:rPr>
        <w:t>How were MEMS sensors inserted into wine-filled bags? Was the bag punctured and resealed? Did insertion create leakage risk or alter internal pressure?</w:t>
      </w:r>
    </w:p>
    <w:p>
      <w:pPr>
        <w:ind w:left="288"/>
      </w:pPr>
      <w:r>
        <w:rPr>
          <w:b/>
        </w:rPr>
        <w:t xml:space="preserve">Response: </w:t>
      </w:r>
      <w:r>
        <w:t>The bag was not punctured. The sensor assembly — an MS5803-05BA transducer, an ESP8285 microcontroller and a lithium battery in an oil-filled plastic casing — was introduced through the existing filling/dispensing valve before the bag was finally sealed, so the multilayer film and its barrier layer were never breached. Sealing then followed the standard procedure of the filling line. There was therefore no leakage path and no artificial perturbation of the internal pressure. This is now described in Section 2.2.</w:t>
      </w:r>
    </w:p>
    <w:p>
      <w:pPr>
        <w:spacing w:after="60"/>
        <w:ind w:left="288"/>
      </w:pPr>
      <w:r>
        <w:rPr>
          <w:i/>
          <w:color w:val="555555"/>
        </w:rPr>
        <w:t>The authors state that six MEMS sensors were used corresponding to three independent stack configurations (n=3). However, it is unclear whether the reported pressure values represent true biological/technical replicates or repeated measures from the same stacks. The degree of independence between replicates needs clarification.</w:t>
      </w:r>
    </w:p>
    <w:p>
      <w:pPr>
        <w:ind w:left="288"/>
      </w:pPr>
      <w:r>
        <w:rPr>
          <w:b/>
        </w:rPr>
        <w:t xml:space="preserve">Response: </w:t>
      </w:r>
      <w:r>
        <w:t>The replicates are independent units, not repeated measures. Each chamber contained three stacks that were built and filled separately, and each stack carried its own two sensors, one at the top and one at the bottom. Every trace therefore comes from a different sensor in a different BiB in a different stack, and n = 3 refers to three independent stacks per position and temperature. Section 2.2 now states this. We have also added a methodological point that the reviewer’s question brought into focus. The transducer has now been identified precisely in the text (MS5803-05BA, TE Connectivity) and its specification taken from the data sheet, which is cited as reference [24]: it is guaranteed to ±1.5 mbar between 300 and 1100 mbar at 20 °C, a tolerance that widens to ±100 mbar over the full 0–5 bar and 0–50 °C envelope, while resolving 0.036–0.195 mbar and holding ±1 mbar per year. Absolute readings from different sensors are therefore not directly comparable, whereas the change measured by one sensor against its own baseline is reliable, and the analysis is performed on that quantity. On that basis a two-way analysis of variance on the peak ΔP identifies stack position as the only significant factor (F(1,8) = 9.14; p = 0.017), the bottom units developing about 21 mbar more than the top ones at the pressurisation peak. Since the design carries two factors at once, Section 2.4 now sets the method out properly rather than merely naming it: the linear model is given as Equation (1) and the variance ratio as Equation (2), with each term defined, the degrees of freedom derived (which is where F(1,8) comes from), and the standard treatment cited [26]. We also explain a choice the unbalanced design forces on us — one bottom sensor at 19 °C returned no record, so the four cells hold three, three, three and two units — and the sums of squares are accordingly computed by the Type II method, which is the recommended option for unbalanced data with a non-significant interaction [27]. The computation was carried out with the statsmodels package [28], and the commented script that derives the summary values from the raw records and reproduces every F ratio reported in the paper is available to the editor and the reviewers on request; it is named in the Data Availability Statement. We should add that this advantage proves transient: by day 20 the units have converged and neither factor is significant (position, p = 0.57; temperature, p = 0.39), which we now report and interpret as the flexible bag accommodating the load rather than sustaining it.</w:t>
      </w:r>
    </w:p>
    <w:p>
      <w:pPr>
        <w:spacing w:after="60"/>
        <w:ind w:left="288"/>
      </w:pPr>
      <w:r>
        <w:rPr>
          <w:i/>
          <w:color w:val="555555"/>
        </w:rPr>
        <w:t>While 50°C is described as “representative of critical conditions found in non-refrigerated containers,” no citation is provided to support that this temperature is routinely reached inside shipping containers during ocean transport.</w:t>
      </w:r>
    </w:p>
    <w:p>
      <w:pPr>
        <w:ind w:left="288"/>
      </w:pPr>
      <w:r>
        <w:rPr>
          <w:b/>
        </w:rPr>
        <w:t xml:space="preserve">Response: </w:t>
      </w:r>
      <w:r>
        <w:t>A citation has been added [15]. We have also moderated the wording: 50 °C is presented as a deliberately severe, worst-case value rather than as a routine one, and Section 3.4 now records that real shipments experience fluctuating rather than constant temperatures.</w:t>
      </w:r>
    </w:p>
    <w:p>
      <w:pPr>
        <w:spacing w:after="60"/>
        <w:ind w:left="288"/>
      </w:pPr>
      <w:r>
        <w:rPr>
          <w:i/>
          <w:color w:val="555555"/>
        </w:rPr>
        <w:t>The 20-day storage period is used without justification.</w:t>
      </w:r>
    </w:p>
    <w:p>
      <w:pPr>
        <w:ind w:left="288"/>
      </w:pPr>
      <w:r>
        <w:rPr>
          <w:b/>
        </w:rPr>
        <w:t xml:space="preserve">Response: </w:t>
      </w:r>
      <w:r>
        <w:t>The justification is now given in the Materials and Methods: 20 days approximates the duration of transoceanic shipment to distant markets such as the United States, which typically takes two to four weeks [15]. The revised Figure 3 shows the whole of that window.</w:t>
      </w:r>
    </w:p>
    <w:p>
      <w:pPr>
        <w:spacing w:after="60"/>
        <w:ind w:left="288"/>
      </w:pPr>
      <w:r>
        <w:rPr>
          <w:i/>
          <w:color w:val="555555"/>
        </w:rPr>
        <w:t>Chemical and physical indicators influence each other. Add some discussion to link them.</w:t>
      </w:r>
    </w:p>
    <w:p>
      <w:pPr>
        <w:ind w:left="288"/>
      </w:pPr>
      <w:r>
        <w:rPr>
          <w:b/>
        </w:rPr>
        <w:t xml:space="preserve">Response: </w:t>
      </w:r>
      <w:r>
        <w:t>A paragraph linking the two has been added at the end of Section 3.2, though the corrected data led us to a different conclusion from the one we had expected. The two responses are driven by different factors rather than by each other: the internal pressure is governed by vertical load, with the bottom units consistently more pressurised than the top ones and no resolvable contribution from temperature (F(1,8) = 0.21; p = 0.66), whereas the compositional changes are governed by temperature alone. We now discuss the practical implication of that separation — that the two variables have to be controlled independently — and we are careful not to imply a chemical signature of palletisation, since the chemistry was not resolved by position.</w:t>
      </w:r>
    </w:p>
    <w:p>
      <w:pPr>
        <w:spacing w:after="60"/>
        <w:ind w:left="288"/>
      </w:pPr>
      <w:r>
        <w:rPr>
          <w:i/>
          <w:color w:val="555555"/>
        </w:rPr>
        <w:t>Include a section on the limitations and future research outlook of this study.</w:t>
      </w:r>
    </w:p>
    <w:p>
      <w:pPr>
        <w:ind w:left="288"/>
      </w:pPr>
      <w:r>
        <w:rPr>
          <w:b/>
        </w:rPr>
        <w:t xml:space="preserve">Response: </w:t>
      </w:r>
      <w:r>
        <w:t>Section 3.4, “Limitations and future perspectives”, has been added. It covers the single wine and single format, the undisclosed variety and vintage, the constant-temperature design, the absence of position-resolved chemistry, the sensor accuracy over the full range and the limited power of a three-stack design to detect a small thermal effect, the narrow range of stack heights, and the sensor settling transient. It also sets out what should come next: more wines and formats, stack heights extended towards full pallet loads, realistic fluctuating temperature and vibration profiles, and position-resolved sampling paired with position-resolved pressure.</w:t>
      </w:r>
    </w:p>
    <w:p>
      <w:pPr>
        <w:spacing w:after="60"/>
        <w:ind w:left="288"/>
      </w:pPr>
      <w:r>
        <w:rPr>
          <w:i/>
          <w:color w:val="555555"/>
        </w:rPr>
        <w:t>Revise reference styles carefully. For example, no page numbers for reference 6.</w:t>
      </w:r>
    </w:p>
    <w:p>
      <w:pPr>
        <w:ind w:left="288"/>
      </w:pPr>
      <w:r>
        <w:rPr>
          <w:b/>
        </w:rPr>
        <w:t xml:space="preserve">Response: </w:t>
      </w:r>
      <w:r>
        <w:t>The reference list has been checked against the journal style. Reference 6 is an article-number publication and now carries its article number, and references 7 and 14 have been completed. The two references that were not pertinent to the malolactic discussion have been replaced by Scrimgeour et al. (2015) and Hopfer et al. (2013). Five references have been added in the course of this revision and follow the same style: the data sheets of the two devices, now that the instrumentation is identified precisely (MS5803-05BA [24] and the ESP-M2/ESP8285 board [25]), and three sources for the statistical treatment — Montgomery for the two-way model and the F test [26], Langsrud for the use of Type II sums of squares with unbalanced data [27] and the statsmodels package [28]. The list now runs to 28 entries, and we have made the whole of it internally consistent, with the journal name in italic and the year in bold throughout — including the entries that had been added earlier and did not follow the pattern.</w:t>
      </w:r>
    </w:p>
    <w:p>
      <w:pPr>
        <w:spacing w:before="240"/>
      </w:pPr>
      <w:r>
        <w:rPr>
          <w:b/>
          <w:color w:val="1F3B73"/>
          <w:sz w:val="28"/>
        </w:rPr>
        <w:t>Reviewer 3</w:t>
      </w:r>
    </w:p>
    <w:p>
      <w:pPr>
        <w:spacing w:after="60"/>
        <w:ind w:left="288"/>
      </w:pPr>
      <w:r>
        <w:rPr>
          <w:i/>
          <w:color w:val="555555"/>
        </w:rPr>
        <w:t>1) The introduction describes the advantages of using the selected packaging … However, there is no mention of studies on wine storage in similar packaging, what factors have already been studied … The hypothesis and the purpose of this study are not clear …</w:t>
      </w:r>
    </w:p>
    <w:p>
      <w:pPr>
        <w:ind w:left="288"/>
      </w:pPr>
      <w:r>
        <w:rPr>
          <w:b/>
        </w:rPr>
        <w:t xml:space="preserve">Response: </w:t>
      </w:r>
      <w:r>
        <w:t>A paragraph has been added to the end of the Introduction. It summarises what is already known about storage temperature and packaging — that heat accelerates the loss of sulphur dioxide and the development of volatile acidity, and that the barrier properties of the container condition the rate of these reactions — and then identifies the gap: this evidence concerns bottled wine or static storage, whereas the behaviour of BiB units that are palletised and simultaneously exposed to heat and vertical load has not been described, and the internal pressure of the flexible bag has not been measured at all. The aim and the hypothesis are now stated in so many words: we tested whether stacking configuration and storage temperature measurably affect the internal pressure and the chemical stability of 3-L BiB units, expecting both a higher temperature and a greater vertical load to raise the internal pressure. The reader can now judge the outcome against that expectation — and, as it turned out, only half of it was borne out.</w:t>
      </w:r>
    </w:p>
    <w:p>
      <w:pPr>
        <w:spacing w:after="60"/>
        <w:ind w:left="288"/>
      </w:pPr>
      <w:r>
        <w:rPr>
          <w:i/>
          <w:color w:val="555555"/>
        </w:rPr>
        <w:t>2) … the general conclusions from this data are obvious and have already been studied … The fact that sulfur oxide content or volatile acidity changes is not new … Perhaps it’s worth paying attention to the parameters that remained stable and why … How critical is a change in the studied parameters at these values? If the changes are critical, what should be done?</w:t>
      </w:r>
    </w:p>
    <w:p>
      <w:pPr>
        <w:ind w:left="288"/>
      </w:pPr>
      <w:r>
        <w:rPr>
          <w:b/>
        </w:rPr>
        <w:t xml:space="preserve">Response: </w:t>
      </w:r>
      <w:r>
        <w:t>We accept the criticism: taken alone, the loss of SO₂ and the rise in volatile acidity at 50 °C are expected, and the two papers the reviewer cites are now included in the Introduction and in the discussion of the organic acids. The discussion has been reorganised along the lines suggested. It now emphasises what did not change — pH, titratable acidity, ethanol and total phenols were all statistically unchanged, so the acid–base framework, the alcoholic strength and the phenolic pool survived even this regime — and it weighs the magnitude of what did. Volatile acidity reached 0.39 g/L, below the sensory threshold of about 0.7 g/L, so it is not of practical concern over this window. Free SO₂ fell from 31 to 16 mg/L, roughly half the reserve, and this is the one change we regard as critical, because it is the antioxidant and antimicrobial buffer that has to last for the rest of the product’s life, not only for the voyage. The corresponding recommendation — temperature control during transit, since the depletion is thermal and no packaging arrangement compensates for it — is now stated in the conclusions. We would add that the novelty of the work does not lie in the chemistry but in the pressure measurement inside the bag, which had not previously been reported and which produced the result we did not anticipate (see below).</w:t>
      </w:r>
    </w:p>
    <w:p>
      <w:pPr>
        <w:spacing w:after="60"/>
        <w:ind w:left="288"/>
      </w:pPr>
      <w:r>
        <w:rPr>
          <w:i/>
          <w:color w:val="555555"/>
        </w:rPr>
        <w:t>3) The conclusion uses general terms that in no way characterize either the novelty or the practical significance … If the title mentions “optimization,” then what are the optimal transportation conditions … Based on the data obtained, it seems that pallet size is not important. So why were two different palletization options studied? To confirm that it has no effect? And how necessary is it really to monitor pressure during transportation? …</w:t>
      </w:r>
    </w:p>
    <w:p>
      <w:pPr>
        <w:ind w:left="288"/>
      </w:pPr>
      <w:r>
        <w:rPr>
          <w:b/>
        </w:rPr>
        <w:t xml:space="preserve">Response: </w:t>
      </w:r>
      <w:r>
        <w:t>These questions are fair, and the corrected analysis lets us answer them properly. “Optimisation” has been dropped from the title and the text, since no optimum was determined. On palletisation, the reviewer’s reading was right about stack height and wrong about position — a distinction the earlier version failed to make. Height matters little: 97 cm and 128 cm stacks behave much alike, and we now say plainly that stack height in this range is not a critical variable. Position within the stack matters: referred to each sensor’s own baseline, the bottom units gained 83.8 ± 13.0 mbar against 63.1 ± 8.1 mbar for the top units, a difference of about 21 mbar that is significant (two-way ANOVA, F(1,8) = 9.14; p = 0.017) and reproduced in both chambers. The two heights were compared precisely in order to test whether vertical load matters, and the answer is that it does, through position rather than through height. As for the necessity of pressure monitoring, our own data make the case better than our original text did. Pressure does change during storage — every unit rose by 60–90 mbar and peaked on day 4, then relaxed — and that relaxation occurred while the units were still warming, which rules out simple thermal expansion and points to the flexible film accommodating under sustained load. None of this is visible from outside the pallet. The practical value is that monitoring identifies which units in a load are the most stressed and when, which is the information needed to set stacking limits and packaging specifications. We also report a negative result that we consider useful: the pressure response was statistically indistinguishable between the 19 °C and 50 °C chambers (F(1,8) = 0.21; p = 0.66). Since the chemistry depends on temperature and the mechanics on load, the two have to be managed separately, and the conclusions now say so instead of resting on general statements.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