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Response to Reviewer 3</w:t>
      </w:r>
    </w:p>
    <w:p>
      <w:r>
        <w:rPr>
          <w:b/>
        </w:rPr>
        <w:t>Manuscript:</w:t>
      </w:r>
      <w:r>
        <w:t xml:space="preserve"> "Palletisation and In-Bag Thermal Exposure in Bag-in-Box Wine Packaging under Simulated Export Conditions"</w:t>
      </w:r>
    </w:p>
    <w:p>
      <w:r>
        <w:t>We thank Reviewer 3 for the detailed and constructive assessment. Following the initial revision, additional pressure/temperature workbooks and figures became available. We therefore re-audited data provenance, reran the pressure analysis from the main-trial workbook, quantified the first-five-hour sensitivity, reconstructed the verification trial, regenerated Figures 3-7 with unambiguous nominal set-point labels, and updated the manuscript accordingly. The additional data improve traceability but do not add independent chamber replication, main-trial stack IDs, raw chemical replicates, microbiology, shelf-life follow-up or cost data.</w:t>
      </w:r>
    </w:p>
    <w:p>
      <w:pPr>
        <w:pStyle w:val="Heading1"/>
      </w:pPr>
      <w:r>
        <w:t>R3.1 Stacking configuration and interpretability</w:t>
      </w:r>
    </w:p>
    <w:p>
      <w:pPr>
        <w:pStyle w:val="Heading2"/>
      </w:pPr>
      <w:r>
        <w:t>Reviewer Comment</w:t>
      </w:r>
    </w:p>
    <w:p>
      <w:pPr>
        <w:ind w:left="360"/>
      </w:pPr>
      <w:r>
        <w:rPr>
          <w:i/>
        </w:rPr>
        <w:t>It is difficult to evaluate stacking configuration because different configurations and temperatures may be confounded or averaged.</w:t>
      </w:r>
    </w:p>
    <w:p>
      <w:pPr>
        <w:pStyle w:val="Heading2"/>
      </w:pPr>
      <w:r>
        <w:t>Response</w:t>
      </w:r>
    </w:p>
    <w:p>
      <w:r>
        <w:t>We appreciate this point. The final manuscript clarifies that the pressure analysis evaluates top versus bottom package position under the tested stack configuration. Stack height was not analysed as an independent factor because the design contained one four-box stack and two three-box stacks per nominal chamber condition. The newly available Results.xlsx workbook restores the main-trial traces but does not restore stack IDs or sensor-to-stack pairings. Chamber condition also remains unreplicated at the chamber level. The pressure ANOVA is therefore presented as exploratory sensor-level analysis rather than a definitive test of stack height, chamber temperature or paired stack effects.</w:t>
      </w:r>
    </w:p>
    <w:p>
      <w:pPr>
        <w:pStyle w:val="Heading2"/>
      </w:pPr>
      <w:r>
        <w:t>Changes in Manuscript</w:t>
      </w:r>
    </w:p>
    <w:p>
      <w:r>
        <w:t>Figure 2 caption, Table 1 note, Sections 2.2, 2.4, 3.4 and Conclusions were revised to define the tested factors and inference limits.</w:t>
      </w:r>
    </w:p>
    <w:p>
      <w:pPr>
        <w:pStyle w:val="Heading1"/>
      </w:pPr>
      <w:r>
        <w:t>R3.2 SO2 reduction and post-transport shelf life</w:t>
      </w:r>
    </w:p>
    <w:p>
      <w:pPr>
        <w:pStyle w:val="Heading2"/>
      </w:pPr>
      <w:r>
        <w:t>Reviewer Comment</w:t>
      </w:r>
    </w:p>
    <w:p>
      <w:pPr>
        <w:ind w:left="360"/>
      </w:pPr>
      <w:r>
        <w:rPr>
          <w:i/>
        </w:rPr>
        <w:t>Could SO2 loss affect shelf life and storage after transport?</w:t>
      </w:r>
    </w:p>
    <w:p>
      <w:pPr>
        <w:pStyle w:val="Heading2"/>
      </w:pPr>
      <w:r>
        <w:t>Response</w:t>
      </w:r>
    </w:p>
    <w:p>
      <w:r>
        <w:t>We discuss this conservatively. The final manuscript reports that wine from the nominally warmer chamber had lower total and free SO2 values after 20 days than the reference-chamber wine. This may indicate a lower antioxidant and antimicrobial reserve after transport, but actual post-transport shelf life, sensory quality and microbial stability were not measured. We therefore present shelf-life impact as a potential implication, not a measured outcome.</w:t>
      </w:r>
    </w:p>
    <w:p>
      <w:pPr>
        <w:pStyle w:val="Heading2"/>
      </w:pPr>
      <w:r>
        <w:t>Changes in Manuscript</w:t>
      </w:r>
    </w:p>
    <w:p>
      <w:r>
        <w:t>Section 3.1, Limitations and Conclusions were revised.</w:t>
      </w:r>
    </w:p>
    <w:p>
      <w:pPr>
        <w:pStyle w:val="Heading1"/>
      </w:pPr>
      <w:r>
        <w:t>R3.3 Economic feasibility of pressure sensors</w:t>
      </w:r>
    </w:p>
    <w:p>
      <w:pPr>
        <w:pStyle w:val="Heading2"/>
      </w:pPr>
      <w:r>
        <w:t>Reviewer Comment</w:t>
      </w:r>
    </w:p>
    <w:p>
      <w:pPr>
        <w:ind w:left="360"/>
      </w:pPr>
      <w:r>
        <w:rPr>
          <w:i/>
        </w:rPr>
        <w:t>The feasibility of using pressure sensors at scale is unclear.</w:t>
      </w:r>
    </w:p>
    <w:p>
      <w:pPr>
        <w:pStyle w:val="Heading2"/>
      </w:pPr>
      <w:r>
        <w:t>Response</w:t>
      </w:r>
    </w:p>
    <w:p>
      <w:r>
        <w:t>We agree. The manuscript no longer recommends instrumenting every commercial BiB. It frames sensor use as selected sentinel packages, validation campaigns and quality-control deployments. We also state that no techno-economic analysis or deployment-density study was performed.</w:t>
      </w:r>
    </w:p>
    <w:p>
      <w:pPr>
        <w:pStyle w:val="Heading2"/>
      </w:pPr>
      <w:r>
        <w:t>Changes in Manuscript</w:t>
      </w:r>
    </w:p>
    <w:p>
      <w:r>
        <w:t>Limitations and Conclusions were revised.</w:t>
      </w:r>
    </w:p>
    <w:p>
      <w:pPr>
        <w:pStyle w:val="Heading1"/>
      </w:pPr>
      <w:r>
        <w:t>R3.4 Thermal behaviour under nominal 19 degC and nominal 50 degC conditions</w:t>
      </w:r>
    </w:p>
    <w:p>
      <w:pPr>
        <w:pStyle w:val="Heading2"/>
      </w:pPr>
      <w:r>
        <w:t>Reviewer Comment</w:t>
      </w:r>
    </w:p>
    <w:p>
      <w:pPr>
        <w:ind w:left="360"/>
      </w:pPr>
      <w:r>
        <w:rPr>
          <w:i/>
        </w:rPr>
        <w:t>The nominal 50 degC packages stayed below set point, whereas nominal 19 degC packages reached about 23 degC; this different behaviour needs explanation.</w:t>
      </w:r>
    </w:p>
    <w:p>
      <w:pPr>
        <w:pStyle w:val="Heading2"/>
      </w:pPr>
      <w:r>
        <w:t>Response</w:t>
      </w:r>
    </w:p>
    <w:p>
      <w:r>
        <w:t>The newly available Results.xlsx workbook lets us answer this quantitatively. Late in the main trial, nominal 50 degC packages averaged 34.18 +/- 0.36 degC at top sensors and 26.08 +/- 0.23 degC at bottom sensors; nominal 19 degC packages averaged 23.50 +/- 0.21 degC at top sensors and 22.84 +/- 0.30 degC at bottom sensors. The manuscript now separates observed facts from interpretation. The observations are consistent with thermal inertia, chamber loading, heat-transfer resistance through the pallet/stack and airflow constraints, but the chamber model, airflow and occupancy data were not recorded, so these remain hypotheses rather than established causes.</w:t>
      </w:r>
    </w:p>
    <w:p>
      <w:pPr>
        <w:pStyle w:val="Heading2"/>
      </w:pPr>
      <w:r>
        <w:t>Changes in Manuscript</w:t>
      </w:r>
    </w:p>
    <w:p>
      <w:r>
        <w:t>Sections 3.2, 3.3, 3.4 and the captions to Figures 3 and 6 were revised with the quantified temperatures and cautious interpretation.</w:t>
      </w:r>
    </w:p>
    <w:p>
      <w:pPr>
        <w:pStyle w:val="Heading1"/>
      </w:pPr>
      <w:r>
        <w:t>R3.5 Main experiment versus verification experiment discrepancy</w:t>
      </w:r>
    </w:p>
    <w:p>
      <w:pPr>
        <w:pStyle w:val="Heading2"/>
      </w:pPr>
      <w:r>
        <w:t>Reviewer Comment</w:t>
      </w:r>
    </w:p>
    <w:p>
      <w:pPr>
        <w:ind w:left="360"/>
      </w:pPr>
      <w:r>
        <w:rPr>
          <w:i/>
        </w:rPr>
        <w:t>The large difference between the main and verification experiment may indicate an error or scale effect.</w:t>
      </w:r>
    </w:p>
    <w:p>
      <w:pPr>
        <w:pStyle w:val="Heading2"/>
      </w:pPr>
      <w:r>
        <w:t>Response</w:t>
      </w:r>
    </w:p>
    <w:p>
      <w:r>
        <w:t>We do not dismiss the discrepancy. The verification workbook shows that the single three-box stack reached much warmer in-bag temperatures than the main nominal 50 degC trial, although no verification sensor reached 50 degC. Sensor maxima were 48.8 degC (V26 top, before dropout), 47.7 degC (V62 top), 45.0 degC (V27 bottom) and 47.6 degC (V64 bottom). Compared with the main trial late means, the verification trial was about 13.4 degC warmer at the top and about 20.2 degC warmer at the bottom. The final manuscript states that the discrepancy may reflect scale, chamber loading, stack geometry, airflow, chamber performance or sensor-location differences, but the available records do not identify a single cause. We therefore do not use the verification trial to correct or override the main trial; it is treated as a separate limited observation.</w:t>
      </w:r>
    </w:p>
    <w:p>
      <w:pPr>
        <w:pStyle w:val="Heading2"/>
      </w:pPr>
      <w:r>
        <w:t>Changes in Manuscript</w:t>
      </w:r>
    </w:p>
    <w:p>
      <w:r>
        <w:t>Sections 3.3 and 3.4, Figure 6 caption, Figure 7 caption and Conclusions were revised to quantify the discrepancy and avoid unsupported causal attribution.</w:t>
      </w:r>
    </w:p>
    <w:p>
      <w:pPr>
        <w:pStyle w:val="Heading1"/>
      </w:pPr>
      <w:r>
        <w:t>R3.6 English readability</w:t>
      </w:r>
    </w:p>
    <w:p>
      <w:pPr>
        <w:pStyle w:val="Heading2"/>
      </w:pPr>
      <w:r>
        <w:t>Reviewer Comment</w:t>
      </w:r>
    </w:p>
    <w:p>
      <w:pPr>
        <w:ind w:left="360"/>
      </w:pPr>
      <w:r>
        <w:rPr>
          <w:i/>
        </w:rPr>
        <w:t>Several sentences are overly complex.</w:t>
      </w:r>
    </w:p>
    <w:p>
      <w:pPr>
        <w:pStyle w:val="Heading2"/>
      </w:pPr>
      <w:r>
        <w:t>Response</w:t>
      </w:r>
    </w:p>
    <w:p>
      <w:r>
        <w:t>The manuscript was edited throughout in the first revision and then edited again after the second-pass data audit. The final version uses shorter sentences and consistent terminology for nominal set point, nominal chamber condition and measured in-bag temperature.</w:t>
      </w:r>
    </w:p>
    <w:p>
      <w:pPr>
        <w:pStyle w:val="Heading2"/>
      </w:pPr>
      <w:r>
        <w:t>Changes in Manuscript</w:t>
      </w:r>
    </w:p>
    <w:p>
      <w:r>
        <w:t>The Abstract, Methods, Results, figure/table captions, Limitations and Conclusions were substantially revised and highlighted where changes were reviewer-driven.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