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rsidRPr="00200587">
        <w:rPr>
          <w:sz w:val="36"/>
          <w:szCs w:val="36"/>
        </w:rPr>
        <w:t>Palletisation and In-Bag Thermal Exposure in Bag-in-Box Wine Packaging under Simulated Export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tbl>
      <w:tblPr>
        <w:tblpPr w:leftFromText="198" w:rightFromText="198" w:vertAnchor="page" w:horzAnchor="margin" w:tblpY="11461"/>
        <w:tblW w:w="2410" w:type="dxa"/>
        <w:tblCellMar>
          <w:left w:w="0" w:type="dxa"/>
          <w:right w:w="0" w:type="dxa"/>
        </w:tblCellMar>
        <w:tblLook w:val="04A0" w:firstRow="1" w:lastRow="0" w:firstColumn="1" w:lastColumn="0" w:noHBand="0" w:noVBand="1"/>
      </w:tblPr>
      <w:tblGrid>
        <w:gridCol w:w="3005"/>
      </w:tblGrid>
      <w:tr w:rsidR="009C6330" w:rsidRPr="00BB0B41" w14:paraId="48A3C9CA" w14:textId="77777777">
        <w:tc>
          <w:tcPr>
            <w:tcW w:w="2410" w:type="dxa"/>
          </w:tcPr>
          <w:p w14:paraId="47A4116B" w14:textId="77777777" w:rsidR="009C6330" w:rsidRPr="00BB0B41" w:rsidRDefault="00096756">
            <w:pPr>
              <w:pStyle w:val="MDPI15academiceditor"/>
              <w:spacing w:before="0" w:after="120"/>
            </w:pPr>
            <w:r w:rsidRPr="00BB0B41">
              <w:t>Academic Editor: Firstname Lastname</w:t>
            </w:r>
          </w:p>
          <w:p w14:paraId="7C3D06CA" w14:textId="77777777" w:rsidR="009C6330" w:rsidRPr="00BB0B41" w:rsidRDefault="00096756">
            <w:pPr>
              <w:pStyle w:val="MDPI14history"/>
              <w:spacing w:before="120"/>
            </w:pPr>
            <w:r w:rsidRPr="00BB0B41">
              <w:t>Received: date</w:t>
            </w:r>
          </w:p>
          <w:p w14:paraId="4C3A7A2E" w14:textId="77777777" w:rsidR="009C6330" w:rsidRPr="00BB0B41" w:rsidRDefault="00096756">
            <w:pPr>
              <w:pStyle w:val="MDPI14history"/>
            </w:pPr>
            <w:r w:rsidRPr="00BB0B41">
              <w:t>Revised: date</w:t>
            </w:r>
          </w:p>
          <w:p w14:paraId="7A6E07DB" w14:textId="77777777" w:rsidR="009C6330" w:rsidRPr="00BB0B41" w:rsidRDefault="00096756">
            <w:pPr>
              <w:pStyle w:val="MDPI14history"/>
            </w:pPr>
            <w:r w:rsidRPr="00BB0B41">
              <w:t>Accepted: date</w:t>
            </w:r>
          </w:p>
          <w:p w14:paraId="6A3051E5" w14:textId="77777777" w:rsidR="009C6330" w:rsidRPr="00BB0B41" w:rsidRDefault="00096756">
            <w:pPr>
              <w:pStyle w:val="MDPI14history"/>
              <w:spacing w:after="120"/>
            </w:pPr>
            <w:r w:rsidRPr="00BB0B41">
              <w:t>Published: date</w:t>
            </w:r>
          </w:p>
          <w:p w14:paraId="5AC2A96A" w14:textId="77777777" w:rsidR="009C6330" w:rsidRPr="00BB0B41" w:rsidRDefault="00096756">
            <w:pPr>
              <w:pStyle w:val="MDPI61citation"/>
              <w:rPr>
                <w:lang w:bidi="en-US"/>
              </w:rPr>
            </w:pPr>
            <w:r w:rsidRPr="00BB0B41">
              <w:rPr>
                <w:b/>
                <w:lang w:bidi="en-US"/>
              </w:rPr>
              <w:t xml:space="preserve">Citation: </w:t>
            </w:r>
            <w:r w:rsidRPr="00BB0B41">
              <w:rPr>
                <w:lang w:bidi="en-US"/>
              </w:rPr>
              <w:t>To be added by editorial staff during production.</w:t>
            </w:r>
          </w:p>
          <w:p w14:paraId="78EA1E92" w14:textId="77777777" w:rsidR="009C6330" w:rsidRPr="00BB0B41" w:rsidRDefault="00096756">
            <w:pPr>
              <w:pStyle w:val="MDPI72copyright"/>
              <w:rPr>
                <w:rFonts w:eastAsia="DengXian"/>
                <w:lang w:val="en-US" w:bidi="en-US"/>
              </w:rPr>
            </w:pPr>
            <w:r w:rsidRPr="00BB0B41">
              <w:rPr>
                <w:rFonts w:eastAsia="DengXian"/>
                <w:b/>
                <w:lang w:val="en-US" w:bidi="en-US"/>
              </w:rPr>
              <w:t>Copyright:</w:t>
            </w:r>
            <w:r w:rsidRPr="00BB0B41">
              <w:rPr>
                <w:rFonts w:eastAsia="DengXian"/>
                <w:lang w:val="en-US" w:bidi="en-US"/>
              </w:rPr>
              <w:t xml:space="preserve"> © 2025 by the authors. Submitted for possible open access publication under the terms and conditions of the Creative Commons Attribution (CC BY) license (https://creativecommons.org/licenses/by/4.0/).</w:t>
            </w:r>
          </w:p>
        </w:tc>
      </w:tr>
    </w:tbl>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rPr>
          <w:highlight w:val="yellow"/>
        </w:rPr>
        <w:t>Bag-in-Box (BiB) packaging can reduce the logistical and environmental burden of wine exports, but its behaviour under combined stacking and thermal stress is still poorly documented. This study monitored 3-L BiB units during a 20-day simulated export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In the nominal 19 °C chamber, top and bottom units averaged 23.50 ± 0.21 °C and 22.84 ± 0.30 °C, respectively. Internal pressure rose after handling; individual post-handling peaks occurred between 85.0 and 138.5 h. In an exploratory sensor-level analysis, bottom-position BiBs had a larger peak baseline-referred pressure increase than top-position BiBs (adjusted difference 20.4 mbar; 95% CI 4.8-35.9 mbar; F(1,8) = 9.14; p = 0.017). No statistically detectable nominal chamber-condition effect was observed, and by day 20 neither sensor-level factor was statistically detectable. Bulk wine from the nominally warmer chamber showed lower free and total SO₂ and higher volatile acidity after 20 days. It also had a numerically higher lactic-acid value, but the summary chemistry data were not resolved by stack position and raw chemical replicates were unavailable. In the verification trial, sensor maxima ranged from 45.0 to 48.8 °C and no in-bag sensor reached 50 °C; pressure changes remained transient (9.6-26.5 mbar). The results support selected sentinel sensing to document actual package conditions and mechanically stressed positions,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rsidRPr="00BB0B41">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a simulated export period, or about how measured in-package thermal exposure compares with nominal chamber settings.</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2C6E7491" w14:textId="77777777" w:rsidR="009C6330" w:rsidRPr="00BB0B41" w:rsidRDefault="00096756">
      <w:pPr>
        <w:pStyle w:val="MDPI31text"/>
      </w:pPr>
      <w:r>
        <w:rPr>
          <w:highlight w:val="yellow"/>
        </w:rPr>
        <w:t>The present work was designed to test whether stack position and a severe nominal chamber condition measurably affected internal pressure and selected chemical parameters of commercial 3-L BiB white wine.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rsidRPr="00BB0B41">
        <w:rPr>
          <w:highlight w:val="yellow"/>
        </w:rPr>
        <w:t>The purpose of the work was to simulate selected environmental stresses that wine may encounter during sea-container shipment to distant markets, particularly the United States. The work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highlight w:val="yellow"/>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highlight w:val="yellow"/>
        </w:rPr>
        <w:t>Condition 2: chamber nominally set at 50 °C, selected as a deliberately severe thermal condition relevant to worst-case non-refrigerated transport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Pr>
          <w:highlight w:val="yellow"/>
        </w:rP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rPr>
          <w:highlight w:val="yellow"/>
        </w:rPr>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rPr>
          <w:highlight w:val="yellow"/>
        </w:rP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rPr>
          <w:highlight w:val="yellow"/>
        </w:rPr>
        <w:t>The available experimental records did not include the chamber model, chamber volume, fan power, airflow rate, or a formal pallet-occupancy ratio. These unrecorded chamber characteristics limit diagnosis of the thermal lag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rPr>
                <w:highlight w:val="yellow"/>
              </w:rP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highlight w:val="yellow"/>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highlight w:val="yellow"/>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highlight w:val="yellow"/>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highlight w:val="yellow"/>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highlight w:val="yellow"/>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highlight w:val="yellow"/>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highlight w:val="yellow"/>
              </w:rPr>
              <w:t>Verification</w:t>
            </w:r>
          </w:p>
        </w:tc>
        <w:tc>
          <w:tcPr>
            <w:tcW w:w="1743" w:type="dxa"/>
            <w:tcBorders>
              <w:bottom w:val="single" w:sz="4" w:space="0" w:color="auto"/>
            </w:tcBorders>
          </w:tcPr>
          <w:p>
            <w:r>
              <w:rPr>
                <w:highlight w:val="yellow"/>
              </w:rP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highlight w:val="yellow"/>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highlight w:val="yellow"/>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highlight w:val="yellow"/>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highlight w:val="yellow"/>
              </w:rPr>
              <w:t>2 top + 2 bottom BiB</w:t>
            </w:r>
          </w:p>
        </w:tc>
      </w:tr>
    </w:tbl>
    <w:p w14:paraId="7768C0EE" w14:textId="77777777" w:rsidR="009C6330" w:rsidRPr="00BB0B41" w:rsidRDefault="00096756">
      <w:pPr>
        <w:pStyle w:val="MDPI31text"/>
      </w:pPr>
      <w:r>
        <w:rPr>
          <w:highlight w:val="yellow"/>
        </w:rP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rPr>
          <w:highlight w:val="yellow"/>
        </w:rP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available pressure/temperature records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rPr>
          <w:highlight w:val="yellow"/>
        </w:rP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It resolves pressure to 0.036-0.195 mbar, depending on the oversampling ratio, and temperature to better than 0.01 °C. The specified pressure accuracy is ±1.5 mbar between 300 and 1100 mbar at 20 °C, widening to ±100 mbar over the full 0-5 bar and 0-50 °C envelope. Long-term pressure stability is specified as ±1 mbar per year, and temperature accuracy as ±2.5 °C. The sensor was driven by an ESP8285 microcontroller on an ESP-M2 board (Adafruit) [25] and powered by a lithium battery. The assembly was enclosed in an oil-filled plastic casing. The oil transmitted wine pressure to the transducer and dispersed the small amount of heat released by the electronics, whose draw is below 1 mA. The casing was introduced into each bag through the existing filling/dispensing valve before final sealing. The multilayer film was therefore not punctured. Sealing then followed the standard filling-line procedure, which was intended to minimise leakage and artificial perturbation of internal pressure.</w:t>
      </w:r>
    </w:p>
    <w:p w14:paraId="315C9426" w14:textId="77777777" w:rsidR="009C6330" w:rsidRPr="00BB0B41" w:rsidRDefault="00096756">
      <w:pPr>
        <w:pStyle w:val="MDPI31text"/>
        <w:spacing w:line="240" w:lineRule="auto"/>
        <w:ind w:left="2550"/>
      </w:pPr>
      <w:r>
        <w:rPr>
          <w:highlight w:val="yellow"/>
        </w:rP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rPr>
          <w:highlight w:val="yellow"/>
        </w:rP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rPr>
          <w:highlight w:val="yellow"/>
        </w:rPr>
        <w:t>One-way analysis of variance was performed using CoStat, Version 6.451, CoHort 6.0 Software (Pacific Grove, CA, USA) to assess differences in the compositional parameters among the investigated samples. Means were separated by Tukey's post hoc test at p ≤ 0.05. Re-examination of the available original experimental records showed that raw chemical replicate data were not retained. The lactic-acid SD for the nominal 50 °C chamber was traced to the originally submitted Table 2 (0.29 ± 0.02 g/L); no primary experimental record supported the alternative 0.20 g/L SD.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rPr>
          <w:highlight w:val="yellow"/>
        </w:rP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Because the next available record is at 0.020833 d, this threshold selected only the time-zero reading. The final scripts therefore select the initial valid pressure reading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rPr>
          <w:highlight w:val="yellow"/>
        </w:rP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rPr>
          <w:highlight w:val="yellow"/>
        </w:rP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using the commented script, raw-workbook extraction path and derived per-sensor summaries prepared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rPr>
          <w:highlight w:val="yellow"/>
        </w:rPr>
        <w:t>The chemical comparison concerns wine from the main trial grouped by nominal chamber condition. The labels 19 °C and 50 °C in Table 2 denote chamber set points, not measured wine temperatures. Late in the main trial, in-bag sensors showed that the nominal 50 °C chamber produced 34.18 ± 0.36 °C at top sensors and 26.08 ± 0.23 °C at bottom sensors. Packages in the nominal 19 °C chamber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rPr>
          <w:highlight w:val="yellow"/>
        </w:rPr>
        <w:t>Lactic acid was numerically higher in the wine from the nominally warmer chamber (0.29 ± 0.02 g/L) than in the reference (0.16 ± 0.05 g/L) (Table 2). This difference is not treated as statistically verified because raw chemical replicates were unavailable. The 0.29 ± 0.02 g/L value is reported because it is traceable to the originally submitted Table 2; no primary experimental record supports the alternative 0.20 g/L SD. The available measurements do not identify the mechanism for this numerical difference. Malic acid did not decrease significantly (1.0 ± 0.16 g/L against 1.1 ± 0.23 g/L), so the data do not show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not as evidence that malolactic fermentation was absent.</w:t>
      </w:r>
    </w:p>
    <w:p w14:paraId="5AD82E97" w14:textId="3CCFEEEE" w:rsidR="009C6330" w:rsidRPr="00BB0B41" w:rsidRDefault="00096756">
      <w:pPr>
        <w:pStyle w:val="MDPI31text"/>
        <w:spacing w:line="240" w:lineRule="auto"/>
        <w:ind w:left="2550"/>
      </w:pPr>
      <w:r>
        <w:rPr>
          <w:highlight w:val="yellow"/>
        </w:rP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rPr>
          <w:highlight w:val="yellow"/>
        </w:rP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rPr>
          <w:highlight w:val="yellow"/>
        </w:rP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pressure showed a brief initial transient, a pressurisation phase, and a gradual relaxation towards a lower residual level. Individual post-handling pressure maxima occurred between 85.0 and 138.5 h after the start of monitoring.</w:t>
      </w:r>
    </w:p>
    <w:p w14:paraId="360B9362" w14:textId="77777777" w:rsidR="009C6330" w:rsidRPr="00BB0B41" w:rsidRDefault="00096756">
      <w:pPr>
        <w:pStyle w:val="MDPI31text"/>
        <w:spacing w:line="240" w:lineRule="auto"/>
      </w:pPr>
      <w:r>
        <w:rPr>
          <w:highlight w:val="yellow"/>
        </w:rP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original main-trial pressure records showed that including the first five hours did not change the primary peak-pressure endpoint: for all 11 usable sensors, the full-record maximum ΔP was the same as the post-handling maximum. Early short-term pressure rankings differed among sensors, and the available records contain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rPr>
          <w:highlight w:val="yellow"/>
        </w:rPr>
        <w:t>After the handling window, pressure rose in all units and peaked between about days 3.5 and 5.8, at about 56-94 mbar above each sensor's own baseline. Pressure then declined and partly recovered towards the end of the record. Mean peak ΔP was 83.0 ± 17.2 mbar in bottom units and 66.6 ± 10.1 mbar in top units under the nominal 50 °C chamber condition. Under the nominal 19 °C condition, the corresponding values were 84.8 ± 8.8 mbar and 59.6 ± 5.1 mbar (Figure 5A). In the exploratory sensor-level Type II two-way ANOVA, stack position was associated with peak ΔP (F(1,8) = 9.14; p = 0.017). The adjusted bottom-minus-top difference was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These results provide exploratory evidence for a position-associated pressure difference under the tested configuration. The difference was transient. Precision is limited by the small, unbalanced design and by the absence of stack identifiers, which prevents a paired stack-level analysis.</w:t>
      </w:r>
    </w:p>
    <w:p w14:paraId="32DE078B" w14:textId="77777777" w:rsidR="009C6330" w:rsidRPr="00BB0B41" w:rsidRDefault="00096756">
      <w:pPr>
        <w:pStyle w:val="MDPI31text"/>
        <w:spacing w:line="240" w:lineRule="auto"/>
      </w:pPr>
      <w:r>
        <w:rPr>
          <w:highlight w:val="yellow"/>
        </w:rP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gradually but remained far below the set point: 34.18 ± 0.36 °C at the top of the stacks and 26.08 ± 0.23 °C at the bottom during the late storage window. The warmest individual main-trial sensor reached 35.3 °C. The vertical gradient of about 8 °C in the nominally hot chamber may reflect thermal inertia, chamber loading, limited heat transfer through the pallet, or airflow constraints. However, the chamber model, airflow and occupancy data needed to diagnose the mechanism were not recorded.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rPr>
          <w:highlight w:val="yellow"/>
        </w:rPr>
        <w:t>Taken together, the physical and chemical measurements identify different response patterns, but they do not support a strict causal division between palletisation and temperature. The pressure measurements were position-resolved and showed a transient bottom-position peak in ΔP. The chemical measurements were bulk samples grouped by nominal chamber condition and were not resolved by stack position. The data support a practical distinction between the measurement types. Pressure monitoring identified mechanically stressed package positions. Bulk chemical measurements indicated lower SO₂ and selected acidity differences under the nominally warmer chamber condition. The study does not show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rPr>
          <w:highlight w:val="yellow"/>
        </w:rP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rPr>
          <w:highlight w:val="yellow"/>
        </w:rP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rPr>
          <w:highlight w:val="yellow"/>
        </w:rP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pressurisation peak, bottom-position BiBs had a larger ΔP than top-position BiBs in the exploratory sensor-level analysis. The two-way ANOVA gave F(1,8) = 9.14 and p = 0.017.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rPr>
          <w:highlight w:val="yellow"/>
        </w:rPr>
        <w:t>Table 2. Chemical parameters of wine from the main trial after 20 days in chambers nominally set at 19 °C and 50 °C. The labels refer to chamber set points, not actual in-bag wine temperatures. Values are expressed as mean ± standard deviation (n = 3), except that lactic acid is reported descriptively from the traceable submitted-table values because raw chemical replicates were unavailable; no primary experimental record supported the alternative 0.20 g/L SD.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gridCol w:w="222"/>
      </w:tblGrid>
      <w:tr w:rsidR="009C6330" w:rsidRPr="00BB0B41" w14:paraId="3AA1E47C" w14:textId="77777777">
        <w:trPr>
          <w:trHeight w:val="1220"/>
        </w:trPr>
        <w:tc>
          <w:tcPr>
            <w:tcW w:w="836" w:type="dxa"/>
            <w:tcBorders>
              <w:left w:val="nil"/>
              <w:right w:val="nil"/>
            </w:tcBorders>
            <w:vAlign w:val="center"/>
          </w:tcPr>
          <w:p>
            <w:r>
              <w:rPr>
                <w:highlight w:val="yellow"/>
              </w:rPr>
              <w:t>Sample</w:t>
            </w:r>
          </w:p>
        </w:tc>
        <w:tc>
          <w:tcPr>
            <w:tcW w:w="1149" w:type="dxa"/>
            <w:tcBorders>
              <w:left w:val="nil"/>
              <w:right w:val="nil"/>
            </w:tcBorders>
            <w:vAlign w:val="center"/>
          </w:tcPr>
          <w:p w14:paraId="71A321E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Lactic Acid (g/L)</w:t>
            </w:r>
          </w:p>
        </w:tc>
        <w:tc>
          <w:tcPr>
            <w:tcW w:w="1134" w:type="dxa"/>
            <w:tcBorders>
              <w:left w:val="nil"/>
              <w:right w:val="nil"/>
            </w:tcBorders>
            <w:vAlign w:val="center"/>
          </w:tcPr>
          <w:p w14:paraId="1A578AC2"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Malic Acid (g/L)</w:t>
            </w:r>
          </w:p>
        </w:tc>
        <w:tc>
          <w:tcPr>
            <w:tcW w:w="850" w:type="dxa"/>
            <w:tcBorders>
              <w:left w:val="nil"/>
              <w:right w:val="nil"/>
            </w:tcBorders>
            <w:vAlign w:val="center"/>
          </w:tcPr>
          <w:p w14:paraId="2B72FC09" w14:textId="77777777" w:rsidR="009C6330" w:rsidRPr="00BB0B41" w:rsidRDefault="00096756">
            <w:pPr>
              <w:spacing w:line="240" w:lineRule="auto"/>
              <w:ind w:left="720" w:hanging="720"/>
              <w:jc w:val="center"/>
              <w:rPr>
                <w:b/>
                <w:bCs/>
                <w:color w:val="auto"/>
                <w:sz w:val="18"/>
                <w:szCs w:val="18"/>
              </w:rPr>
            </w:pPr>
            <w:r w:rsidRPr="00BB0B41">
              <w:rPr>
                <w:rFonts w:eastAsia="Calibri" w:cs="Arial"/>
                <w:b/>
                <w:bCs/>
                <w:color w:val="auto"/>
                <w:kern w:val="2"/>
                <w:sz w:val="18"/>
                <w:szCs w:val="18"/>
                <w14:ligatures w14:val="standardContextual"/>
              </w:rPr>
              <w:t>pH</w:t>
            </w:r>
          </w:p>
        </w:tc>
        <w:tc>
          <w:tcPr>
            <w:tcW w:w="1070" w:type="dxa"/>
            <w:tcBorders>
              <w:left w:val="nil"/>
              <w:right w:val="nil"/>
            </w:tcBorders>
            <w:vAlign w:val="center"/>
          </w:tcPr>
          <w:p w14:paraId="753BAAA6"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Titratable acidity (g/L of tartaric acid)</w:t>
            </w:r>
          </w:p>
        </w:tc>
        <w:tc>
          <w:tcPr>
            <w:tcW w:w="1289" w:type="dxa"/>
            <w:tcBorders>
              <w:left w:val="nil"/>
              <w:right w:val="nil"/>
            </w:tcBorders>
            <w:vAlign w:val="center"/>
          </w:tcPr>
          <w:p w14:paraId="0D0EAA27"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Volatile acidity (g/L of acetic acid)</w:t>
            </w:r>
          </w:p>
        </w:tc>
        <w:tc>
          <w:tcPr>
            <w:tcW w:w="1173" w:type="dxa"/>
            <w:tcBorders>
              <w:left w:val="nil"/>
              <w:right w:val="nil"/>
            </w:tcBorders>
            <w:vAlign w:val="center"/>
          </w:tcPr>
          <w:p w14:paraId="06A259C9"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Total phenols (g/L of catechins)</w:t>
            </w:r>
          </w:p>
        </w:tc>
        <w:tc>
          <w:tcPr>
            <w:tcW w:w="1173" w:type="dxa"/>
            <w:tcBorders>
              <w:left w:val="nil"/>
              <w:right w:val="nil"/>
            </w:tcBorders>
            <w:vAlign w:val="center"/>
          </w:tcPr>
          <w:p w14:paraId="1D5B2FA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Ethanol content (%v/v)</w:t>
            </w:r>
          </w:p>
        </w:tc>
        <w:tc>
          <w:tcPr>
            <w:tcW w:w="1171" w:type="dxa"/>
            <w:tcBorders>
              <w:left w:val="nil"/>
              <w:right w:val="nil"/>
            </w:tcBorders>
            <w:vAlign w:val="center"/>
          </w:tcPr>
          <w:p w14:paraId="4E4056B6"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Total Sulphur dioxide content</w:t>
            </w:r>
          </w:p>
          <w:p w14:paraId="154B68AD"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(mg/L)</w:t>
            </w:r>
          </w:p>
        </w:tc>
        <w:tc>
          <w:tcPr>
            <w:tcW w:w="1177" w:type="dxa"/>
            <w:tcBorders>
              <w:left w:val="nil"/>
              <w:right w:val="nil"/>
            </w:tcBorders>
            <w:vAlign w:val="center"/>
          </w:tcPr>
          <w:p w14:paraId="08FB5F3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Free Sulphur dioxide content</w:t>
            </w:r>
          </w:p>
          <w:p w14:paraId="2E7F599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(mg/L)</w:t>
            </w:r>
          </w:p>
        </w:tc>
        <w:tc>
          <w:tcPr>
            <w:tcW w:w="15" w:type="dxa"/>
            <w:tcBorders>
              <w:top w:val="nil"/>
              <w:left w:val="nil"/>
              <w:bottom w:val="nil"/>
              <w:right w:val="nil"/>
            </w:tcBorders>
          </w:tcPr>
          <w:p w14:paraId="669D4661" w14:textId="77777777" w:rsidR="009C6330" w:rsidRPr="00BB0B41" w:rsidRDefault="009C6330">
            <w:pPr>
              <w:rPr>
                <w:rFonts w:eastAsia="Calibri" w:cs="Arial"/>
                <w:kern w:val="2"/>
                <w14:ligatures w14:val="standardContextual"/>
              </w:rPr>
            </w:pPr>
          </w:p>
        </w:tc>
      </w:tr>
      <w:tr w:rsidR="009C6330" w:rsidRPr="00BB0B41" w14:paraId="14A84AE7" w14:textId="77777777">
        <w:trPr>
          <w:trHeight w:val="883"/>
        </w:trPr>
        <w:tc>
          <w:tcPr>
            <w:tcW w:w="836" w:type="dxa"/>
            <w:tcBorders>
              <w:left w:val="nil"/>
              <w:bottom w:val="nil"/>
              <w:right w:val="nil"/>
            </w:tcBorders>
            <w:vAlign w:val="center"/>
          </w:tcPr>
          <w:p>
            <w:r>
              <w:rPr>
                <w:highlight w:val="yellow"/>
              </w:rPr>
              <w:t>Wine from nominal 19 °C chamber</w:t>
            </w:r>
          </w:p>
        </w:tc>
        <w:tc>
          <w:tcPr>
            <w:tcW w:w="1149" w:type="dxa"/>
            <w:tcBorders>
              <w:left w:val="nil"/>
              <w:bottom w:val="nil"/>
              <w:right w:val="nil"/>
            </w:tcBorders>
            <w:vAlign w:val="center"/>
          </w:tcPr>
          <w:p>
            <w:r>
              <w:rPr>
                <w:highlight w:val="yellow"/>
              </w:rPr>
              <w:t>0.16 ± 0.05</w:t>
            </w:r>
          </w:p>
        </w:tc>
        <w:tc>
          <w:tcPr>
            <w:tcW w:w="1134" w:type="dxa"/>
            <w:tcBorders>
              <w:left w:val="nil"/>
              <w:bottom w:val="nil"/>
              <w:right w:val="nil"/>
            </w:tcBorders>
            <w:vAlign w:val="center"/>
          </w:tcPr>
          <w:p w14:paraId="005F1583"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 ± 0.23</w:t>
            </w:r>
            <w:r w:rsidRPr="00BB0B41">
              <w:rPr>
                <w:rFonts w:eastAsia="Calibri" w:cs="Arial"/>
                <w:color w:val="auto"/>
                <w:kern w:val="2"/>
                <w:sz w:val="18"/>
                <w:szCs w:val="18"/>
                <w:vertAlign w:val="superscript"/>
                <w14:ligatures w14:val="standardContextual"/>
              </w:rPr>
              <w:t>A</w:t>
            </w:r>
          </w:p>
        </w:tc>
        <w:tc>
          <w:tcPr>
            <w:tcW w:w="850" w:type="dxa"/>
            <w:tcBorders>
              <w:left w:val="nil"/>
              <w:bottom w:val="nil"/>
              <w:right w:val="nil"/>
            </w:tcBorders>
            <w:vAlign w:val="center"/>
          </w:tcPr>
          <w:p w14:paraId="5AC8F09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left w:val="nil"/>
              <w:bottom w:val="nil"/>
              <w:right w:val="nil"/>
            </w:tcBorders>
            <w:vAlign w:val="center"/>
          </w:tcPr>
          <w:p w14:paraId="69C2E54A"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0.04</w:t>
            </w:r>
            <w:r w:rsidRPr="00BB0B41">
              <w:rPr>
                <w:rFonts w:eastAsia="Calibri" w:cs="Arial"/>
                <w:color w:val="auto"/>
                <w:kern w:val="2"/>
                <w:sz w:val="18"/>
                <w:szCs w:val="18"/>
                <w:vertAlign w:val="superscript"/>
                <w14:ligatures w14:val="standardContextual"/>
              </w:rPr>
              <w:t>A</w:t>
            </w:r>
          </w:p>
        </w:tc>
        <w:tc>
          <w:tcPr>
            <w:tcW w:w="1289" w:type="dxa"/>
            <w:tcBorders>
              <w:left w:val="nil"/>
              <w:bottom w:val="nil"/>
              <w:right w:val="nil"/>
            </w:tcBorders>
            <w:vAlign w:val="center"/>
          </w:tcPr>
          <w:p w14:paraId="74E32996"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0.30 ± 0.02</w:t>
            </w:r>
            <w:r w:rsidRPr="00BB0B41">
              <w:rPr>
                <w:rFonts w:eastAsia="Calibri" w:cs="Arial"/>
                <w:color w:val="auto"/>
                <w:kern w:val="2"/>
                <w:sz w:val="18"/>
                <w:szCs w:val="18"/>
                <w:vertAlign w:val="superscript"/>
                <w14:ligatures w14:val="standardContextual"/>
              </w:rPr>
              <w:t>B</w:t>
            </w:r>
          </w:p>
        </w:tc>
        <w:tc>
          <w:tcPr>
            <w:tcW w:w="1173" w:type="dxa"/>
            <w:tcBorders>
              <w:left w:val="nil"/>
              <w:bottom w:val="nil"/>
              <w:right w:val="nil"/>
            </w:tcBorders>
            <w:vAlign w:val="center"/>
          </w:tcPr>
          <w:p w14:paraId="49BF5A4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1.02 ± 0.12</w:t>
            </w:r>
            <w:r w:rsidRPr="00BB0B41">
              <w:rPr>
                <w:rFonts w:eastAsia="Calibri" w:cs="Arial"/>
                <w:color w:val="auto"/>
                <w:kern w:val="2"/>
                <w:sz w:val="18"/>
                <w:szCs w:val="18"/>
                <w:vertAlign w:val="superscript"/>
                <w14:ligatures w14:val="standardContextual"/>
              </w:rPr>
              <w:t>A</w:t>
            </w:r>
          </w:p>
        </w:tc>
        <w:tc>
          <w:tcPr>
            <w:tcW w:w="1173" w:type="dxa"/>
            <w:tcBorders>
              <w:left w:val="nil"/>
              <w:bottom w:val="nil"/>
              <w:right w:val="nil"/>
            </w:tcBorders>
            <w:vAlign w:val="center"/>
          </w:tcPr>
          <w:p w14:paraId="4CF80AB9"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0.6</w:t>
            </w:r>
            <w:r w:rsidRPr="00BB0B41">
              <w:rPr>
                <w:rFonts w:eastAsia="Calibri" w:cs="Arial"/>
                <w:color w:val="auto"/>
                <w:kern w:val="2"/>
                <w:sz w:val="18"/>
                <w:szCs w:val="18"/>
                <w:vertAlign w:val="superscript"/>
                <w14:ligatures w14:val="standardContextual"/>
              </w:rPr>
              <w:t>A</w:t>
            </w:r>
          </w:p>
        </w:tc>
        <w:tc>
          <w:tcPr>
            <w:tcW w:w="1171" w:type="dxa"/>
            <w:tcBorders>
              <w:left w:val="nil"/>
              <w:bottom w:val="nil"/>
              <w:right w:val="nil"/>
            </w:tcBorders>
            <w:vAlign w:val="center"/>
          </w:tcPr>
          <w:p w14:paraId="62C031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50 ± 5.5</w:t>
            </w:r>
            <w:r w:rsidRPr="00BB0B41">
              <w:rPr>
                <w:rFonts w:eastAsia="Calibri" w:cs="Arial"/>
                <w:color w:val="auto"/>
                <w:kern w:val="2"/>
                <w:sz w:val="18"/>
                <w:szCs w:val="18"/>
                <w:vertAlign w:val="superscript"/>
                <w14:ligatures w14:val="standardContextual"/>
              </w:rPr>
              <w:t>A</w:t>
            </w:r>
          </w:p>
        </w:tc>
        <w:tc>
          <w:tcPr>
            <w:tcW w:w="1177" w:type="dxa"/>
            <w:tcBorders>
              <w:left w:val="nil"/>
              <w:bottom w:val="nil"/>
              <w:right w:val="nil"/>
            </w:tcBorders>
            <w:vAlign w:val="center"/>
          </w:tcPr>
          <w:p w14:paraId="023305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31 ± 2.5</w:t>
            </w:r>
            <w:r w:rsidRPr="00BB0B41">
              <w:rPr>
                <w:rFonts w:eastAsia="Calibri" w:cs="Arial"/>
                <w:color w:val="auto"/>
                <w:kern w:val="2"/>
                <w:sz w:val="18"/>
                <w:szCs w:val="18"/>
                <w:vertAlign w:val="superscript"/>
                <w14:ligatures w14:val="standardContextual"/>
              </w:rPr>
              <w:t>A</w:t>
            </w:r>
          </w:p>
        </w:tc>
        <w:tc>
          <w:tcPr>
            <w:tcW w:w="15" w:type="dxa"/>
            <w:tcBorders>
              <w:top w:val="nil"/>
              <w:left w:val="nil"/>
              <w:bottom w:val="nil"/>
              <w:right w:val="nil"/>
            </w:tcBorders>
          </w:tcPr>
          <w:p w14:paraId="7A61CAA6" w14:textId="77777777" w:rsidR="009C6330" w:rsidRPr="00BB0B41" w:rsidRDefault="009C6330">
            <w:pPr>
              <w:rPr>
                <w:rFonts w:eastAsia="Calibri" w:cs="Arial"/>
                <w:kern w:val="2"/>
                <w14:ligatures w14:val="standardContextual"/>
              </w:rPr>
            </w:pPr>
          </w:p>
        </w:tc>
      </w:tr>
      <w:tr w:rsidR="009C6330" w:rsidRPr="00BB0B41" w14:paraId="632DC6E7" w14:textId="77777777">
        <w:trPr>
          <w:trHeight w:val="764"/>
        </w:trPr>
        <w:tc>
          <w:tcPr>
            <w:tcW w:w="836" w:type="dxa"/>
            <w:tcBorders>
              <w:top w:val="nil"/>
              <w:left w:val="nil"/>
              <w:right w:val="nil"/>
            </w:tcBorders>
            <w:vAlign w:val="center"/>
          </w:tcPr>
          <w:p>
            <w:r>
              <w:rPr>
                <w:highlight w:val="yellow"/>
              </w:rPr>
              <w:t>Wine from nominal 50 °C chamber</w:t>
            </w:r>
          </w:p>
        </w:tc>
        <w:tc>
          <w:tcPr>
            <w:tcW w:w="1149" w:type="dxa"/>
            <w:tcBorders>
              <w:top w:val="nil"/>
              <w:left w:val="nil"/>
              <w:right w:val="nil"/>
            </w:tcBorders>
            <w:vAlign w:val="center"/>
          </w:tcPr>
          <w:p>
            <w:r>
              <w:rPr>
                <w:highlight w:val="yellow"/>
              </w:rPr>
              <w:t>0.29 ± 0.02</w:t>
            </w:r>
          </w:p>
        </w:tc>
        <w:tc>
          <w:tcPr>
            <w:tcW w:w="1134" w:type="dxa"/>
            <w:tcBorders>
              <w:top w:val="nil"/>
              <w:left w:val="nil"/>
              <w:right w:val="nil"/>
            </w:tcBorders>
            <w:vAlign w:val="center"/>
          </w:tcPr>
          <w:p w14:paraId="4A662B4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 ± 0.16</w:t>
            </w:r>
            <w:r w:rsidRPr="00BB0B41">
              <w:rPr>
                <w:rFonts w:eastAsia="Calibri" w:cs="Arial"/>
                <w:color w:val="auto"/>
                <w:kern w:val="2"/>
                <w:sz w:val="18"/>
                <w:szCs w:val="18"/>
                <w:vertAlign w:val="superscript"/>
                <w14:ligatures w14:val="standardContextual"/>
              </w:rPr>
              <w:t>A</w:t>
            </w:r>
          </w:p>
        </w:tc>
        <w:tc>
          <w:tcPr>
            <w:tcW w:w="850" w:type="dxa"/>
            <w:tcBorders>
              <w:top w:val="nil"/>
              <w:left w:val="nil"/>
              <w:right w:val="nil"/>
            </w:tcBorders>
            <w:vAlign w:val="center"/>
          </w:tcPr>
          <w:p w14:paraId="4C97506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top w:val="nil"/>
              <w:left w:val="nil"/>
              <w:right w:val="nil"/>
            </w:tcBorders>
            <w:vAlign w:val="center"/>
          </w:tcPr>
          <w:p w14:paraId="63F48B2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0.13</w:t>
            </w:r>
            <w:r w:rsidRPr="00BB0B41">
              <w:rPr>
                <w:rFonts w:eastAsia="Calibri" w:cs="Arial"/>
                <w:color w:val="auto"/>
                <w:kern w:val="2"/>
                <w:sz w:val="18"/>
                <w:szCs w:val="18"/>
                <w:vertAlign w:val="superscript"/>
                <w14:ligatures w14:val="standardContextual"/>
              </w:rPr>
              <w:t>A</w:t>
            </w:r>
          </w:p>
        </w:tc>
        <w:tc>
          <w:tcPr>
            <w:tcW w:w="1289" w:type="dxa"/>
            <w:tcBorders>
              <w:top w:val="nil"/>
              <w:left w:val="nil"/>
              <w:right w:val="nil"/>
            </w:tcBorders>
            <w:vAlign w:val="center"/>
          </w:tcPr>
          <w:p w14:paraId="378B7485"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0.39 ± 0.03</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7C01D6D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1.10 ± 0.07</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6D9D30EE"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0.9</w:t>
            </w:r>
            <w:r w:rsidRPr="00BB0B41">
              <w:rPr>
                <w:rFonts w:eastAsia="Calibri" w:cs="Arial"/>
                <w:color w:val="auto"/>
                <w:kern w:val="2"/>
                <w:sz w:val="18"/>
                <w:szCs w:val="18"/>
                <w:vertAlign w:val="superscript"/>
                <w14:ligatures w14:val="standardContextual"/>
              </w:rPr>
              <w:t>A</w:t>
            </w:r>
          </w:p>
        </w:tc>
        <w:tc>
          <w:tcPr>
            <w:tcW w:w="1171" w:type="dxa"/>
            <w:tcBorders>
              <w:top w:val="nil"/>
              <w:left w:val="nil"/>
              <w:right w:val="nil"/>
            </w:tcBorders>
            <w:vAlign w:val="center"/>
          </w:tcPr>
          <w:p w14:paraId="426B077B"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25 ± 8.2</w:t>
            </w:r>
            <w:r w:rsidRPr="00BB0B41">
              <w:rPr>
                <w:rFonts w:eastAsia="Calibri" w:cs="Arial"/>
                <w:color w:val="auto"/>
                <w:kern w:val="2"/>
                <w:sz w:val="18"/>
                <w:szCs w:val="18"/>
                <w:vertAlign w:val="superscript"/>
                <w14:ligatures w14:val="standardContextual"/>
              </w:rPr>
              <w:t>B</w:t>
            </w:r>
          </w:p>
        </w:tc>
        <w:tc>
          <w:tcPr>
            <w:tcW w:w="1177" w:type="dxa"/>
            <w:tcBorders>
              <w:top w:val="nil"/>
              <w:left w:val="nil"/>
              <w:right w:val="nil"/>
            </w:tcBorders>
            <w:vAlign w:val="center"/>
          </w:tcPr>
          <w:p w14:paraId="1F0ADE9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16 ± 1.8</w:t>
            </w:r>
            <w:r w:rsidRPr="00BB0B41">
              <w:rPr>
                <w:rFonts w:eastAsia="Calibri" w:cs="Arial"/>
                <w:color w:val="auto"/>
                <w:kern w:val="2"/>
                <w:sz w:val="18"/>
                <w:szCs w:val="18"/>
                <w:vertAlign w:val="superscript"/>
                <w14:ligatures w14:val="standardContextual"/>
              </w:rPr>
              <w:t>B</w:t>
            </w:r>
          </w:p>
        </w:tc>
        <w:tc>
          <w:tcPr>
            <w:tcW w:w="15" w:type="dxa"/>
            <w:tcBorders>
              <w:top w:val="nil"/>
              <w:left w:val="nil"/>
              <w:bottom w:val="nil"/>
              <w:right w:val="nil"/>
            </w:tcBorders>
          </w:tcPr>
          <w:p w14:paraId="7F0AFA35" w14:textId="77777777" w:rsidR="009C6330" w:rsidRPr="00BB0B41" w:rsidRDefault="009C6330">
            <w:pPr>
              <w:rPr>
                <w:rFonts w:eastAsia="Calibri" w:cs="Arial"/>
                <w:kern w:val="2"/>
                <w14:ligatures w14:val="standardContextual"/>
              </w:rPr>
            </w:pPr>
          </w:p>
        </w:tc>
      </w:tr>
      <w:tr w:rsidR="009C6330" w:rsidRPr="00BB0B41" w14:paraId="6C054B93" w14:textId="77777777">
        <w:trPr>
          <w:trHeight w:val="764"/>
        </w:trPr>
        <w:tc>
          <w:tcPr>
            <w:tcW w:w="11037" w:type="dxa"/>
            <w:gridSpan w:val="11"/>
            <w:tcBorders>
              <w:left w:val="nil"/>
              <w:right w:val="nil"/>
            </w:tcBorders>
            <w:vAlign w:val="center"/>
          </w:tcPr>
          <w:p>
            <w:r>
              <w:rPr>
                <w:highlight w:val="yellow"/>
              </w:rPr>
              <w:t>Superscript uppercase letters (A-B) indicate statistically significant differences among samples within a column where letters are shown. Lactic acid is reported descriptively without significance letters because raw replicate data were unavailable and the later 0.20 g/L SD could not be traced to a primary experimental record.</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rPr>
          <w:highlight w:val="yellow"/>
        </w:rP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rPr>
          <w:highlight w:val="yellow"/>
        </w:rP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rPr>
          <w:highlight w:val="yellow"/>
        </w:rP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rPr>
          <w:highlight w:val="yellow"/>
        </w:rP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observation is consistent with a compliant container in which thermal expansion is partly accommodated by deformation of the flexible film rather than by sustained pressurisation. Because the verification trial used one stack and one configuration, it should be read as supporting evidence for that stack only. It does not show that temperature cannot affect BiB pressure under other configurations.</w:t>
      </w:r>
    </w:p>
    <w:p w14:paraId="55930FBC" w14:textId="77777777" w:rsidR="009C6330" w:rsidRPr="00BB0B41" w:rsidRDefault="00096756" w:rsidP="00FA0DF4">
      <w:pPr>
        <w:pStyle w:val="MDPI31text"/>
        <w:spacing w:line="240" w:lineRule="auto"/>
        <w:ind w:left="0" w:firstLine="0"/>
      </w:pPr>
      <w:r>
        <w:rPr>
          <w:highlight w:val="yellow"/>
        </w:rP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rPr>
          <w:highlight w:val="yellow"/>
        </w:rP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rPr>
          <w:highlight w:val="yellow"/>
        </w:rP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retained in the available study records. No microbiological measurements, viable cell counts, sensory analysis or post-transport storage follow-up were performed; therefore malolactic or other microbial contributions cannot be excluded and the consequences of lower SO2 reserve remain potential implications rather than measured outcomes.</w:t>
      </w:r>
    </w:p>
    <w:p w14:paraId="46B68C1B" w14:textId="77777777" w:rsidR="009C6330" w:rsidRPr="00BB0B41" w:rsidRDefault="00096756">
      <w:pPr>
        <w:pStyle w:val="MDPI31text"/>
      </w:pPr>
      <w:r>
        <w:rPr>
          <w:highlight w:val="yellow"/>
        </w:rP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and pallet occupancy were not recorded, preventing a definitive diagnosis of the thermal lag. There was also only one chamber per nominal set point, so chamber identity and nominal condition are confounded.</w:t>
      </w:r>
    </w:p>
    <w:p w14:paraId="46B68C1B" w14:textId="77777777" w:rsidR="009C6330" w:rsidRPr="00BB0B41" w:rsidRDefault="00096756">
      <w:pPr>
        <w:pStyle w:val="MDPI31text"/>
      </w:pPr>
      <w:r>
        <w:rPr>
          <w:highlight w:val="yellow"/>
        </w:rPr>
        <w:t>The pressure analysis is limited by eleven usable traces, one missing bottom-position sensor, an unbalanced cell of n = 2, possible within-stack pairing of top and bottom observations, and a narrow stack-height range in which height was not independently replicated. The available raw workbook contains the pressure/temperature trajectories, but it does not retain stack IDs or sensor-to-stack pairings for a paired stack-level analysis. The first five hours were excluded from the primary storage analysis because they contained transport and stacking events. Sensitivity analysis showed that including this window did not change the pressure-peak endpoint. However,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rPr>
          <w:highlight w:val="yellow"/>
        </w:rPr>
        <w:t>Despite these limitations, the study illustrates why direct package-level measurement matters: chamber set points did not predict the realised wine temperature in the main trial, and the sensor-level pressure summaries differed by package position under the tested stacking configuration. Future studies should include replicated chambers, chamber-air and barometric reference logging,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rPr>
          <w:highlight w:val="yellow"/>
        </w:rPr>
        <w:t>This study monitored pressure and temperature inside 3-L Bag-in-Box wine units during a simulated export period and showed that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rPr>
          <w:highlight w:val="yellow"/>
        </w:rPr>
        <w:t>For pressure, bottom-position BiBs had a larger mean peak ΔP than top-position BiBs under the tested stacking configuration, with an adjusted difference of 20.4 mbar in the exploratory sensor-level analysis (F(1,8) = 9.14; p = 0.017). Individual post-handling peaks occurred between about days 3.5 and 5.8. The top-bottom difference was mainly observed during this pressurisation phase and became smaller later in storage. Including the first five hours did not change the peak-pressure endpoint. No statistically detectable nominal chamber-condition effect was observed in this small dataset, and by day 20 neither sensor-level factor was statistically detectable. Because the analysis is sensor-level and the chamber design was not replicated, this result should be interpreted as exploratory. The experiment does not provide a separate, well-powered test of stack height.</w:t>
      </w:r>
    </w:p>
    <w:p w14:paraId="386F2AE7" w14:textId="77777777" w:rsidR="009C6330" w:rsidRPr="00BB0B41" w:rsidRDefault="00096756">
      <w:pPr>
        <w:pStyle w:val="MDPI31text"/>
        <w:spacing w:line="240" w:lineRule="auto"/>
        <w:ind w:left="2550"/>
      </w:pPr>
      <w:r>
        <w:rPr>
          <w:highlight w:val="yellow"/>
        </w:rP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Practical monitoring should therefore focus on selected sentinel packages or validation deployments that record actual in-package conditions and mechanically stressed positions,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sidRPr="00BB0B41">
        <w:rPr>
          <w:b/>
        </w:rPr>
        <w:t>Author Contributions:</w:t>
      </w:r>
      <w:r w:rsidRPr="00BB0B41">
        <w:t xml:space="preserve"> For research articles with several authors, a short paragraph specifying their individual contributions must be provided. The following statements should be used “Conceptualization, M.M., F.P., P.G.V.,  and A.Z.; methodology, B.C., and N.M.; software, B.C. and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 </w:t>
      </w:r>
    </w:p>
    <w:p w14:paraId="21837E76" w14:textId="77777777" w:rsidR="009C6330" w:rsidRPr="00BB0B41" w:rsidRDefault="00096756">
      <w:pPr>
        <w:pStyle w:val="MDPI62backmatter"/>
      </w:pPr>
      <w:r w:rsidRPr="00BB0B41">
        <w:t xml:space="preserve">All authors have read and agreed to the published version of the manuscript.” Please turn to the </w:t>
      </w:r>
      <w:hyperlink r:id="rId16">
        <w:r w:rsidRPr="00BB0B41">
          <w:rPr>
            <w:rStyle w:val="Hyperlink"/>
          </w:rPr>
          <w:t>CRediT taxonomy</w:t>
        </w:r>
      </w:hyperlink>
      <w:r w:rsidRPr="00BB0B41">
        <w:t xml:space="preserve"> for the term explanation. Authorship must be limited to those who have contributed substantially to the work reported.</w:t>
      </w:r>
    </w:p>
    <w:p w14:paraId="4C97347B" w14:textId="77777777" w:rsidR="009C6330" w:rsidRPr="00BB0B41" w:rsidRDefault="00096756">
      <w:pPr>
        <w:pStyle w:val="MDPI62backmatter"/>
        <w:rPr>
          <w:rFonts w:eastAsiaTheme="minorEastAsia"/>
          <w:lang w:eastAsia="zh-CN"/>
        </w:rPr>
      </w:pPr>
      <w:r w:rsidRPr="00BB0B41">
        <w:rPr>
          <w:b/>
        </w:rPr>
        <w:t>Funding:</w:t>
      </w:r>
      <w:r w:rsidRPr="00BB0B41">
        <w:t xml:space="preserve"> This research was funded by TRACEWINDU (Traceability at wine industry through inte- 402 grated labelling of typicality, health protection effect and organoleptic attributes), project co- 403 founded by Horizon 2020 Framework Programme of European Union under the Grant Agreement 404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rPr>
          <w:highlight w:val="yellow"/>
        </w:rPr>
        <w:t>Data Availability Statement: The data supporting the pressure and temperature analyses are available in the main-trial pressure/temperature workbook (Results.xlsx), the verification-trial workbook (Stack testing high temperature.xlsx), the verification CSV export, final figures, analysis scripts and derived analysis summaries. Raw chemical replicate values, microbiological data, sensory data, shelf-life follow-up and chamber-control metadata were not retained in the available study records and are available only if held separately by the corresponding author.</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