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rsidRPr="00200587">
        <w:rPr>
          <w:sz w:val="36"/>
          <w:szCs w:val="36"/>
        </w:rPr>
        <w:t>Palletisation and In-Bag Thermal Exposure in Bag-in-Box Wine Packaging under Simulated Export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tbl>
      <w:tblPr>
        <w:tblpPr w:leftFromText="198" w:rightFromText="198" w:vertAnchor="page" w:horzAnchor="margin" w:tblpY="11461"/>
        <w:tblW w:w="2410" w:type="dxa"/>
        <w:tblCellMar>
          <w:left w:w="0" w:type="dxa"/>
          <w:right w:w="0" w:type="dxa"/>
        </w:tblCellMar>
        <w:tblLook w:val="04A0" w:firstRow="1" w:lastRow="0" w:firstColumn="1" w:lastColumn="0" w:noHBand="0" w:noVBand="1"/>
      </w:tblPr>
      <w:tblGrid>
        <w:gridCol w:w="3005"/>
      </w:tblGrid>
      <w:tr w:rsidR="009C6330" w:rsidRPr="00BB0B41" w14:paraId="48A3C9CA" w14:textId="77777777">
        <w:tc>
          <w:tcPr>
            <w:tcW w:w="2410" w:type="dxa"/>
          </w:tcPr>
          <w:p w14:paraId="47A4116B" w14:textId="77777777" w:rsidR="009C6330" w:rsidRPr="00BB0B41" w:rsidRDefault="00096756">
            <w:pPr>
              <w:pStyle w:val="MDPI15academiceditor"/>
              <w:spacing w:before="0" w:after="120"/>
            </w:pPr>
            <w:r w:rsidRPr="00BB0B41">
              <w:t>Academic Editor: Firstname Lastname</w:t>
            </w:r>
          </w:p>
          <w:p w14:paraId="7C3D06CA" w14:textId="77777777" w:rsidR="009C6330" w:rsidRPr="00BB0B41" w:rsidRDefault="00096756">
            <w:pPr>
              <w:pStyle w:val="MDPI14history"/>
              <w:spacing w:before="120"/>
            </w:pPr>
            <w:r w:rsidRPr="00BB0B41">
              <w:t>Received: date</w:t>
            </w:r>
          </w:p>
          <w:p w14:paraId="4C3A7A2E" w14:textId="77777777" w:rsidR="009C6330" w:rsidRPr="00BB0B41" w:rsidRDefault="00096756">
            <w:pPr>
              <w:pStyle w:val="MDPI14history"/>
            </w:pPr>
            <w:r w:rsidRPr="00BB0B41">
              <w:t>Revised: date</w:t>
            </w:r>
          </w:p>
          <w:p w14:paraId="7A6E07DB" w14:textId="77777777" w:rsidR="009C6330" w:rsidRPr="00BB0B41" w:rsidRDefault="00096756">
            <w:pPr>
              <w:pStyle w:val="MDPI14history"/>
            </w:pPr>
            <w:r w:rsidRPr="00BB0B41">
              <w:t>Accepted: date</w:t>
            </w:r>
          </w:p>
          <w:p w14:paraId="6A3051E5" w14:textId="77777777" w:rsidR="009C6330" w:rsidRPr="00BB0B41" w:rsidRDefault="00096756">
            <w:pPr>
              <w:pStyle w:val="MDPI14history"/>
              <w:spacing w:after="120"/>
            </w:pPr>
            <w:r w:rsidRPr="00BB0B41">
              <w:t>Published: date</w:t>
            </w:r>
          </w:p>
          <w:p w14:paraId="5AC2A96A" w14:textId="77777777" w:rsidR="009C6330" w:rsidRPr="00BB0B41" w:rsidRDefault="00096756">
            <w:pPr>
              <w:pStyle w:val="MDPI61citation"/>
              <w:rPr>
                <w:lang w:bidi="en-US"/>
              </w:rPr>
            </w:pPr>
            <w:r w:rsidRPr="00BB0B41">
              <w:rPr>
                <w:b/>
                <w:lang w:bidi="en-US"/>
              </w:rPr>
              <w:t xml:space="preserve">Citation: </w:t>
            </w:r>
            <w:r w:rsidRPr="00BB0B41">
              <w:rPr>
                <w:lang w:bidi="en-US"/>
              </w:rPr>
              <w:t>To be added by editorial staff during production.</w:t>
            </w:r>
          </w:p>
          <w:p w14:paraId="78EA1E92" w14:textId="77777777" w:rsidR="009C6330" w:rsidRPr="00BB0B41" w:rsidRDefault="00096756">
            <w:pPr>
              <w:pStyle w:val="MDPI72copyright"/>
              <w:rPr>
                <w:rFonts w:eastAsia="DengXian"/>
                <w:lang w:val="en-US" w:bidi="en-US"/>
              </w:rPr>
            </w:pPr>
            <w:r w:rsidRPr="00BB0B41">
              <w:rPr>
                <w:rFonts w:eastAsia="DengXian"/>
                <w:b/>
                <w:lang w:val="en-US" w:bidi="en-US"/>
              </w:rPr>
              <w:t>Copyright:</w:t>
            </w:r>
            <w:r w:rsidRPr="00BB0B41">
              <w:rPr>
                <w:rFonts w:eastAsia="DengXian"/>
                <w:lang w:val="en-US" w:bidi="en-US"/>
              </w:rPr>
              <w:t xml:space="preserve"> © 2025 by the authors. Submitted for possible open access publication under the terms and conditions of the Creative Commons Attribution (CC BY) license (https://creativecommons.org/licenses/by/4.0/).</w:t>
            </w:r>
          </w:p>
        </w:tc>
      </w:tr>
    </w:tbl>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t>Bag-in-Box (BiB) packaging can reduce the logistical and environmental burden of wine exports, but its behaviour under combined stacking and thermal stress is still poorly documented. This study monitored 3-L BiB units during a 20-day simulated export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In the nominal 19 °C chamber, top and bottom units averaged 23.50 ± 0.21 °C and 22.84 ± 0.30 °C, respectively. Internal pressure rose after handling; individual post-handling peaks occurred between 85.0 and 138.5 h. In an exploratory sensor-level analysis, bottom-position BiBs had a larger peak baseline-referred pressure increase than top-position BiBs (adjusted difference 20.4 mbar; 95% CI 4.8-35.9 mbar; F(1,8) = 9.14; p = 0.017). No statistically detectable nominal chamber-condition effect was observed, and by day 20 neither sensor-level factor was statistically detectable. Bulk wine from the nominally warmer chamber showed lower free and total SO₂ and higher volatile acidity after 20 days. It also had a numerically higher lactic-acid value, but the summary chemistry data were not resolved by stack position and raw chemical replicates were unavailable. In the verification trial, sensor maxima ranged from 45.0 to 48.8 °C and no in-bag sensor reached 50 °C; pressure changes remained transient (9.6-26.5 mbar). The results support selected sentinel sensing to document actual package conditions and mechanically stressed positions,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rsidRPr="00BB0B41">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a simulated export period, or about how measured in-package thermal exposure compares with nominal chamber settings.</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2C6E7491" w14:textId="77777777" w:rsidR="009C6330" w:rsidRPr="00BB0B41" w:rsidRDefault="00096756">
      <w:pPr>
        <w:pStyle w:val="MDPI31text"/>
      </w:pPr>
      <w:r>
        <w:t>The present work was designed to test whether stack position and a severe nominal chamber condition measurably affected internal pressure and selected chemical parameters of commercial 3-L BiB white wine.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rsidRPr="00BB0B41">
        <w:t>The purpose of the work was to simulate selected environmental stresses that wine may encounter during sea-container shipment to distant markets, particularly the United States. The work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2: chamber nominally set at 50 °C, selected as a deliberately severe thermal condition relevant to worst-case non-refrigerated transport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t>The available experimental records did not include the chamber model, chamber volume, fan power, airflow rate, or a formal pallet-occupancy ratio. These unrecorded chamber characteristics limit diagnosis of the thermal lag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rPr>
              <w:t>Verification</w:t>
            </w:r>
          </w:p>
        </w:tc>
        <w:tc>
          <w:tcPr>
            <w:tcW w:w="1743" w:type="dxa"/>
            <w:tcBorders>
              <w:bottom w:val="single" w:sz="4" w:space="0" w:color="auto"/>
            </w:tcBorders>
          </w:tcPr>
          <w:p>
            <w: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rPr>
              <w:t>2 top + 2 bottom BiB</w:t>
            </w:r>
          </w:p>
        </w:tc>
      </w:tr>
    </w:tbl>
    <w:p w14:paraId="7768C0EE" w14:textId="77777777" w:rsidR="009C6330" w:rsidRPr="00BB0B41" w:rsidRDefault="00096756">
      <w:pPr>
        <w:pStyle w:val="MDPI31text"/>
      </w:pPr>
      <w: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t>Free sulphur dioxide, total sulphur dioxide, titratable acidity (g/L tartaric acid), volatile acidity (g/L acetic acid), ethanol, malic acid, lactic acid, total phenols and pH were determined according to the protocols described in a previous study [18]. The reported chemical values are triplicate determinations for the main-trial wine grouped by nominal chamber condition. Chemical sampling was not resolved by stack position, and no microbiological measurements or viable cell counts were performed. The available pressure/temperature records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It resolves pressure to 0.036-0.195 mbar, depending on the oversampling ratio, and temperature to better than 0.01 °C. The specified pressure accuracy is ±1.5 mbar between 300 and 1100 mbar at 20 °C, widening to ±100 mbar over the full 0-5 bar and 0-50 °C envelope. Long-term pressure stability is specified as ±1 mbar per year, and temperature accuracy as ±2.5 °C. The sensor was driven by an ESP8285 microcontroller on an ESP-M2 board (Adafruit) [25] and powered by a lithium battery. The assembly was enclosed in an oil-filled plastic casing. The oil transmitted wine pressure to the transducer and dispersed the small amount of heat released by the electronics, whose draw is below 1 mA. The casing was introduced into each bag through the existing filling/dispensing valve before final sealing. The multilayer film was therefore not punctured. Sealing then followed the standard filling-line procedure, which was intended to minimise leakage and artificial perturbation of internal pressure.</w:t>
      </w:r>
    </w:p>
    <w:p w14:paraId="315C9426" w14:textId="77777777" w:rsidR="009C6330" w:rsidRPr="00BB0B41" w:rsidRDefault="00096756">
      <w:pPr>
        <w:pStyle w:val="MDPI31text"/>
        <w:spacing w:line="240" w:lineRule="auto"/>
        <w:ind w:left="2550"/>
      </w:pPr>
      <w: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t>One-way analysis of variance was performed using CoStat, Version 6.451, CoHort 6.0 Software (Pacific Grove, CA, USA) to assess differences in the compositional parameters among the investigated samples. Means were separated by Tukey's post hoc test at p ≤ 0.05. Re-examination of the available original experimental records showed that raw chemical replicate data were not retained. The lactic-acid SD for the nominal 50 °C chamber was traced to the originally submitted Table 2 (0.29 ± 0.02 g/L); no primary experimental record supported the alternative 0.20 g/L SD. Because raw replicates were not available, lactic acid is treated descriptively rather than as an independently verified significant difference.</w:t>
      </w:r>
    </w:p>
    <w:p w14:paraId="6286121F" w14:textId="77777777" w:rsidR="009C6330" w:rsidRPr="00BB0B41" w:rsidRDefault="00096756">
      <w:pPr>
        <w:pStyle w:val="MDPI31text"/>
        <w:spacing w:line="240" w:lineRule="auto"/>
        <w:ind w:left="2550"/>
      </w:pPr>
      <w: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the initial valid pressure reading at time zero for each sensor. Historical code used a t ≤ 0.02 d threshold. Because the next available record is at 0.020833 d, this threshold selected only the time-zero reading. The final scripts therefore select the initial valid pressure reading explicitly.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using the commented script, raw-workbook extraction path and derived per-sensor summaries prepared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t>The chemical comparison concerns wine from the main trial grouped by nominal chamber condition. The labels 19 °C and 50 °C in Table 2 denote chamber set points, not measured wine temperatures. Late in the main trial, in-bag sensors showed that the nominal 50 °C chamber produced 34.18 ± 0.36 °C at top sensors and 26.08 ± 0.23 °C at bottom sensors. Packages in the nominal 19 °C chamber were about 23 °C (Section 3.2). The chemical results should therefore be read as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t>Lactic acid was numerically higher in the wine from the nominally warmer chamber (0.29 ± 0.02 g/L) than in the reference (0.16 ± 0.05 g/L) (Table 2). This difference is not treated as statistically verified because raw chemical replicates were unavailable. The 0.29 ± 0.02 g/L value is reported because it is traceable to the originally submitted Table 2; no primary experimental record supports the alternative 0.20 g/L SD. The available measurements do not identify the mechanism for this numerical difference. Malic acid did not decrease significantly (1.0 ± 0.16 g/L against 1.1 ± 0.23 g/L), so the data do not show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not as evidence that malolactic fermentation was absent.</w:t>
      </w:r>
    </w:p>
    <w:p w14:paraId="5AD82E97" w14:textId="3CCFEEEE" w:rsidR="009C6330" w:rsidRPr="00BB0B41" w:rsidRDefault="00096756">
      <w:pPr>
        <w:pStyle w:val="MDPI31text"/>
        <w:spacing w:line="240" w:lineRule="auto"/>
        <w:ind w:left="2550"/>
      </w:pPr>
      <w:r>
        <w:t>Volatile acidity, expressed as acetic acid, was also higher in the wine from the nominally warmer chamber (0.39 ± 0.03 g/L) than in the reference (0.30 ± 0.02 g/L) (Table 2). This magnitude is below commonly used spoilage limits for table wine, but the study did not include sensory testing. The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pressure showed a brief initial transient, a pressurisation phase, and a gradual relaxation towards a lower residual level. Individual post-handling pressure maxima occurred between 85.0 and 138.5 h after the start of monitoring.</w:t>
      </w:r>
    </w:p>
    <w:p w14:paraId="360B9362" w14:textId="77777777" w:rsidR="009C6330" w:rsidRPr="00BB0B41" w:rsidRDefault="00096756">
      <w:pPr>
        <w:pStyle w:val="MDPI31text"/>
        <w:spacing w:line="240" w:lineRule="auto"/>
      </w:pPr>
      <w: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original main-trial pressure records showed that including the first five hours did not change the primary peak-pressure endpoint: for all 11 usable sensors, the full-record maximum ΔP was the same as the post-handling maximum. Early short-term pressure rankings differed among sensors, and the available records contain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t>After the handling window, pressure rose in all units and peaked between about days 3.5 and 5.8, at about 56-94 mbar above each sensor's own baseline. Pressure then declined and partly recovered towards the end of the record. Mean peak ΔP was 83.0 ± 17.2 mbar in bottom units and 66.6 ± 10.1 mbar in top units under the nominal 50 °C chamber condition. Under the nominal 19 °C condition, the corresponding values were 84.8 ± 8.8 mbar and 59.6 ± 5.1 mbar (Figure 5A). In the exploratory sensor-level Type II two-way ANOVA, stack position was associated with peak ΔP (F(1,8) = 9.14; p = 0.017). The adjusted bottom-minus-top difference was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These results provide exploratory evidence for a position-associated pressure difference under the tested configuration. The difference was transient. Precision is limited by the small, unbalanced design and by the absence of stack identifiers, which prevents a paired stack-level analysis.</w:t>
      </w:r>
    </w:p>
    <w:p w14:paraId="32DE078B" w14:textId="77777777" w:rsidR="009C6330" w:rsidRPr="00BB0B41" w:rsidRDefault="00096756">
      <w:pPr>
        <w:pStyle w:val="MDPI31text"/>
        <w:spacing w:line="240" w:lineRule="auto"/>
      </w:pPr>
      <w: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gradually but remained far below the set point: 34.18 ± 0.36 °C at the top of the stacks and 26.08 ± 0.23 °C at the bottom during the late storage window. The warmest individual main-trial sensor reached 35.3 °C. The vertical gradient of about 8 °C in the nominally hot chamber may reflect thermal inertia, chamber loading, limited heat transfer through the pallet, or airflow constraints. However, the chamber model, airflow and occupancy data needed to diagnose the mechanism were not recorded.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t>Taken together, the physical and chemical measurements identify different response patterns, but they do not support a strict causal division between palletisation and temperature. The pressure measurements were position-resolved and showed a transient bottom-position peak in ΔP. The chemical measurements were bulk samples grouped by nominal chamber condition and were not resolved by stack position. The data support a practical distinction between the measurement types. Pressure monitoring identified mechanically stressed package positions. Bulk chemical measurements indicated lower SO₂ and selected acidity differences under the nominally warmer chamber condition. The study does not show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pressurisation peak, bottom-position BiBs had a larger ΔP than top-position BiBs in the exploratory sensor-level analysis. The two-way ANOVA gave F(1,8) = 9.14 and p = 0.017.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t>Table 2. Chemical parameters of wine from the main trial after 20 days in chambers nominally set at 19 °C and 50 °C. The labels refer to chamber set points, not actual in-bag wine temperatures. Values are expressed as mean ± standard deviation (n = 3), except that lactic acid is reported descriptively from the traceable submitted-table values because raw chemical replicates were unavailable; no primary experimental record supported the alternative 0.20 g/L SD.</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gridCol w:w="222"/>
      </w:tblGrid>
      <w:tr w:rsidR="009C6330" w:rsidRPr="00BB0B41" w14:paraId="3AA1E47C" w14:textId="77777777">
        <w:trPr>
          <w:trHeight w:val="1220"/>
        </w:trPr>
        <w:tc>
          <w:tcPr>
            <w:tcW w:w="836" w:type="dxa"/>
            <w:tcBorders>
              <w:left w:val="nil"/>
              <w:right w:val="nil"/>
            </w:tcBorders>
            <w:vAlign w:val="center"/>
          </w:tcPr>
          <w:p>
            <w:r>
              <w:t>Sample</w:t>
            </w:r>
          </w:p>
        </w:tc>
        <w:tc>
          <w:tcPr>
            <w:tcW w:w="1149" w:type="dxa"/>
            <w:tcBorders>
              <w:left w:val="nil"/>
              <w:right w:val="nil"/>
            </w:tcBorders>
            <w:vAlign w:val="center"/>
          </w:tcPr>
          <w:p w14:paraId="71A321E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Lactic Acid (g/L)</w:t>
            </w:r>
          </w:p>
        </w:tc>
        <w:tc>
          <w:tcPr>
            <w:tcW w:w="1134" w:type="dxa"/>
            <w:tcBorders>
              <w:left w:val="nil"/>
              <w:right w:val="nil"/>
            </w:tcBorders>
            <w:vAlign w:val="center"/>
          </w:tcPr>
          <w:p w14:paraId="1A578AC2"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Malic Acid (g/L)</w:t>
            </w:r>
          </w:p>
        </w:tc>
        <w:tc>
          <w:tcPr>
            <w:tcW w:w="850" w:type="dxa"/>
            <w:tcBorders>
              <w:left w:val="nil"/>
              <w:right w:val="nil"/>
            </w:tcBorders>
            <w:vAlign w:val="center"/>
          </w:tcPr>
          <w:p w14:paraId="2B72FC09" w14:textId="77777777" w:rsidR="009C6330" w:rsidRPr="00BB0B41" w:rsidRDefault="00096756">
            <w:pPr>
              <w:spacing w:line="240" w:lineRule="auto"/>
              <w:ind w:left="720" w:hanging="720"/>
              <w:jc w:val="center"/>
              <w:rPr>
                <w:b/>
                <w:bCs/>
                <w:color w:val="auto"/>
                <w:sz w:val="18"/>
                <w:szCs w:val="18"/>
              </w:rPr>
            </w:pPr>
            <w:r w:rsidRPr="00BB0B41">
              <w:rPr>
                <w:rFonts w:eastAsia="Calibri" w:cs="Arial"/>
                <w:b/>
                <w:bCs/>
                <w:color w:val="auto"/>
                <w:kern w:val="2"/>
                <w:sz w:val="18"/>
                <w:szCs w:val="18"/>
                <w14:ligatures w14:val="standardContextual"/>
              </w:rPr>
              <w:t>pH</w:t>
            </w:r>
          </w:p>
        </w:tc>
        <w:tc>
          <w:tcPr>
            <w:tcW w:w="1070" w:type="dxa"/>
            <w:tcBorders>
              <w:left w:val="nil"/>
              <w:right w:val="nil"/>
            </w:tcBorders>
            <w:vAlign w:val="center"/>
          </w:tcPr>
          <w:p w14:paraId="753BAAA6"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Titratable acidity (g/L of tartaric acid)</w:t>
            </w:r>
          </w:p>
        </w:tc>
        <w:tc>
          <w:tcPr>
            <w:tcW w:w="1289" w:type="dxa"/>
            <w:tcBorders>
              <w:left w:val="nil"/>
              <w:right w:val="nil"/>
            </w:tcBorders>
            <w:vAlign w:val="center"/>
          </w:tcPr>
          <w:p w14:paraId="0D0EAA27"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Volatile acidity (g/L of acetic acid)</w:t>
            </w:r>
          </w:p>
        </w:tc>
        <w:tc>
          <w:tcPr>
            <w:tcW w:w="1173" w:type="dxa"/>
            <w:tcBorders>
              <w:left w:val="nil"/>
              <w:right w:val="nil"/>
            </w:tcBorders>
            <w:vAlign w:val="center"/>
          </w:tcPr>
          <w:p w14:paraId="06A259C9"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Total phenols (g/L of catechins)</w:t>
            </w:r>
          </w:p>
        </w:tc>
        <w:tc>
          <w:tcPr>
            <w:tcW w:w="1173" w:type="dxa"/>
            <w:tcBorders>
              <w:left w:val="nil"/>
              <w:right w:val="nil"/>
            </w:tcBorders>
            <w:vAlign w:val="center"/>
          </w:tcPr>
          <w:p w14:paraId="1D5B2FA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Ethanol content (%v/v)</w:t>
            </w:r>
          </w:p>
        </w:tc>
        <w:tc>
          <w:tcPr>
            <w:tcW w:w="1171" w:type="dxa"/>
            <w:tcBorders>
              <w:left w:val="nil"/>
              <w:right w:val="nil"/>
            </w:tcBorders>
            <w:vAlign w:val="center"/>
          </w:tcPr>
          <w:p w14:paraId="4E4056B6"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Total Sulphur dioxide content</w:t>
            </w:r>
          </w:p>
          <w:p w14:paraId="154B68AD"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(mg/L)</w:t>
            </w:r>
          </w:p>
        </w:tc>
        <w:tc>
          <w:tcPr>
            <w:tcW w:w="1177" w:type="dxa"/>
            <w:tcBorders>
              <w:left w:val="nil"/>
              <w:right w:val="nil"/>
            </w:tcBorders>
            <w:vAlign w:val="center"/>
          </w:tcPr>
          <w:p w14:paraId="08FB5F3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Free Sulphur dioxide content</w:t>
            </w:r>
          </w:p>
          <w:p w14:paraId="2E7F599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(mg/L)</w:t>
            </w:r>
          </w:p>
        </w:tc>
        <w:tc>
          <w:tcPr>
            <w:tcW w:w="15" w:type="dxa"/>
            <w:tcBorders>
              <w:top w:val="nil"/>
              <w:left w:val="nil"/>
              <w:bottom w:val="nil"/>
              <w:right w:val="nil"/>
            </w:tcBorders>
          </w:tcPr>
          <w:p w14:paraId="669D4661" w14:textId="77777777" w:rsidR="009C6330" w:rsidRPr="00BB0B41" w:rsidRDefault="009C6330">
            <w:pPr>
              <w:rPr>
                <w:rFonts w:eastAsia="Calibri" w:cs="Arial"/>
                <w:kern w:val="2"/>
                <w14:ligatures w14:val="standardContextual"/>
              </w:rPr>
            </w:pPr>
          </w:p>
        </w:tc>
      </w:tr>
      <w:tr w:rsidR="009C6330" w:rsidRPr="00BB0B41" w14:paraId="14A84AE7" w14:textId="77777777">
        <w:trPr>
          <w:trHeight w:val="883"/>
        </w:trPr>
        <w:tc>
          <w:tcPr>
            <w:tcW w:w="836" w:type="dxa"/>
            <w:tcBorders>
              <w:left w:val="nil"/>
              <w:bottom w:val="nil"/>
              <w:right w:val="nil"/>
            </w:tcBorders>
            <w:vAlign w:val="center"/>
          </w:tcPr>
          <w:p>
            <w:r>
              <w:t>Wine from nominal 19 °C chamber</w:t>
            </w:r>
          </w:p>
        </w:tc>
        <w:tc>
          <w:tcPr>
            <w:tcW w:w="1149" w:type="dxa"/>
            <w:tcBorders>
              <w:left w:val="nil"/>
              <w:bottom w:val="nil"/>
              <w:right w:val="nil"/>
            </w:tcBorders>
            <w:vAlign w:val="center"/>
          </w:tcPr>
          <w:p>
            <w:r>
              <w:t>0.16 ± 0.05</w:t>
            </w:r>
          </w:p>
        </w:tc>
        <w:tc>
          <w:tcPr>
            <w:tcW w:w="1134" w:type="dxa"/>
            <w:tcBorders>
              <w:left w:val="nil"/>
              <w:bottom w:val="nil"/>
              <w:right w:val="nil"/>
            </w:tcBorders>
            <w:vAlign w:val="center"/>
          </w:tcPr>
          <w:p w14:paraId="005F1583"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 ± 0.23</w:t>
            </w:r>
            <w:r w:rsidRPr="00BB0B41">
              <w:rPr>
                <w:rFonts w:eastAsia="Calibri" w:cs="Arial"/>
                <w:color w:val="auto"/>
                <w:kern w:val="2"/>
                <w:sz w:val="18"/>
                <w:szCs w:val="18"/>
                <w:vertAlign w:val="superscript"/>
                <w14:ligatures w14:val="standardContextual"/>
              </w:rPr>
              <w:t>A</w:t>
            </w:r>
          </w:p>
        </w:tc>
        <w:tc>
          <w:tcPr>
            <w:tcW w:w="850" w:type="dxa"/>
            <w:tcBorders>
              <w:left w:val="nil"/>
              <w:bottom w:val="nil"/>
              <w:right w:val="nil"/>
            </w:tcBorders>
            <w:vAlign w:val="center"/>
          </w:tcPr>
          <w:p w14:paraId="5AC8F09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left w:val="nil"/>
              <w:bottom w:val="nil"/>
              <w:right w:val="nil"/>
            </w:tcBorders>
            <w:vAlign w:val="center"/>
          </w:tcPr>
          <w:p w14:paraId="69C2E54A"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0.04</w:t>
            </w:r>
            <w:r w:rsidRPr="00BB0B41">
              <w:rPr>
                <w:rFonts w:eastAsia="Calibri" w:cs="Arial"/>
                <w:color w:val="auto"/>
                <w:kern w:val="2"/>
                <w:sz w:val="18"/>
                <w:szCs w:val="18"/>
                <w:vertAlign w:val="superscript"/>
                <w14:ligatures w14:val="standardContextual"/>
              </w:rPr>
              <w:t>A</w:t>
            </w:r>
          </w:p>
        </w:tc>
        <w:tc>
          <w:tcPr>
            <w:tcW w:w="1289" w:type="dxa"/>
            <w:tcBorders>
              <w:left w:val="nil"/>
              <w:bottom w:val="nil"/>
              <w:right w:val="nil"/>
            </w:tcBorders>
            <w:vAlign w:val="center"/>
          </w:tcPr>
          <w:p w14:paraId="74E32996"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0.30 ± 0.02</w:t>
            </w:r>
            <w:r w:rsidRPr="00BB0B41">
              <w:rPr>
                <w:rFonts w:eastAsia="Calibri" w:cs="Arial"/>
                <w:color w:val="auto"/>
                <w:kern w:val="2"/>
                <w:sz w:val="18"/>
                <w:szCs w:val="18"/>
                <w:vertAlign w:val="superscript"/>
                <w14:ligatures w14:val="standardContextual"/>
              </w:rPr>
              <w:t>B</w:t>
            </w:r>
          </w:p>
        </w:tc>
        <w:tc>
          <w:tcPr>
            <w:tcW w:w="1173" w:type="dxa"/>
            <w:tcBorders>
              <w:left w:val="nil"/>
              <w:bottom w:val="nil"/>
              <w:right w:val="nil"/>
            </w:tcBorders>
            <w:vAlign w:val="center"/>
          </w:tcPr>
          <w:p w14:paraId="49BF5A4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1.02 ± 0.12</w:t>
            </w:r>
            <w:r w:rsidRPr="00BB0B41">
              <w:rPr>
                <w:rFonts w:eastAsia="Calibri" w:cs="Arial"/>
                <w:color w:val="auto"/>
                <w:kern w:val="2"/>
                <w:sz w:val="18"/>
                <w:szCs w:val="18"/>
                <w:vertAlign w:val="superscript"/>
                <w14:ligatures w14:val="standardContextual"/>
              </w:rPr>
              <w:t>A</w:t>
            </w:r>
          </w:p>
        </w:tc>
        <w:tc>
          <w:tcPr>
            <w:tcW w:w="1173" w:type="dxa"/>
            <w:tcBorders>
              <w:left w:val="nil"/>
              <w:bottom w:val="nil"/>
              <w:right w:val="nil"/>
            </w:tcBorders>
            <w:vAlign w:val="center"/>
          </w:tcPr>
          <w:p w14:paraId="4CF80AB9"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0.6</w:t>
            </w:r>
            <w:r w:rsidRPr="00BB0B41">
              <w:rPr>
                <w:rFonts w:eastAsia="Calibri" w:cs="Arial"/>
                <w:color w:val="auto"/>
                <w:kern w:val="2"/>
                <w:sz w:val="18"/>
                <w:szCs w:val="18"/>
                <w:vertAlign w:val="superscript"/>
                <w14:ligatures w14:val="standardContextual"/>
              </w:rPr>
              <w:t>A</w:t>
            </w:r>
          </w:p>
        </w:tc>
        <w:tc>
          <w:tcPr>
            <w:tcW w:w="1171" w:type="dxa"/>
            <w:tcBorders>
              <w:left w:val="nil"/>
              <w:bottom w:val="nil"/>
              <w:right w:val="nil"/>
            </w:tcBorders>
            <w:vAlign w:val="center"/>
          </w:tcPr>
          <w:p w14:paraId="62C031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50 ± 5.5</w:t>
            </w:r>
            <w:r w:rsidRPr="00BB0B41">
              <w:rPr>
                <w:rFonts w:eastAsia="Calibri" w:cs="Arial"/>
                <w:color w:val="auto"/>
                <w:kern w:val="2"/>
                <w:sz w:val="18"/>
                <w:szCs w:val="18"/>
                <w:vertAlign w:val="superscript"/>
                <w14:ligatures w14:val="standardContextual"/>
              </w:rPr>
              <w:t>A</w:t>
            </w:r>
          </w:p>
        </w:tc>
        <w:tc>
          <w:tcPr>
            <w:tcW w:w="1177" w:type="dxa"/>
            <w:tcBorders>
              <w:left w:val="nil"/>
              <w:bottom w:val="nil"/>
              <w:right w:val="nil"/>
            </w:tcBorders>
            <w:vAlign w:val="center"/>
          </w:tcPr>
          <w:p w14:paraId="023305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31 ± 2.5</w:t>
            </w:r>
            <w:r w:rsidRPr="00BB0B41">
              <w:rPr>
                <w:rFonts w:eastAsia="Calibri" w:cs="Arial"/>
                <w:color w:val="auto"/>
                <w:kern w:val="2"/>
                <w:sz w:val="18"/>
                <w:szCs w:val="18"/>
                <w:vertAlign w:val="superscript"/>
                <w14:ligatures w14:val="standardContextual"/>
              </w:rPr>
              <w:t>A</w:t>
            </w:r>
          </w:p>
        </w:tc>
        <w:tc>
          <w:tcPr>
            <w:tcW w:w="15" w:type="dxa"/>
            <w:tcBorders>
              <w:top w:val="nil"/>
              <w:left w:val="nil"/>
              <w:bottom w:val="nil"/>
              <w:right w:val="nil"/>
            </w:tcBorders>
          </w:tcPr>
          <w:p w14:paraId="7A61CAA6" w14:textId="77777777" w:rsidR="009C6330" w:rsidRPr="00BB0B41" w:rsidRDefault="009C6330">
            <w:pPr>
              <w:rPr>
                <w:rFonts w:eastAsia="Calibri" w:cs="Arial"/>
                <w:kern w:val="2"/>
                <w14:ligatures w14:val="standardContextual"/>
              </w:rPr>
            </w:pPr>
          </w:p>
        </w:tc>
      </w:tr>
      <w:tr w:rsidR="009C6330" w:rsidRPr="00BB0B41" w14:paraId="632DC6E7" w14:textId="77777777">
        <w:trPr>
          <w:trHeight w:val="764"/>
        </w:trPr>
        <w:tc>
          <w:tcPr>
            <w:tcW w:w="836" w:type="dxa"/>
            <w:tcBorders>
              <w:top w:val="nil"/>
              <w:left w:val="nil"/>
              <w:right w:val="nil"/>
            </w:tcBorders>
            <w:vAlign w:val="center"/>
          </w:tcPr>
          <w:p>
            <w:r>
              <w:t>Wine from nominal 50 °C chamber</w:t>
            </w:r>
          </w:p>
        </w:tc>
        <w:tc>
          <w:tcPr>
            <w:tcW w:w="1149" w:type="dxa"/>
            <w:tcBorders>
              <w:top w:val="nil"/>
              <w:left w:val="nil"/>
              <w:right w:val="nil"/>
            </w:tcBorders>
            <w:vAlign w:val="center"/>
          </w:tcPr>
          <w:p>
            <w:r>
              <w:t>0.29 ± 0.02</w:t>
            </w:r>
          </w:p>
        </w:tc>
        <w:tc>
          <w:tcPr>
            <w:tcW w:w="1134" w:type="dxa"/>
            <w:tcBorders>
              <w:top w:val="nil"/>
              <w:left w:val="nil"/>
              <w:right w:val="nil"/>
            </w:tcBorders>
            <w:vAlign w:val="center"/>
          </w:tcPr>
          <w:p w14:paraId="4A662B4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 ± 0.16</w:t>
            </w:r>
            <w:r w:rsidRPr="00BB0B41">
              <w:rPr>
                <w:rFonts w:eastAsia="Calibri" w:cs="Arial"/>
                <w:color w:val="auto"/>
                <w:kern w:val="2"/>
                <w:sz w:val="18"/>
                <w:szCs w:val="18"/>
                <w:vertAlign w:val="superscript"/>
                <w14:ligatures w14:val="standardContextual"/>
              </w:rPr>
              <w:t>A</w:t>
            </w:r>
          </w:p>
        </w:tc>
        <w:tc>
          <w:tcPr>
            <w:tcW w:w="850" w:type="dxa"/>
            <w:tcBorders>
              <w:top w:val="nil"/>
              <w:left w:val="nil"/>
              <w:right w:val="nil"/>
            </w:tcBorders>
            <w:vAlign w:val="center"/>
          </w:tcPr>
          <w:p w14:paraId="4C97506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top w:val="nil"/>
              <w:left w:val="nil"/>
              <w:right w:val="nil"/>
            </w:tcBorders>
            <w:vAlign w:val="center"/>
          </w:tcPr>
          <w:p w14:paraId="63F48B2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0.13</w:t>
            </w:r>
            <w:r w:rsidRPr="00BB0B41">
              <w:rPr>
                <w:rFonts w:eastAsia="Calibri" w:cs="Arial"/>
                <w:color w:val="auto"/>
                <w:kern w:val="2"/>
                <w:sz w:val="18"/>
                <w:szCs w:val="18"/>
                <w:vertAlign w:val="superscript"/>
                <w14:ligatures w14:val="standardContextual"/>
              </w:rPr>
              <w:t>A</w:t>
            </w:r>
          </w:p>
        </w:tc>
        <w:tc>
          <w:tcPr>
            <w:tcW w:w="1289" w:type="dxa"/>
            <w:tcBorders>
              <w:top w:val="nil"/>
              <w:left w:val="nil"/>
              <w:right w:val="nil"/>
            </w:tcBorders>
            <w:vAlign w:val="center"/>
          </w:tcPr>
          <w:p w14:paraId="378B7485"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0.39 ± 0.03</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7C01D6D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1.10 ± 0.07</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6D9D30EE"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0.9</w:t>
            </w:r>
            <w:r w:rsidRPr="00BB0B41">
              <w:rPr>
                <w:rFonts w:eastAsia="Calibri" w:cs="Arial"/>
                <w:color w:val="auto"/>
                <w:kern w:val="2"/>
                <w:sz w:val="18"/>
                <w:szCs w:val="18"/>
                <w:vertAlign w:val="superscript"/>
                <w14:ligatures w14:val="standardContextual"/>
              </w:rPr>
              <w:t>A</w:t>
            </w:r>
          </w:p>
        </w:tc>
        <w:tc>
          <w:tcPr>
            <w:tcW w:w="1171" w:type="dxa"/>
            <w:tcBorders>
              <w:top w:val="nil"/>
              <w:left w:val="nil"/>
              <w:right w:val="nil"/>
            </w:tcBorders>
            <w:vAlign w:val="center"/>
          </w:tcPr>
          <w:p w14:paraId="426B077B"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25 ± 8.2</w:t>
            </w:r>
            <w:r w:rsidRPr="00BB0B41">
              <w:rPr>
                <w:rFonts w:eastAsia="Calibri" w:cs="Arial"/>
                <w:color w:val="auto"/>
                <w:kern w:val="2"/>
                <w:sz w:val="18"/>
                <w:szCs w:val="18"/>
                <w:vertAlign w:val="superscript"/>
                <w14:ligatures w14:val="standardContextual"/>
              </w:rPr>
              <w:t>B</w:t>
            </w:r>
          </w:p>
        </w:tc>
        <w:tc>
          <w:tcPr>
            <w:tcW w:w="1177" w:type="dxa"/>
            <w:tcBorders>
              <w:top w:val="nil"/>
              <w:left w:val="nil"/>
              <w:right w:val="nil"/>
            </w:tcBorders>
            <w:vAlign w:val="center"/>
          </w:tcPr>
          <w:p w14:paraId="1F0ADE9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16 ± 1.8</w:t>
            </w:r>
            <w:r w:rsidRPr="00BB0B41">
              <w:rPr>
                <w:rFonts w:eastAsia="Calibri" w:cs="Arial"/>
                <w:color w:val="auto"/>
                <w:kern w:val="2"/>
                <w:sz w:val="18"/>
                <w:szCs w:val="18"/>
                <w:vertAlign w:val="superscript"/>
                <w14:ligatures w14:val="standardContextual"/>
              </w:rPr>
              <w:t>B</w:t>
            </w:r>
          </w:p>
        </w:tc>
        <w:tc>
          <w:tcPr>
            <w:tcW w:w="15" w:type="dxa"/>
            <w:tcBorders>
              <w:top w:val="nil"/>
              <w:left w:val="nil"/>
              <w:bottom w:val="nil"/>
              <w:right w:val="nil"/>
            </w:tcBorders>
          </w:tcPr>
          <w:p w14:paraId="7F0AFA35" w14:textId="77777777" w:rsidR="009C6330" w:rsidRPr="00BB0B41" w:rsidRDefault="009C6330">
            <w:pPr>
              <w:rPr>
                <w:rFonts w:eastAsia="Calibri" w:cs="Arial"/>
                <w:kern w:val="2"/>
                <w14:ligatures w14:val="standardContextual"/>
              </w:rPr>
            </w:pPr>
          </w:p>
        </w:tc>
      </w:tr>
      <w:tr w:rsidR="009C6330" w:rsidRPr="00BB0B41" w14:paraId="6C054B93" w14:textId="77777777">
        <w:trPr>
          <w:trHeight w:val="764"/>
        </w:trPr>
        <w:tc>
          <w:tcPr>
            <w:tcW w:w="11037" w:type="dxa"/>
            <w:gridSpan w:val="11"/>
            <w:tcBorders>
              <w:left w:val="nil"/>
              <w:right w:val="nil"/>
            </w:tcBorders>
            <w:vAlign w:val="center"/>
          </w:tcPr>
          <w:p>
            <w:r>
              <w:t>Superscript uppercase letters (A-B) indicate statistically significant differences among samples within a column where letters are shown. Lactic acid is reported descriptively without significance letters because raw replicate data were unavailable and the later 0.20 g/L SD could not be traced to a primary experimental record.</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observation is consistent with a compliant container in which thermal expansion is partly accommodated by deformation of the flexible film rather than by sustained pressurisation. Because the verification trial used one stack and one configuration, it should be read as supporting evidence for that stack only. It does not show that temperature cannot affect BiB pressure under other configurations.</w:t>
      </w:r>
    </w:p>
    <w:p w14:paraId="55930FBC" w14:textId="77777777" w:rsidR="009C6330" w:rsidRPr="00BB0B41" w:rsidRDefault="00096756" w:rsidP="00FA0DF4">
      <w:pPr>
        <w:pStyle w:val="MDPI31text"/>
        <w:spacing w:line="240" w:lineRule="auto"/>
        <w:ind w:left="0" w:firstLine="0"/>
      </w:pPr>
      <w: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retained in the available study records. No microbiological measurements, viable cell counts, sensory analysis or post-transport storage follow-up were performed; therefore malolactic or other microbial contributions cannot be excluded and the consequences of lower SO2 reserve remain potential implications rather than measured outcomes.</w:t>
      </w:r>
    </w:p>
    <w:p w14:paraId="46B68C1B" w14:textId="77777777" w:rsidR="009C6330" w:rsidRPr="00BB0B41" w:rsidRDefault="00096756">
      <w:pPr>
        <w:pStyle w:val="MDPI31text"/>
      </w:pPr>
      <w: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and pallet occupancy were not recorded, preventing a definitive diagnosis of the thermal lag. There was also only one chamber per nominal set point, so chamber identity and nominal condition are confounded.</w:t>
      </w:r>
    </w:p>
    <w:p w14:paraId="46B68C1B" w14:textId="77777777" w:rsidR="009C6330" w:rsidRPr="00BB0B41" w:rsidRDefault="00096756">
      <w:pPr>
        <w:pStyle w:val="MDPI31text"/>
      </w:pPr>
      <w:r>
        <w:t>The pressure analysis is limited by eleven usable traces, one missing bottom-position sensor, an unbalanced cell of n = 2, possible within-stack pairing of top and bottom observations, and a narrow stack-height range in which height was not independently replicated. The available raw workbook contains the pressure/temperature trajectories, but it does not retain stack IDs or sensor-to-stack pairings for a paired stack-level analysis. The first five hours were excluded from the primary storage analysis because they contained transport and stacking events. Sensitivity analysis showed that including this window did not change the pressure-peak endpoint. However,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t>Despite these limitations, the study illustrates why direct package-level measurement matters: chamber set points did not predict the realised wine temperature in the main trial, and the sensor-level pressure summaries differed by package position under the tested stacking configuration. Future studies should include replicated chambers, chamber-air and barometric reference logging,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t>This study monitored pressure and temperature inside 3-L Bag-in-Box wine units during a simulated export period and showed that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t>For pressure, bottom-position BiBs had a larger mean peak ΔP than top-position BiBs under the tested stacking configuration, with an adjusted difference of 20.4 mbar in the exploratory sensor-level analysis (F(1,8) = 9.14; p = 0.017). Individual post-handling peaks occurred between about days 3.5 and 5.8. The top-bottom difference was mainly observed during this pressurisation phase and became smaller later in storage. Including the first five hours did not change the peak-pressure endpoint. No statistically detectable nominal chamber-condition effect was observed in this small dataset, and by day 20 neither sensor-level factor was statistically detectable. Because the analysis is sensor-level and the chamber design was not replicated, this result should be interpreted as exploratory. The experiment does not provide a separate, well-powered test of stack height.</w:t>
      </w:r>
    </w:p>
    <w:p w14:paraId="386F2AE7" w14:textId="77777777" w:rsidR="009C6330" w:rsidRPr="00BB0B41" w:rsidRDefault="00096756">
      <w:pPr>
        <w:pStyle w:val="MDPI31text"/>
        <w:spacing w:line="240" w:lineRule="auto"/>
        <w:ind w:left="2550"/>
      </w:pPr>
      <w:r>
        <w:t>For chemistry, wine from the nominally warmer chamber showed lower free and total SO₂, higher volatile acidity and a numerically higher lactic-acid value, while pH, ethanol, titratable acidity and total phenols did not differ significantly. Because the wine did not reach 50 °C in the main trial and chemical sampling was not position-resolved, these results should be interpreted as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Practical monitoring should therefore focus on selected sentinel packages or validation deployments that record actual in-package conditions and mechanically stressed positions,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sidRPr="00BB0B41">
        <w:rPr>
          <w:b/>
        </w:rPr>
        <w:t>Author Contributions:</w:t>
      </w:r>
      <w:r w:rsidRPr="00BB0B41">
        <w:t xml:space="preserve"> For research articles with several authors, a short paragraph specifying their individual contributions must be provided. The following statements should be used “Conceptualization, M.M., F.P., P.G.V.,  and A.Z.; methodology, B.C., and N.M.; software, B.C. and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 </w:t>
      </w:r>
    </w:p>
    <w:p w14:paraId="21837E76" w14:textId="77777777" w:rsidR="009C6330" w:rsidRPr="00BB0B41" w:rsidRDefault="00096756">
      <w:pPr>
        <w:pStyle w:val="MDPI62backmatter"/>
      </w:pPr>
      <w:r w:rsidRPr="00BB0B41">
        <w:t xml:space="preserve">All authors have read and agreed to the published version of the manuscript.” Please turn to the </w:t>
      </w:r>
      <w:hyperlink r:id="rId16">
        <w:r w:rsidRPr="00BB0B41">
          <w:rPr>
            <w:rStyle w:val="Hyperlink"/>
          </w:rPr>
          <w:t>CRediT taxonomy</w:t>
        </w:r>
      </w:hyperlink>
      <w:r w:rsidRPr="00BB0B41">
        <w:t xml:space="preserve"> for the term explanation. Authorship must be limited to those who have contributed substantially to the work reported.</w:t>
      </w:r>
    </w:p>
    <w:p w14:paraId="4C97347B" w14:textId="77777777" w:rsidR="009C6330" w:rsidRPr="00BB0B41" w:rsidRDefault="00096756">
      <w:pPr>
        <w:pStyle w:val="MDPI62backmatter"/>
        <w:rPr>
          <w:rFonts w:eastAsiaTheme="minorEastAsia"/>
          <w:lang w:eastAsia="zh-CN"/>
        </w:rPr>
      </w:pPr>
      <w:r w:rsidRPr="00BB0B41">
        <w:rPr>
          <w:b/>
        </w:rPr>
        <w:t>Funding:</w:t>
      </w:r>
      <w:r w:rsidRPr="00BB0B41">
        <w:t xml:space="preserve"> This research was funded by TRACEWINDU (Traceability at wine industry through inte- 402 grated labelling of typicality, health protection effect and organoleptic attributes), project co- 403 founded by Horizon 2020 Framework Programme of European Union under the Grant Agreement 404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t>Data Availability Statement: The data supporting the pressure and temperature analyses are available in the main-trial pressure/temperature workbook (Results.xlsx), the verification-trial workbook (Stack testing high temperature.xlsx), the verification CSV export, final figures, analysis scripts and derived analysis summaries. Raw chemical replicate values, microbiological data, sensory data, shelf-life follow-up and chamber-control metadata were not retained in the available study records and are available only if held separately by the corresponding author.</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