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1963" w14:textId="77777777" w:rsidR="009C6330" w:rsidRPr="00BB0B41" w:rsidRDefault="00096756">
      <w:pPr>
        <w:pStyle w:val="MDPI11articletype"/>
      </w:pPr>
      <w:r w:rsidRPr="00BB0B41">
        <w:t>Communication</w:t>
      </w:r>
    </w:p>
    <w:p w14:paraId="0A63AE54" w14:textId="77777777" w:rsidR="009C6330" w:rsidRPr="00200587" w:rsidRDefault="00096756">
      <w:pPr>
        <w:pStyle w:val="MDPI13authornames"/>
        <w:rPr>
          <w:sz w:val="36"/>
          <w:szCs w:val="36"/>
        </w:rPr>
      </w:pPr>
      <w:r w:rsidRPr="00200587">
        <w:rPr>
          <w:sz w:val="36"/>
          <w:szCs w:val="36"/>
        </w:rPr>
        <w:t>Palletisation and In-Bag Thermal Exposure in Bag-in-Box Wine Packaging under Simulated Export Conditions</w:t>
      </w:r>
    </w:p>
    <w:p w14:paraId="2D238B4F" w14:textId="77777777" w:rsidR="009C6330" w:rsidRPr="00BB0B41" w:rsidRDefault="00096756">
      <w:pPr>
        <w:pStyle w:val="MDPI13authornames"/>
        <w:rPr>
          <w:vertAlign w:val="superscript"/>
          <w:lang w:val="it-IT"/>
        </w:rPr>
      </w:pPr>
      <w:r w:rsidRPr="00BB0B41">
        <w:rPr>
          <w:lang w:val="it-IT"/>
        </w:rPr>
        <w:t xml:space="preserve">Nicola Mercanti </w:t>
      </w:r>
      <w:r w:rsidRPr="00BB0B41">
        <w:rPr>
          <w:vertAlign w:val="superscript"/>
          <w:lang w:val="it-IT"/>
        </w:rPr>
        <w:t>1</w:t>
      </w:r>
      <w:r w:rsidRPr="00BB0B41">
        <w:rPr>
          <w:lang w:val="it-IT"/>
        </w:rPr>
        <w:t xml:space="preserve">, Monica Macaluso </w:t>
      </w:r>
      <w:r w:rsidRPr="00BB0B41">
        <w:rPr>
          <w:vertAlign w:val="superscript"/>
          <w:lang w:val="it-IT"/>
        </w:rPr>
        <w:t>1*</w:t>
      </w:r>
      <w:r w:rsidRPr="00BB0B41">
        <w:rPr>
          <w:lang w:val="it-IT"/>
        </w:rPr>
        <w:t xml:space="preserve">, Bruno Casu </w:t>
      </w:r>
      <w:r w:rsidRPr="00BB0B41">
        <w:rPr>
          <w:vertAlign w:val="superscript"/>
          <w:lang w:val="it-IT"/>
        </w:rPr>
        <w:t>2</w:t>
      </w:r>
      <w:r w:rsidRPr="00BB0B41">
        <w:rPr>
          <w:lang w:val="it-IT"/>
        </w:rPr>
        <w:t xml:space="preserve">, Kamran Mehravar </w:t>
      </w:r>
      <w:r w:rsidRPr="00BB0B41">
        <w:rPr>
          <w:vertAlign w:val="superscript"/>
          <w:lang w:val="it-IT"/>
        </w:rPr>
        <w:t>2</w:t>
      </w:r>
      <w:r w:rsidRPr="00BB0B41">
        <w:rPr>
          <w:lang w:val="it-IT"/>
        </w:rPr>
        <w:t xml:space="preserve">, Fabrizio Palla </w:t>
      </w:r>
      <w:r w:rsidRPr="00BB0B41">
        <w:rPr>
          <w:vertAlign w:val="superscript"/>
          <w:lang w:val="it-IT"/>
        </w:rPr>
        <w:t>2</w:t>
      </w:r>
      <w:r w:rsidRPr="00BB0B41">
        <w:rPr>
          <w:lang w:val="it-IT"/>
        </w:rPr>
        <w:t xml:space="preserve">, Piero Giorgio Verdini </w:t>
      </w:r>
      <w:r w:rsidRPr="00BB0B41">
        <w:rPr>
          <w:vertAlign w:val="superscript"/>
          <w:lang w:val="it-IT"/>
        </w:rPr>
        <w:t>2,3</w:t>
      </w:r>
      <w:r w:rsidRPr="00BB0B41">
        <w:rPr>
          <w:lang w:val="it-IT"/>
        </w:rPr>
        <w:t xml:space="preserve">, and Angela Zinnai </w:t>
      </w:r>
      <w:r w:rsidRPr="00BB0B41">
        <w:rPr>
          <w:vertAlign w:val="superscript"/>
          <w:lang w:val="it-IT"/>
        </w:rPr>
        <w:t>1,4</w:t>
      </w:r>
    </w:p>
    <w:tbl>
      <w:tblPr>
        <w:tblpPr w:leftFromText="198" w:rightFromText="198" w:vertAnchor="page" w:horzAnchor="margin" w:tblpY="11461"/>
        <w:tblW w:w="2410" w:type="dxa"/>
        <w:tblCellMar>
          <w:left w:w="0" w:type="dxa"/>
          <w:right w:w="0" w:type="dxa"/>
        </w:tblCellMar>
        <w:tblLook w:val="04A0" w:firstRow="1" w:lastRow="0" w:firstColumn="1" w:lastColumn="0" w:noHBand="0" w:noVBand="1"/>
      </w:tblPr>
      <w:tblGrid>
        <w:gridCol w:w="3005"/>
      </w:tblGrid>
      <w:tr w:rsidR="009C6330" w:rsidRPr="00BB0B41" w14:paraId="48A3C9CA" w14:textId="77777777">
        <w:tc>
          <w:tcPr>
            <w:tcW w:w="2410" w:type="dxa"/>
          </w:tcPr>
          <w:p w14:paraId="47A4116B" w14:textId="77777777" w:rsidR="009C6330" w:rsidRPr="00BB0B41" w:rsidRDefault="00096756">
            <w:pPr>
              <w:pStyle w:val="MDPI15academiceditor"/>
              <w:spacing w:before="0" w:after="120"/>
            </w:pPr>
            <w:r w:rsidRPr="00BB0B41">
              <w:t>Academic Editor: Firstname Lastname</w:t>
            </w:r>
          </w:p>
          <w:p w14:paraId="7C3D06CA" w14:textId="77777777" w:rsidR="009C6330" w:rsidRPr="00BB0B41" w:rsidRDefault="00096756">
            <w:pPr>
              <w:pStyle w:val="MDPI14history"/>
              <w:spacing w:before="120"/>
            </w:pPr>
            <w:r w:rsidRPr="00BB0B41">
              <w:t>Received: date</w:t>
            </w:r>
          </w:p>
          <w:p w14:paraId="4C3A7A2E" w14:textId="77777777" w:rsidR="009C6330" w:rsidRPr="00BB0B41" w:rsidRDefault="00096756">
            <w:pPr>
              <w:pStyle w:val="MDPI14history"/>
            </w:pPr>
            <w:r w:rsidRPr="00BB0B41">
              <w:t>Revised: date</w:t>
            </w:r>
          </w:p>
          <w:p w14:paraId="7A6E07DB" w14:textId="77777777" w:rsidR="009C6330" w:rsidRPr="00BB0B41" w:rsidRDefault="00096756">
            <w:pPr>
              <w:pStyle w:val="MDPI14history"/>
            </w:pPr>
            <w:r w:rsidRPr="00BB0B41">
              <w:t>Accepted: date</w:t>
            </w:r>
          </w:p>
          <w:p w14:paraId="6A3051E5" w14:textId="77777777" w:rsidR="009C6330" w:rsidRPr="00BB0B41" w:rsidRDefault="00096756">
            <w:pPr>
              <w:pStyle w:val="MDPI14history"/>
              <w:spacing w:after="120"/>
            </w:pPr>
            <w:r w:rsidRPr="00BB0B41">
              <w:t>Published: date</w:t>
            </w:r>
          </w:p>
          <w:p w14:paraId="5AC2A96A" w14:textId="77777777" w:rsidR="009C6330" w:rsidRPr="00BB0B41" w:rsidRDefault="00096756">
            <w:pPr>
              <w:pStyle w:val="MDPI61citation"/>
              <w:rPr>
                <w:lang w:bidi="en-US"/>
              </w:rPr>
            </w:pPr>
            <w:r w:rsidRPr="00BB0B41">
              <w:rPr>
                <w:b/>
                <w:lang w:bidi="en-US"/>
              </w:rPr>
              <w:t xml:space="preserve">Citation: </w:t>
            </w:r>
            <w:r w:rsidRPr="00BB0B41">
              <w:rPr>
                <w:lang w:bidi="en-US"/>
              </w:rPr>
              <w:t>To be added by editorial staff during production.</w:t>
            </w:r>
          </w:p>
          <w:p w14:paraId="78EA1E92" w14:textId="77777777" w:rsidR="009C6330" w:rsidRPr="00BB0B41" w:rsidRDefault="00096756">
            <w:pPr>
              <w:pStyle w:val="MDPI72copyright"/>
              <w:rPr>
                <w:rFonts w:eastAsia="DengXian"/>
                <w:lang w:val="en-US" w:bidi="en-US"/>
              </w:rPr>
            </w:pPr>
            <w:r w:rsidRPr="00BB0B41">
              <w:rPr>
                <w:rFonts w:eastAsia="DengXian"/>
                <w:b/>
                <w:lang w:val="en-US" w:bidi="en-US"/>
              </w:rPr>
              <w:t>Copyright:</w:t>
            </w:r>
            <w:r w:rsidRPr="00BB0B41">
              <w:rPr>
                <w:rFonts w:eastAsia="DengXian"/>
                <w:lang w:val="en-US" w:bidi="en-US"/>
              </w:rPr>
              <w:t xml:space="preserve"> © 2025 by the authors. Submitted for possible open access publication under the terms and conditions of the Creative Commons Attribution (CC BY) license (https://creativecommons.org/licenses/by/4.0/).</w:t>
            </w:r>
          </w:p>
        </w:tc>
      </w:tr>
    </w:tbl>
    <w:p w14:paraId="4E8122DF" w14:textId="77777777" w:rsidR="009C6330" w:rsidRPr="00BB0B41" w:rsidRDefault="00096756">
      <w:pPr>
        <w:pStyle w:val="MDPI17abstract"/>
        <w:spacing w:before="0" w:after="0"/>
        <w:jc w:val="left"/>
        <w:rPr>
          <w:sz w:val="16"/>
          <w:szCs w:val="18"/>
        </w:rPr>
      </w:pPr>
      <w:r w:rsidRPr="00BB0B41">
        <w:rPr>
          <w:sz w:val="16"/>
          <w:szCs w:val="18"/>
          <w:vertAlign w:val="superscript"/>
        </w:rPr>
        <w:t>1</w:t>
      </w:r>
      <w:r w:rsidRPr="00BB0B41">
        <w:rPr>
          <w:sz w:val="16"/>
          <w:szCs w:val="18"/>
        </w:rPr>
        <w:t xml:space="preserve"> Department of Agriculture, Food and Environment, University of Pisa, Via del Borghetto 80, </w:t>
      </w:r>
    </w:p>
    <w:p w14:paraId="4B23B2B5" w14:textId="77777777" w:rsidR="009C6330" w:rsidRPr="00BB0B41" w:rsidRDefault="00096756">
      <w:pPr>
        <w:pStyle w:val="MDPI17abstract"/>
        <w:spacing w:before="0" w:after="0"/>
        <w:jc w:val="left"/>
        <w:rPr>
          <w:sz w:val="16"/>
          <w:szCs w:val="18"/>
          <w:lang w:val="it-IT"/>
        </w:rPr>
      </w:pPr>
      <w:r w:rsidRPr="00BB0B41">
        <w:rPr>
          <w:sz w:val="16"/>
          <w:szCs w:val="18"/>
          <w:lang w:val="it-IT"/>
        </w:rPr>
        <w:t xml:space="preserve">56124 Pisa, Italy; nicola.mercanti@phd.unipi.it (N.M.); monica.macaluso@unipi.it (M.M.); </w:t>
      </w:r>
    </w:p>
    <w:p w14:paraId="338BA099" w14:textId="77777777" w:rsidR="009C6330" w:rsidRPr="00BB0B41" w:rsidRDefault="00096756">
      <w:pPr>
        <w:pStyle w:val="MDPI17abstract"/>
        <w:spacing w:before="0" w:after="0"/>
        <w:jc w:val="left"/>
        <w:rPr>
          <w:sz w:val="16"/>
          <w:szCs w:val="18"/>
        </w:rPr>
      </w:pPr>
      <w:r w:rsidRPr="00BB0B41">
        <w:rPr>
          <w:sz w:val="16"/>
          <w:szCs w:val="18"/>
        </w:rPr>
        <w:t>angela.zinnai@unipi.it (A.Z.)</w:t>
      </w:r>
    </w:p>
    <w:p w14:paraId="0E9CD511" w14:textId="77777777" w:rsidR="009C6330" w:rsidRPr="00BB0B41" w:rsidRDefault="00096756">
      <w:pPr>
        <w:pStyle w:val="MDPI17abstract"/>
        <w:spacing w:before="0" w:after="0"/>
        <w:jc w:val="left"/>
        <w:rPr>
          <w:sz w:val="16"/>
          <w:szCs w:val="18"/>
          <w:lang w:val="it-IT"/>
        </w:rPr>
      </w:pPr>
      <w:r w:rsidRPr="00BB0B41">
        <w:rPr>
          <w:sz w:val="16"/>
          <w:szCs w:val="18"/>
          <w:vertAlign w:val="superscript"/>
          <w:lang w:val="it-IT"/>
        </w:rPr>
        <w:t>2</w:t>
      </w:r>
      <w:r w:rsidRPr="00BB0B41">
        <w:rPr>
          <w:sz w:val="16"/>
          <w:szCs w:val="18"/>
          <w:lang w:val="it-IT"/>
        </w:rPr>
        <w:t xml:space="preserve"> INFN Pisa Section, Largo Bruno Pontecorvo 3, 56127 Pisa, Italy; bruno.casu@cern.ch (B.C); </w:t>
      </w:r>
      <w:hyperlink r:id="rId8">
        <w:r w:rsidRPr="00BB0B41">
          <w:rPr>
            <w:rStyle w:val="Hyperlink"/>
            <w:sz w:val="16"/>
            <w:szCs w:val="18"/>
            <w:lang w:val="it-IT"/>
          </w:rPr>
          <w:t>k.mehravar@studenti.unipi.it</w:t>
        </w:r>
      </w:hyperlink>
      <w:r w:rsidRPr="00BB0B41">
        <w:rPr>
          <w:sz w:val="16"/>
          <w:szCs w:val="18"/>
          <w:lang w:val="it-IT"/>
        </w:rPr>
        <w:t xml:space="preserve"> (K.M) fabrizio.palla@cern.ch (F.P)</w:t>
      </w:r>
    </w:p>
    <w:p w14:paraId="31A6AB98" w14:textId="77777777" w:rsidR="009C6330" w:rsidRPr="00BB0B41" w:rsidRDefault="00096756">
      <w:pPr>
        <w:pStyle w:val="MDPI17abstract"/>
        <w:spacing w:before="0" w:after="0"/>
        <w:jc w:val="left"/>
        <w:rPr>
          <w:sz w:val="16"/>
          <w:szCs w:val="18"/>
        </w:rPr>
      </w:pPr>
      <w:r w:rsidRPr="00BB0B41">
        <w:rPr>
          <w:sz w:val="16"/>
          <w:szCs w:val="18"/>
          <w:vertAlign w:val="superscript"/>
        </w:rPr>
        <w:t>3</w:t>
      </w:r>
      <w:r w:rsidRPr="00BB0B41">
        <w:rPr>
          <w:sz w:val="16"/>
          <w:szCs w:val="18"/>
        </w:rPr>
        <w:t xml:space="preserve"> European Organization for Nuclear Research Espl. des Particules 1, 1211 Meyrin, Switzerland; pie-ro.giorgio.verdini@cern.ch (P.G.V)</w:t>
      </w:r>
    </w:p>
    <w:p w14:paraId="6211A575" w14:textId="77777777" w:rsidR="009C6330" w:rsidRPr="00BB0B41" w:rsidRDefault="00096756">
      <w:pPr>
        <w:pStyle w:val="MDPI17abstract"/>
        <w:spacing w:before="0" w:after="0"/>
        <w:jc w:val="left"/>
        <w:rPr>
          <w:sz w:val="16"/>
          <w:szCs w:val="18"/>
        </w:rPr>
      </w:pPr>
      <w:r w:rsidRPr="00BB0B41">
        <w:rPr>
          <w:sz w:val="16"/>
          <w:szCs w:val="18"/>
          <w:vertAlign w:val="superscript"/>
        </w:rPr>
        <w:t>4</w:t>
      </w:r>
      <w:r w:rsidRPr="00BB0B41">
        <w:rPr>
          <w:sz w:val="16"/>
          <w:szCs w:val="18"/>
        </w:rPr>
        <w:t xml:space="preserve"> Interdepartmental Research Centre “Nutraceuticals and Food for Health”, University of Pisa, Via del Bor-ghetto 80, 56124 Pisa, Italy</w:t>
      </w:r>
    </w:p>
    <w:p w14:paraId="5A055F08" w14:textId="77777777" w:rsidR="009C6330" w:rsidRPr="00BB0B41" w:rsidRDefault="00096756">
      <w:pPr>
        <w:pStyle w:val="MDPI17abstract"/>
        <w:spacing w:before="0" w:after="0"/>
        <w:jc w:val="left"/>
        <w:rPr>
          <w:sz w:val="16"/>
          <w:szCs w:val="18"/>
          <w:vertAlign w:val="superscript"/>
        </w:rPr>
      </w:pPr>
      <w:r w:rsidRPr="00BB0B41">
        <w:rPr>
          <w:sz w:val="16"/>
          <w:szCs w:val="18"/>
        </w:rPr>
        <w:t>*Correspondence:</w:t>
      </w:r>
      <w:r w:rsidRPr="00BB0B41">
        <w:rPr>
          <w:sz w:val="16"/>
          <w:szCs w:val="18"/>
          <w:vertAlign w:val="superscript"/>
        </w:rPr>
        <w:t xml:space="preserve"> </w:t>
      </w:r>
      <w:r w:rsidRPr="00BB0B41">
        <w:rPr>
          <w:sz w:val="16"/>
          <w:szCs w:val="18"/>
        </w:rPr>
        <w:t>monica.macaluso@unipi.it</w:t>
      </w:r>
    </w:p>
    <w:p w14:paraId="1B1B9478" w14:textId="77777777" w:rsidR="009C6330" w:rsidRPr="00BB0B41" w:rsidRDefault="00096756">
      <w:pPr>
        <w:pStyle w:val="MDPI17abstract"/>
        <w:jc w:val="left"/>
        <w:rPr>
          <w:b/>
        </w:rPr>
      </w:pPr>
      <w:r w:rsidRPr="00BB0B41">
        <w:rPr>
          <w:b/>
        </w:rPr>
        <w:t>Abstract</w:t>
      </w:r>
    </w:p>
    <w:p w14:paraId="0C1B7BEA" w14:textId="77777777" w:rsidR="009C6330" w:rsidRPr="00BB0B41" w:rsidRDefault="00096756">
      <w:pPr>
        <w:pStyle w:val="MDPI17abstract"/>
        <w:rPr>
          <w:lang w:val="en-GB"/>
        </w:rPr>
      </w:pPr>
      <w:r>
        <w:t>Bag-in-Box (BiB) packaging can reduce the logistical and environmental burden of wine exports, but its behaviour under combined stacking and thermal stress is still poorly documented. This study monitored 3-L BiB units during a 20-day simulated export trial in two chambers nominally set to 19 °C and 50 °C, followed by a 15-day single-stack verification trial under a nominal 50 °C condition. In the main trial, the nominal 50 °C chamber did not produce 50 °C wine exposure. During the late storage window, in-bag temperatures averaged 34.18 ± 0.36 °C in top units and 26.08 ± 0.23 °C in bottom units. In the nominal 19 °C chamber, top and bottom units averaged 23.50 ± 0.21 °C and 22.84 ± 0.30 °C, respectively. Internal pressure rose after handling; individual post-handling peaks occurred between 85.0 and 138.5 h. In an exploratory sensor-level analysis, bottom-position BiBs had a larger peak baseline-referred pressure increase than top-position BiBs (adjusted difference 20.4 mbar; 95% CI 4.8-35.9 mbar; F(1,8) = 9.14; p = 0.017). No statistically detectable nominal chamber-condition effect was observed, and by day 20 neither sensor-level factor was statistically detectable. Bulk wine from the nominally warmer chamber showed lower free and total SO₂ and higher volatile acidity after 20 days. It also had a numerically higher lactic-acid value, but the summary chemistry data were not resolved by stack position and raw chemical replicates were unavailable. In the verification trial, sensor maxima ranged from 45.0 to 48.8 °C and no in-bag sensor reached 50 °C; pressure changes remained transient (9.6-26.5 mbar). The results support selected sentinel sensing to document actual package conditions and mechanically stressed positions, while highlighting the limits of inferring wine exposure from chamber set points alone.</w:t>
      </w:r>
    </w:p>
    <w:p w14:paraId="156D7BF4" w14:textId="77777777" w:rsidR="009C6330" w:rsidRPr="00BB0B41" w:rsidRDefault="009C6330">
      <w:pPr>
        <w:pStyle w:val="MDPI18keywords"/>
        <w:rPr>
          <w:lang w:val="en-GB"/>
        </w:rPr>
      </w:pPr>
    </w:p>
    <w:p w14:paraId="2438FF1B" w14:textId="77777777" w:rsidR="009C6330" w:rsidRPr="00BB0B41" w:rsidRDefault="00096756">
      <w:pPr>
        <w:pStyle w:val="MDPI18keywords"/>
        <w:rPr>
          <w:szCs w:val="18"/>
        </w:rPr>
      </w:pPr>
      <w:r>
        <w:t>Keywords: wine logistics, pressure variation, storage stability, sensor-based monitoring</w:t>
      </w:r>
    </w:p>
    <w:p w14:paraId="399F82E1" w14:textId="77777777" w:rsidR="009C6330" w:rsidRPr="00BB0B41" w:rsidRDefault="009C6330">
      <w:pPr>
        <w:pStyle w:val="MDPI19line"/>
      </w:pPr>
    </w:p>
    <w:p w14:paraId="376CC3EF" w14:textId="77777777" w:rsidR="009C6330" w:rsidRPr="00BB0B41" w:rsidRDefault="00096756">
      <w:pPr>
        <w:pStyle w:val="MDPI21heading1"/>
      </w:pPr>
      <w:r w:rsidRPr="00BB0B41">
        <w:t>1. Introduction</w:t>
      </w:r>
    </w:p>
    <w:p w14:paraId="62A58BA0" w14:textId="77777777" w:rsidR="009C6330" w:rsidRPr="00BB0B41" w:rsidRDefault="00096756">
      <w:pPr>
        <w:pStyle w:val="MDPI31text"/>
        <w:spacing w:line="240" w:lineRule="auto"/>
        <w:ind w:left="2550"/>
      </w:pPr>
      <w:r w:rsidRPr="00BB0B41">
        <w:t>Wine packaging is increasingly evaluated not only for product protection but also for environmental and logistical performance. Glass remains the dominant format, but export requirements, material use and waste management have encouraged interest in lighter alternatives [1-5].</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03EA773C" w14:textId="77777777" w:rsidR="009C6330" w:rsidRPr="00BB0B41" w:rsidRDefault="00096756">
      <w:pPr>
        <w:pStyle w:val="MDPI31text"/>
        <w:spacing w:line="240" w:lineRule="auto"/>
        <w:ind w:left="2550"/>
      </w:pPr>
      <w:r w:rsidRPr="00BB0B41">
        <w:t>The Bag-in-Box (BiB) format is one such alternative. It combines a corrugated cardboard outer case with a flexible inner bag and dispensing valve, uses less packaging mass per litre than glass, and is available in formats from about 3 to 20 L [6-14]. Its lower transport weight can reduce distribution impacts, but the same flexibility that gives BiB practical advantages also makes its mechanical response under stacking load important.</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54ECE0CF" w14:textId="77777777" w:rsidR="009C6330" w:rsidRPr="00BB0B41" w:rsidRDefault="00096756">
      <w:pPr>
        <w:spacing w:line="240" w:lineRule="auto"/>
        <w:ind w:left="2550"/>
      </w:pPr>
      <w:r w:rsidRPr="00BB0B41">
        <w:t>During international transport, wine packages may experience temperature fluctuations, vibration, vertical compression and pressure changes for periods of several weeks [15,16]. For BiB, these stresses are applied to a package in which the container wall can deform, the headspace can compress or exchange gas through the film, and the cardboard case carries part of the pallet load.</w:t>
      </w:r>
      <w:r w:rsidRPr="00BB0B41"/>
      <w:r w:rsidRPr="00BB0B41"/>
      <w:r w:rsidRPr="00BB0B41"/>
      <w:r w:rsidRPr="00BB0B41">
        <w:rPr>
          <w:sz w:val="22"/>
        </w:rPr>
      </w:r>
      <w:r w:rsidRPr="00BB0B41"/>
      <w:r w:rsidRPr="00BB0B41"/>
    </w:p>
    <w:p w14:paraId="1E793EE4" w14:textId="77777777" w:rsidR="009C6330" w:rsidRPr="00BB0B41" w:rsidRDefault="00096756">
      <w:pPr>
        <w:pStyle w:val="MDPI31text"/>
        <w:spacing w:line="240" w:lineRule="auto"/>
        <w:ind w:left="2550"/>
      </w:pPr>
      <w:r w:rsidRPr="00BB0B41">
        <w:t>Previous studies have examined storage temperature and packaging effects on wine composition, including sulphur dioxide loss, volatile acidity and sensory ageing [17,20,21]. Most of that evidence concerns bottled wines, static storage, or chemical composition alone. Less is known about the pressure developed inside palletised BiB units during a simulated export period, or about how measured in-package thermal exposure compares with nominal chamber settings.</w:t>
      </w:r>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r w:rsidRPr="00BB0B41"/>
      <w:r w:rsidRPr="00BB0B41"/>
      <w:r w:rsidRPr="00BB0B41"/>
      <w:r w:rsidRPr="00BB0B41">
        <w:rPr>
          <w:sz w:val="22"/>
        </w:rPr>
      </w:r>
      <w:r w:rsidRPr="00BB0B41"/>
      <w:r w:rsidRPr="00BB0B41"/>
    </w:p>
    <w:p w14:paraId="2C6E7491" w14:textId="77777777" w:rsidR="009C6330" w:rsidRPr="00BB0B41" w:rsidRDefault="00096756">
      <w:pPr>
        <w:pStyle w:val="MDPI31text"/>
      </w:pPr>
      <w:r>
        <w:t>The present work was designed to test whether stack position and a severe nominal chamber condition measurably affected internal pressure and selected chemical parameters of commercial 3-L BiB white wine. The original intention was to compare a neutral reference condition with a nominal 50 °C high-temperature condition. Because the main trial did not achieve 50 °C in-bag exposure, the realised study is interpreted as a comparison between nominal chamber conditions and measured package temperatures, supplemented by a single-stack verification trial that approached the set point more closely but still did not reach 50 °C inside every bag.</w:t>
      </w:r>
    </w:p>
    <w:p w14:paraId="247A99F2" w14:textId="77777777" w:rsidR="009C6330" w:rsidRPr="00BB0B41" w:rsidRDefault="00096756">
      <w:pPr>
        <w:pStyle w:val="MDPI21heading1"/>
      </w:pPr>
      <w:r w:rsidRPr="00BB0B41">
        <w:rPr>
          <w:lang w:eastAsia="zh-CN"/>
        </w:rPr>
        <w:t xml:space="preserve">2. </w:t>
      </w:r>
      <w:r w:rsidRPr="00BB0B41">
        <w:t>Materials and Methods</w:t>
      </w:r>
    </w:p>
    <w:p w14:paraId="0E70A665" w14:textId="77777777" w:rsidR="009C6330" w:rsidRPr="00BB0B41" w:rsidRDefault="00096756">
      <w:pPr>
        <w:pStyle w:val="MDPI31text"/>
        <w:spacing w:line="240" w:lineRule="auto"/>
        <w:ind w:left="2550" w:firstLine="210"/>
      </w:pPr>
      <w:r w:rsidRPr="00BB0B41">
        <w:t>The purpose of the work was to simulate selected environmental stresses that wine may encounter during sea-container shipment to distant markets, particularly the United States. The work comprised a 20-day main trial and a 15-day verification trial. In the main trial, palletised units were stored in parallel in two temperature-controlled chambers defined by their nominal set points:</w:t>
      </w:r>
    </w:p>
    <w:p w14:paraId="12AC1D21"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1: chamber nominally set at 19 °C, used as the reference condition.</w:t>
      </w:r>
    </w:p>
    <w:p w14:paraId="6FE62372"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rsidRPr="00BB0B41">
        <w:rPr>
          <w:rFonts w:ascii="Palatino Linotype" w:hAnsi="Palatino Linotype"/>
          <w:sz w:val="20"/>
          <w:szCs w:val="20"/>
        </w:rPr>
        <w:t>Condition 2: chamber nominally set at 50 °C, selected as a deliberately severe thermal condition relevant to worst-case non-refrigerated transport scenarios rather than as a routine shipment temperature [15].</w:t>
      </w:r>
    </w:p>
    <w:p w14:paraId="6AEACFE9" w14:textId="77777777" w:rsidR="009C6330" w:rsidRPr="00BB0B41" w:rsidRDefault="00096756">
      <w:pPr>
        <w:pStyle w:val="ListParagraph"/>
        <w:numPr>
          <w:ilvl w:val="0"/>
          <w:numId w:val="1"/>
        </w:numPr>
        <w:spacing w:after="0" w:line="240" w:lineRule="auto"/>
        <w:rPr>
          <w:rFonts w:ascii="Palatino Linotype" w:hAnsi="Palatino Linotype"/>
          <w:sz w:val="20"/>
          <w:szCs w:val="20"/>
        </w:rPr>
      </w:pPr>
      <w:r>
        <w:t>In-bag sensors subsequently showed that the nominal 50 °C chamber did not achieve 50 °C wine exposure when loaded with the test stacks (Section 3.2). A verification trial was therefore carried out under a nominal 50 °C condition with a single three-box stack (Section 2.3). The verification trial reached higher in-bag temperatures than the main trial, but no verification sensor reached 50 °C. The two trials are summarised in Table 1.</w:t>
      </w:r>
    </w:p>
    <w:p w14:paraId="4D371574" w14:textId="77777777" w:rsidR="009C6330" w:rsidRPr="00BB0B41" w:rsidRDefault="00096756">
      <w:pPr>
        <w:pStyle w:val="MDPI31text"/>
        <w:spacing w:line="240" w:lineRule="auto"/>
        <w:ind w:left="2550"/>
      </w:pPr>
      <w:r w:rsidRPr="00BB0B41">
        <w:t>The wine used in this study was a commercial white wine supplied by Castellani S.p.A. and packaged in standard 3-L Bag-in-Box units representative of those used for commercial export (Figure 1). The supplier did not provide grape variety or vintage information. The main compositional parameters measured after the reference condition are reported in Table 2. The inner bag consisted of a flexible multilayer film with an oxygen-barrier layer and an integrated dispensing valve, housed in a corrugated cardboard case that provided mechanical protection during palletisation.</w:t>
      </w:r>
    </w:p>
    <w:p w14:paraId="553EEE10" w14:textId="77777777" w:rsidR="009C6330" w:rsidRPr="00BB0B41" w:rsidRDefault="00096756">
      <w:pPr>
        <w:pStyle w:val="MDPI31text"/>
        <w:spacing w:line="240" w:lineRule="auto"/>
        <w:ind w:left="2550"/>
      </w:pPr>
      <w:r>
        <w:t>For each nominal chamber condition, three stacks were tested simultaneously: one stack of four boxes (128 cm) and two stacks of three boxes (97 cm) per chamber (Figure 2; Table 1). MEMS pressure sensors were positioned in the uppermost and lowermost BiB of every stack, giving six intended traces per chamber and twelve in total. One bottom-position sensor in the nominal 19 °C chamber did not return a complete record, leaving eleven usable pressure traces. The pressure comparison therefore had cells of n = 3, 3, 3 and 2. The top and bottom observations came from different BiBs within the same stacks, so they represent instrumented package positions within stacks rather than repeated measurements of the same bag. The 20-day window was chosen to approximate the duration of transoceanic shipment, commonly on the order of two to four weeks [15].</w:t>
      </w:r>
    </w:p>
    <w:p w14:paraId="553EEE10" w14:textId="77777777" w:rsidR="009C6330" w:rsidRPr="00BB0B41" w:rsidRDefault="00096756">
      <w:pPr>
        <w:pStyle w:val="MDPI31text"/>
        <w:spacing w:line="240" w:lineRule="auto"/>
        <w:ind w:left="2550"/>
      </w:pPr>
      <w:r>
        <w:t>The available experimental records did not include the chamber model, chamber volume, fan power, airflow rate, or a formal pallet-occupancy ratio. These unrecorded chamber characteristics limit diagnosis of the thermal lag and vertical temperature gradient observed in the main trial. The manuscript therefore reports only measured in-bag temperatures and treats chamber-performance explanations as hypotheses rather than established mechanisms.</w:t>
      </w:r>
    </w:p>
    <w:p w14:paraId="6A3FBD5E" w14:textId="77777777" w:rsidR="009C6330" w:rsidRPr="00BB0B41" w:rsidRDefault="009C6330">
      <w:pPr>
        <w:spacing w:line="240" w:lineRule="auto"/>
      </w:pPr>
    </w:p>
    <w:p w14:paraId="2A50AC05" w14:textId="77777777" w:rsidR="009C6330" w:rsidRPr="00BB0B41" w:rsidRDefault="00096756">
      <w:pPr>
        <w:pStyle w:val="MDPI52figure"/>
      </w:pPr>
      <w:r w:rsidRPr="00BB0B41">
        <w:rPr>
          <w:noProof/>
        </w:rPr>
      </w:r>
    </w:p>
    <w:p w14:paraId="73E412BB" w14:textId="77777777" w:rsidR="009C6330" w:rsidRPr="00BB0B41" w:rsidRDefault="00096756">
      <w:pPr>
        <w:pStyle w:val="MDPI51figurecaption"/>
        <w:spacing w:line="240" w:lineRule="auto"/>
        <w:ind w:left="0"/>
        <w:jc w:val="center"/>
        <w:rPr>
          <w:szCs w:val="18"/>
        </w:rPr>
      </w:pPr>
      <w:r w:rsidRPr="00BB0B41">
        <w:rPr>
          <w:b/>
        </w:rPr>
        <w:t xml:space="preserve">Figure 1. </w:t>
      </w:r>
      <w:r w:rsidRPr="00BB0B41">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14:paraId="0FAF84C0" w14:textId="77777777" w:rsidR="009C6330" w:rsidRPr="00BB0B41" w:rsidRDefault="00096756">
      <w:pPr>
        <w:pStyle w:val="MDPI52figure"/>
        <w:rPr>
          <w:sz w:val="18"/>
          <w:szCs w:val="18"/>
        </w:rPr>
      </w:pPr>
      <w:r w:rsidRPr="00BB0B41">
        <w:rPr>
          <w:noProof/>
        </w:rPr>
      </w:r>
    </w:p>
    <w:p w14:paraId="5B84741E" w14:textId="77777777" w:rsidR="009C6330" w:rsidRPr="00BB0B41" w:rsidRDefault="00096756">
      <w:pPr>
        <w:pStyle w:val="MDPI51figurecaption"/>
        <w:spacing w:line="240" w:lineRule="auto"/>
        <w:ind w:left="0"/>
        <w:jc w:val="center"/>
        <w:rPr>
          <w:szCs w:val="18"/>
        </w:rPr>
      </w:pPr>
      <w:r w:rsidRPr="00BB0B41">
        <w:rPr>
          <w:b/>
        </w:rPr>
        <w:t>Figure 2. Experimental configuration used for pressure monitoring in palletised 3-L Bag-in-Box (BiB) units. The main trial included one 4-box stack (128 cm) and two 3-box stacks (97 cm) in each nominal chamber condition. MEMS pressure sensors were positioned in the uppermost and lowermost BiBs of each stack to compare package position under the tested stacking configuration. Stack height was not analysed as an independent factor because only one 4-box stack was present per chamber.</w:t>
      </w:r>
      <w:r w:rsidRPr="00BB0B41"/>
    </w:p>
    <w:p w14:paraId="03678FD9" w14:textId="77777777" w:rsidR="009C6330" w:rsidRPr="00BB0B41" w:rsidRDefault="00096756" w:rsidP="00200587">
      <w:pPr>
        <w:pStyle w:val="MDPI41tablecaption"/>
        <w:ind w:left="0"/>
        <w:jc w:val="center"/>
      </w:pPr>
      <w:r w:rsidRPr="00BB0B41">
        <w:rPr>
          <w:b/>
        </w:rPr>
        <w:t xml:space="preserve">Table 1. </w:t>
      </w:r>
      <w:r w:rsidRPr="00BB0B41">
        <w:t>Structure of the experimental samples and placement of the pressure sensors.</w:t>
      </w:r>
    </w:p>
    <w:tbl>
      <w:tblPr>
        <w:tblStyle w:val="TableGrid"/>
        <w:tblW w:w="104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1743"/>
        <w:gridCol w:w="1744"/>
        <w:gridCol w:w="1744"/>
        <w:gridCol w:w="1743"/>
        <w:gridCol w:w="1744"/>
      </w:tblGrid>
      <w:tr w:rsidR="009C6330" w:rsidRPr="00BB0B41" w14:paraId="3779F7BC" w14:textId="77777777" w:rsidTr="00200587">
        <w:trPr>
          <w:jc w:val="center"/>
        </w:trPr>
        <w:tc>
          <w:tcPr>
            <w:tcW w:w="1744" w:type="dxa"/>
            <w:tcBorders>
              <w:top w:val="single" w:sz="4" w:space="0" w:color="auto"/>
              <w:bottom w:val="single" w:sz="4" w:space="0" w:color="auto"/>
            </w:tcBorders>
          </w:tcPr>
          <w:p w14:paraId="37062F5B" w14:textId="77777777" w:rsidR="009C6330" w:rsidRPr="00BB0B41" w:rsidRDefault="00096756">
            <w:pPr>
              <w:pStyle w:val="MDPI42tablebody"/>
            </w:pPr>
            <w:r w:rsidRPr="00BB0B41">
              <w:rPr>
                <w:b/>
                <w:sz w:val="16"/>
              </w:rPr>
              <w:t>Trial</w:t>
            </w:r>
          </w:p>
        </w:tc>
        <w:tc>
          <w:tcPr>
            <w:tcW w:w="1743" w:type="dxa"/>
            <w:tcBorders>
              <w:top w:val="single" w:sz="4" w:space="0" w:color="auto"/>
              <w:bottom w:val="single" w:sz="4" w:space="0" w:color="auto"/>
            </w:tcBorders>
          </w:tcPr>
          <w:p>
            <w:r>
              <w:t>Nominal chamber set point</w:t>
            </w:r>
          </w:p>
        </w:tc>
        <w:tc>
          <w:tcPr>
            <w:tcW w:w="1744" w:type="dxa"/>
            <w:tcBorders>
              <w:top w:val="single" w:sz="4" w:space="0" w:color="auto"/>
              <w:bottom w:val="single" w:sz="4" w:space="0" w:color="auto"/>
            </w:tcBorders>
          </w:tcPr>
          <w:p w14:paraId="357136FF" w14:textId="77777777" w:rsidR="009C6330" w:rsidRPr="00BB0B41" w:rsidRDefault="00096756">
            <w:pPr>
              <w:pStyle w:val="MDPI42tablebody"/>
            </w:pPr>
            <w:r w:rsidRPr="00BB0B41">
              <w:rPr>
                <w:b/>
                <w:sz w:val="16"/>
              </w:rPr>
              <w:t>Duration</w:t>
            </w:r>
          </w:p>
        </w:tc>
        <w:tc>
          <w:tcPr>
            <w:tcW w:w="1744" w:type="dxa"/>
            <w:tcBorders>
              <w:top w:val="single" w:sz="4" w:space="0" w:color="auto"/>
              <w:bottom w:val="single" w:sz="4" w:space="0" w:color="auto"/>
            </w:tcBorders>
          </w:tcPr>
          <w:p w14:paraId="5357B718" w14:textId="77777777" w:rsidR="009C6330" w:rsidRPr="00BB0B41" w:rsidRDefault="00096756">
            <w:pPr>
              <w:pStyle w:val="MDPI42tablebody"/>
            </w:pPr>
            <w:r w:rsidRPr="00BB0B41">
              <w:rPr>
                <w:b/>
                <w:sz w:val="16"/>
              </w:rPr>
              <w:t>Stack</w:t>
            </w:r>
          </w:p>
        </w:tc>
        <w:tc>
          <w:tcPr>
            <w:tcW w:w="1743" w:type="dxa"/>
            <w:tcBorders>
              <w:top w:val="single" w:sz="4" w:space="0" w:color="auto"/>
              <w:bottom w:val="single" w:sz="4" w:space="0" w:color="auto"/>
            </w:tcBorders>
          </w:tcPr>
          <w:p w14:paraId="6717F81F" w14:textId="77777777" w:rsidR="009C6330" w:rsidRPr="00BB0B41" w:rsidRDefault="00096756">
            <w:pPr>
              <w:pStyle w:val="MDPI42tablebody"/>
            </w:pPr>
            <w:r w:rsidRPr="00BB0B41">
              <w:rPr>
                <w:b/>
                <w:sz w:val="16"/>
              </w:rPr>
              <w:t>Boxes in stack (height)</w:t>
            </w:r>
          </w:p>
        </w:tc>
        <w:tc>
          <w:tcPr>
            <w:tcW w:w="1744" w:type="dxa"/>
            <w:tcBorders>
              <w:top w:val="single" w:sz="4" w:space="0" w:color="auto"/>
              <w:bottom w:val="single" w:sz="4" w:space="0" w:color="auto"/>
            </w:tcBorders>
          </w:tcPr>
          <w:p w14:paraId="1D96A663" w14:textId="77777777" w:rsidR="009C6330" w:rsidRPr="00BB0B41" w:rsidRDefault="00096756">
            <w:pPr>
              <w:pStyle w:val="MDPI42tablebody"/>
            </w:pPr>
            <w:r w:rsidRPr="00BB0B41">
              <w:rPr>
                <w:b/>
                <w:sz w:val="16"/>
              </w:rPr>
              <w:t>MEMS sensors</w:t>
            </w:r>
          </w:p>
        </w:tc>
      </w:tr>
      <w:tr w:rsidR="009C6330" w:rsidRPr="00BB0B41" w14:paraId="349B2ABD" w14:textId="77777777" w:rsidTr="00200587">
        <w:trPr>
          <w:jc w:val="center"/>
        </w:trPr>
        <w:tc>
          <w:tcPr>
            <w:tcW w:w="1744" w:type="dxa"/>
            <w:tcBorders>
              <w:top w:val="single" w:sz="4" w:space="0" w:color="auto"/>
            </w:tcBorders>
          </w:tcPr>
          <w:p w14:paraId="5D21C3FB" w14:textId="77777777" w:rsidR="009C6330" w:rsidRPr="00BB0B41" w:rsidRDefault="00096756">
            <w:pPr>
              <w:pStyle w:val="MDPI42tablebody"/>
            </w:pPr>
            <w:r w:rsidRPr="00BB0B41">
              <w:rPr>
                <w:sz w:val="16"/>
              </w:rPr>
              <w:t>Main</w:t>
            </w:r>
          </w:p>
        </w:tc>
        <w:tc>
          <w:tcPr>
            <w:tcW w:w="1743" w:type="dxa"/>
            <w:tcBorders>
              <w:top w:val="single" w:sz="4" w:space="0" w:color="auto"/>
            </w:tcBorders>
          </w:tcPr>
          <w:p w14:paraId="73686878" w14:textId="77777777" w:rsidR="009C6330" w:rsidRPr="00BB0B41" w:rsidRDefault="00096756">
            <w:pPr>
              <w:pStyle w:val="MDPI42tablebody"/>
            </w:pPr>
            <w:r w:rsidRPr="00BB0B41">
              <w:rPr>
                <w:sz w:val="16"/>
              </w:rPr>
              <w:t>19 °C</w:t>
            </w:r>
          </w:p>
        </w:tc>
        <w:tc>
          <w:tcPr>
            <w:tcW w:w="1744" w:type="dxa"/>
            <w:tcBorders>
              <w:top w:val="single" w:sz="4" w:space="0" w:color="auto"/>
            </w:tcBorders>
          </w:tcPr>
          <w:p w14:paraId="077CC034" w14:textId="77777777" w:rsidR="009C6330" w:rsidRPr="00BB0B41" w:rsidRDefault="00096756">
            <w:pPr>
              <w:pStyle w:val="MDPI42tablebody"/>
            </w:pPr>
            <w:r w:rsidRPr="00BB0B41">
              <w:rPr>
                <w:sz w:val="16"/>
              </w:rPr>
              <w:t>20 days</w:t>
            </w:r>
          </w:p>
        </w:tc>
        <w:tc>
          <w:tcPr>
            <w:tcW w:w="1744" w:type="dxa"/>
            <w:tcBorders>
              <w:top w:val="single" w:sz="4" w:space="0" w:color="auto"/>
            </w:tcBorders>
          </w:tcPr>
          <w:p w14:paraId="57E64110" w14:textId="77777777" w:rsidR="009C6330" w:rsidRPr="00BB0B41" w:rsidRDefault="00096756">
            <w:pPr>
              <w:pStyle w:val="MDPI42tablebody"/>
            </w:pPr>
            <w:r w:rsidRPr="00BB0B41">
              <w:rPr>
                <w:sz w:val="16"/>
              </w:rPr>
              <w:t>Stack 1</w:t>
            </w:r>
          </w:p>
        </w:tc>
        <w:tc>
          <w:tcPr>
            <w:tcW w:w="1743" w:type="dxa"/>
            <w:tcBorders>
              <w:top w:val="single" w:sz="4" w:space="0" w:color="auto"/>
            </w:tcBorders>
          </w:tcPr>
          <w:p w14:paraId="375AE92A" w14:textId="77777777" w:rsidR="009C6330" w:rsidRPr="00BB0B41" w:rsidRDefault="00096756">
            <w:pPr>
              <w:pStyle w:val="MDPI42tablebody"/>
            </w:pPr>
            <w:r w:rsidRPr="00BB0B41">
              <w:rPr>
                <w:sz w:val="16"/>
              </w:rPr>
              <w:t>4 (128 cm)</w:t>
            </w:r>
          </w:p>
        </w:tc>
        <w:tc>
          <w:tcPr>
            <w:tcW w:w="1744" w:type="dxa"/>
            <w:tcBorders>
              <w:top w:val="single" w:sz="4" w:space="0" w:color="auto"/>
            </w:tcBorders>
          </w:tcPr>
          <w:p w14:paraId="35AFCEBE" w14:textId="77777777" w:rsidR="009C6330" w:rsidRPr="00BB0B41" w:rsidRDefault="00096756">
            <w:pPr>
              <w:pStyle w:val="MDPI42tablebody"/>
            </w:pPr>
            <w:r w:rsidRPr="00BB0B41">
              <w:rPr>
                <w:sz w:val="16"/>
              </w:rPr>
              <w:t>Top + bottom BiB</w:t>
            </w:r>
          </w:p>
        </w:tc>
      </w:tr>
      <w:tr w:rsidR="009C6330" w:rsidRPr="00BB0B41" w14:paraId="344E9DC3" w14:textId="77777777" w:rsidTr="00200587">
        <w:trPr>
          <w:jc w:val="center"/>
        </w:trPr>
        <w:tc>
          <w:tcPr>
            <w:tcW w:w="1744" w:type="dxa"/>
          </w:tcPr>
          <w:p w14:paraId="3FC354B9" w14:textId="77777777" w:rsidR="009C6330" w:rsidRPr="00BB0B41" w:rsidRDefault="00096756">
            <w:pPr>
              <w:pStyle w:val="MDPI42tablebody"/>
            </w:pPr>
            <w:r w:rsidRPr="00BB0B41">
              <w:rPr>
                <w:sz w:val="16"/>
              </w:rPr>
              <w:t>Main</w:t>
            </w:r>
          </w:p>
        </w:tc>
        <w:tc>
          <w:tcPr>
            <w:tcW w:w="1743" w:type="dxa"/>
          </w:tcPr>
          <w:p w14:paraId="439622A9" w14:textId="77777777" w:rsidR="009C6330" w:rsidRPr="00BB0B41" w:rsidRDefault="00096756">
            <w:pPr>
              <w:pStyle w:val="MDPI42tablebody"/>
            </w:pPr>
            <w:r w:rsidRPr="00BB0B41">
              <w:rPr>
                <w:sz w:val="16"/>
              </w:rPr>
              <w:t>19 °C</w:t>
            </w:r>
          </w:p>
        </w:tc>
        <w:tc>
          <w:tcPr>
            <w:tcW w:w="1744" w:type="dxa"/>
          </w:tcPr>
          <w:p w14:paraId="71BC84FC" w14:textId="77777777" w:rsidR="009C6330" w:rsidRPr="00BB0B41" w:rsidRDefault="00096756">
            <w:pPr>
              <w:pStyle w:val="MDPI42tablebody"/>
            </w:pPr>
            <w:r w:rsidRPr="00BB0B41">
              <w:rPr>
                <w:sz w:val="16"/>
              </w:rPr>
              <w:t>20 days</w:t>
            </w:r>
          </w:p>
        </w:tc>
        <w:tc>
          <w:tcPr>
            <w:tcW w:w="1744" w:type="dxa"/>
          </w:tcPr>
          <w:p w14:paraId="68469E59" w14:textId="77777777" w:rsidR="009C6330" w:rsidRPr="00BB0B41" w:rsidRDefault="00096756">
            <w:pPr>
              <w:pStyle w:val="MDPI42tablebody"/>
            </w:pPr>
            <w:r w:rsidRPr="00BB0B41">
              <w:rPr>
                <w:sz w:val="16"/>
              </w:rPr>
              <w:t>Stack 2</w:t>
            </w:r>
          </w:p>
        </w:tc>
        <w:tc>
          <w:tcPr>
            <w:tcW w:w="1743" w:type="dxa"/>
          </w:tcPr>
          <w:p w14:paraId="78359E43" w14:textId="77777777" w:rsidR="009C6330" w:rsidRPr="00BB0B41" w:rsidRDefault="00096756">
            <w:pPr>
              <w:pStyle w:val="MDPI42tablebody"/>
            </w:pPr>
            <w:r w:rsidRPr="00BB0B41">
              <w:rPr>
                <w:sz w:val="16"/>
              </w:rPr>
              <w:t>3 (97 cm)</w:t>
            </w:r>
          </w:p>
        </w:tc>
        <w:tc>
          <w:tcPr>
            <w:tcW w:w="1744" w:type="dxa"/>
          </w:tcPr>
          <w:p w14:paraId="3C0559B1" w14:textId="77777777" w:rsidR="009C6330" w:rsidRPr="00BB0B41" w:rsidRDefault="00096756">
            <w:pPr>
              <w:pStyle w:val="MDPI42tablebody"/>
            </w:pPr>
            <w:r w:rsidRPr="00BB0B41">
              <w:rPr>
                <w:sz w:val="16"/>
              </w:rPr>
              <w:t>Top + bottom BiB</w:t>
            </w:r>
          </w:p>
        </w:tc>
      </w:tr>
      <w:tr w:rsidR="009C6330" w:rsidRPr="00BB0B41" w14:paraId="49307C5A" w14:textId="77777777" w:rsidTr="00200587">
        <w:trPr>
          <w:jc w:val="center"/>
        </w:trPr>
        <w:tc>
          <w:tcPr>
            <w:tcW w:w="1744" w:type="dxa"/>
          </w:tcPr>
          <w:p w14:paraId="47072019" w14:textId="77777777" w:rsidR="009C6330" w:rsidRPr="00BB0B41" w:rsidRDefault="00096756">
            <w:pPr>
              <w:pStyle w:val="MDPI42tablebody"/>
            </w:pPr>
            <w:r w:rsidRPr="00BB0B41">
              <w:rPr>
                <w:sz w:val="16"/>
              </w:rPr>
              <w:t>Main</w:t>
            </w:r>
          </w:p>
        </w:tc>
        <w:tc>
          <w:tcPr>
            <w:tcW w:w="1743" w:type="dxa"/>
          </w:tcPr>
          <w:p w14:paraId="77674C40" w14:textId="77777777" w:rsidR="009C6330" w:rsidRPr="00BB0B41" w:rsidRDefault="00096756">
            <w:pPr>
              <w:pStyle w:val="MDPI42tablebody"/>
            </w:pPr>
            <w:r w:rsidRPr="00BB0B41">
              <w:rPr>
                <w:sz w:val="16"/>
              </w:rPr>
              <w:t>19 °C</w:t>
            </w:r>
          </w:p>
        </w:tc>
        <w:tc>
          <w:tcPr>
            <w:tcW w:w="1744" w:type="dxa"/>
          </w:tcPr>
          <w:p w14:paraId="50E5260A" w14:textId="77777777" w:rsidR="009C6330" w:rsidRPr="00BB0B41" w:rsidRDefault="00096756">
            <w:pPr>
              <w:pStyle w:val="MDPI42tablebody"/>
            </w:pPr>
            <w:r w:rsidRPr="00BB0B41">
              <w:rPr>
                <w:sz w:val="16"/>
              </w:rPr>
              <w:t>20 days</w:t>
            </w:r>
          </w:p>
        </w:tc>
        <w:tc>
          <w:tcPr>
            <w:tcW w:w="1744" w:type="dxa"/>
          </w:tcPr>
          <w:p w14:paraId="01F131F7" w14:textId="77777777" w:rsidR="009C6330" w:rsidRPr="00BB0B41" w:rsidRDefault="00096756">
            <w:pPr>
              <w:pStyle w:val="MDPI42tablebody"/>
            </w:pPr>
            <w:r w:rsidRPr="00BB0B41">
              <w:rPr>
                <w:sz w:val="16"/>
              </w:rPr>
              <w:t>Stack 3</w:t>
            </w:r>
          </w:p>
        </w:tc>
        <w:tc>
          <w:tcPr>
            <w:tcW w:w="1743" w:type="dxa"/>
          </w:tcPr>
          <w:p w14:paraId="1D168C87" w14:textId="77777777" w:rsidR="009C6330" w:rsidRPr="00BB0B41" w:rsidRDefault="00096756">
            <w:pPr>
              <w:pStyle w:val="MDPI42tablebody"/>
            </w:pPr>
            <w:r w:rsidRPr="00BB0B41">
              <w:rPr>
                <w:sz w:val="16"/>
              </w:rPr>
              <w:t>3 (97 cm)</w:t>
            </w:r>
          </w:p>
        </w:tc>
        <w:tc>
          <w:tcPr>
            <w:tcW w:w="1744" w:type="dxa"/>
          </w:tcPr>
          <w:p w14:paraId="0519C894" w14:textId="77777777" w:rsidR="009C6330" w:rsidRPr="00BB0B41" w:rsidRDefault="00096756">
            <w:pPr>
              <w:pStyle w:val="MDPI42tablebody"/>
            </w:pPr>
            <w:r w:rsidRPr="00BB0B41">
              <w:rPr>
                <w:sz w:val="16"/>
              </w:rPr>
              <w:t>Top + bottom BiB *</w:t>
            </w:r>
          </w:p>
        </w:tc>
      </w:tr>
      <w:tr w:rsidR="009C6330" w:rsidRPr="00BB0B41" w14:paraId="6203CC9B" w14:textId="77777777" w:rsidTr="00200587">
        <w:trPr>
          <w:jc w:val="center"/>
        </w:trPr>
        <w:tc>
          <w:tcPr>
            <w:tcW w:w="1744" w:type="dxa"/>
          </w:tcPr>
          <w:p w14:paraId="641F7770" w14:textId="77777777" w:rsidR="009C6330" w:rsidRPr="00BB0B41" w:rsidRDefault="00096756">
            <w:pPr>
              <w:pStyle w:val="MDPI42tablebody"/>
            </w:pPr>
            <w:r w:rsidRPr="00BB0B41">
              <w:rPr>
                <w:sz w:val="16"/>
              </w:rPr>
              <w:t>Main</w:t>
            </w:r>
          </w:p>
        </w:tc>
        <w:tc>
          <w:tcPr>
            <w:tcW w:w="1743" w:type="dxa"/>
          </w:tcPr>
          <w:p w14:paraId="2635EF5D" w14:textId="77777777" w:rsidR="009C6330" w:rsidRPr="00BB0B41" w:rsidRDefault="00096756">
            <w:pPr>
              <w:pStyle w:val="MDPI42tablebody"/>
            </w:pPr>
            <w:r w:rsidRPr="00BB0B41">
              <w:rPr>
                <w:sz w:val="16"/>
              </w:rPr>
              <w:t>50 °C</w:t>
            </w:r>
          </w:p>
        </w:tc>
        <w:tc>
          <w:tcPr>
            <w:tcW w:w="1744" w:type="dxa"/>
          </w:tcPr>
          <w:p w14:paraId="7E2C76EF" w14:textId="77777777" w:rsidR="009C6330" w:rsidRPr="00BB0B41" w:rsidRDefault="00096756">
            <w:pPr>
              <w:pStyle w:val="MDPI42tablebody"/>
            </w:pPr>
            <w:r w:rsidRPr="00BB0B41">
              <w:rPr>
                <w:sz w:val="16"/>
              </w:rPr>
              <w:t>20 days</w:t>
            </w:r>
          </w:p>
        </w:tc>
        <w:tc>
          <w:tcPr>
            <w:tcW w:w="1744" w:type="dxa"/>
          </w:tcPr>
          <w:p w14:paraId="0ADB98DA" w14:textId="77777777" w:rsidR="009C6330" w:rsidRPr="00BB0B41" w:rsidRDefault="00096756">
            <w:pPr>
              <w:pStyle w:val="MDPI42tablebody"/>
            </w:pPr>
            <w:r w:rsidRPr="00BB0B41">
              <w:rPr>
                <w:sz w:val="16"/>
              </w:rPr>
              <w:t>Stack 1</w:t>
            </w:r>
          </w:p>
        </w:tc>
        <w:tc>
          <w:tcPr>
            <w:tcW w:w="1743" w:type="dxa"/>
          </w:tcPr>
          <w:p w14:paraId="25839792" w14:textId="77777777" w:rsidR="009C6330" w:rsidRPr="00BB0B41" w:rsidRDefault="00096756">
            <w:pPr>
              <w:pStyle w:val="MDPI42tablebody"/>
            </w:pPr>
            <w:r w:rsidRPr="00BB0B41">
              <w:rPr>
                <w:sz w:val="16"/>
              </w:rPr>
              <w:t>4 (128 cm)</w:t>
            </w:r>
          </w:p>
        </w:tc>
        <w:tc>
          <w:tcPr>
            <w:tcW w:w="1744" w:type="dxa"/>
          </w:tcPr>
          <w:p w14:paraId="445A949B" w14:textId="77777777" w:rsidR="009C6330" w:rsidRPr="00BB0B41" w:rsidRDefault="00096756">
            <w:pPr>
              <w:pStyle w:val="MDPI42tablebody"/>
            </w:pPr>
            <w:r w:rsidRPr="00BB0B41">
              <w:rPr>
                <w:sz w:val="16"/>
              </w:rPr>
              <w:t>Top + bottom BiB</w:t>
            </w:r>
          </w:p>
        </w:tc>
      </w:tr>
      <w:tr w:rsidR="009C6330" w:rsidRPr="00BB0B41" w14:paraId="15869C71" w14:textId="77777777" w:rsidTr="00200587">
        <w:trPr>
          <w:jc w:val="center"/>
        </w:trPr>
        <w:tc>
          <w:tcPr>
            <w:tcW w:w="1744" w:type="dxa"/>
          </w:tcPr>
          <w:p w14:paraId="46CD4F65" w14:textId="77777777" w:rsidR="009C6330" w:rsidRPr="00BB0B41" w:rsidRDefault="00096756">
            <w:pPr>
              <w:pStyle w:val="MDPI42tablebody"/>
            </w:pPr>
            <w:r w:rsidRPr="00BB0B41">
              <w:rPr>
                <w:sz w:val="16"/>
              </w:rPr>
              <w:t>Main</w:t>
            </w:r>
          </w:p>
        </w:tc>
        <w:tc>
          <w:tcPr>
            <w:tcW w:w="1743" w:type="dxa"/>
          </w:tcPr>
          <w:p w14:paraId="4D6B9D8C" w14:textId="77777777" w:rsidR="009C6330" w:rsidRPr="00BB0B41" w:rsidRDefault="00096756">
            <w:pPr>
              <w:pStyle w:val="MDPI42tablebody"/>
            </w:pPr>
            <w:r w:rsidRPr="00BB0B41">
              <w:rPr>
                <w:sz w:val="16"/>
              </w:rPr>
              <w:t>50 °C</w:t>
            </w:r>
          </w:p>
        </w:tc>
        <w:tc>
          <w:tcPr>
            <w:tcW w:w="1744" w:type="dxa"/>
          </w:tcPr>
          <w:p w14:paraId="3487E51E" w14:textId="77777777" w:rsidR="009C6330" w:rsidRPr="00BB0B41" w:rsidRDefault="00096756">
            <w:pPr>
              <w:pStyle w:val="MDPI42tablebody"/>
            </w:pPr>
            <w:r w:rsidRPr="00BB0B41">
              <w:rPr>
                <w:sz w:val="16"/>
              </w:rPr>
              <w:t>20 days</w:t>
            </w:r>
          </w:p>
        </w:tc>
        <w:tc>
          <w:tcPr>
            <w:tcW w:w="1744" w:type="dxa"/>
          </w:tcPr>
          <w:p w14:paraId="5C6D80E5" w14:textId="77777777" w:rsidR="009C6330" w:rsidRPr="00BB0B41" w:rsidRDefault="00096756">
            <w:pPr>
              <w:pStyle w:val="MDPI42tablebody"/>
            </w:pPr>
            <w:r w:rsidRPr="00BB0B41">
              <w:rPr>
                <w:sz w:val="16"/>
              </w:rPr>
              <w:t>Stack 2</w:t>
            </w:r>
          </w:p>
        </w:tc>
        <w:tc>
          <w:tcPr>
            <w:tcW w:w="1743" w:type="dxa"/>
          </w:tcPr>
          <w:p w14:paraId="6FF6B897" w14:textId="77777777" w:rsidR="009C6330" w:rsidRPr="00BB0B41" w:rsidRDefault="00096756">
            <w:pPr>
              <w:pStyle w:val="MDPI42tablebody"/>
            </w:pPr>
            <w:r w:rsidRPr="00BB0B41">
              <w:rPr>
                <w:sz w:val="16"/>
              </w:rPr>
              <w:t>3 (97 cm)</w:t>
            </w:r>
          </w:p>
        </w:tc>
        <w:tc>
          <w:tcPr>
            <w:tcW w:w="1744" w:type="dxa"/>
          </w:tcPr>
          <w:p w14:paraId="67146C2B" w14:textId="77777777" w:rsidR="009C6330" w:rsidRPr="00BB0B41" w:rsidRDefault="00096756">
            <w:pPr>
              <w:pStyle w:val="MDPI42tablebody"/>
            </w:pPr>
            <w:r w:rsidRPr="00BB0B41">
              <w:rPr>
                <w:sz w:val="16"/>
              </w:rPr>
              <w:t>Top + bottom BiB</w:t>
            </w:r>
          </w:p>
        </w:tc>
      </w:tr>
      <w:tr w:rsidR="009C6330" w:rsidRPr="00BB0B41" w14:paraId="5BEBD68E" w14:textId="77777777" w:rsidTr="00200587">
        <w:trPr>
          <w:jc w:val="center"/>
        </w:trPr>
        <w:tc>
          <w:tcPr>
            <w:tcW w:w="1744" w:type="dxa"/>
          </w:tcPr>
          <w:p w14:paraId="682C6753" w14:textId="77777777" w:rsidR="009C6330" w:rsidRPr="00BB0B41" w:rsidRDefault="00096756">
            <w:pPr>
              <w:pStyle w:val="MDPI42tablebody"/>
            </w:pPr>
            <w:r w:rsidRPr="00BB0B41">
              <w:rPr>
                <w:sz w:val="16"/>
              </w:rPr>
              <w:t>Main</w:t>
            </w:r>
          </w:p>
        </w:tc>
        <w:tc>
          <w:tcPr>
            <w:tcW w:w="1743" w:type="dxa"/>
          </w:tcPr>
          <w:p w14:paraId="0A84D7E9" w14:textId="77777777" w:rsidR="009C6330" w:rsidRPr="00BB0B41" w:rsidRDefault="00096756">
            <w:pPr>
              <w:pStyle w:val="MDPI42tablebody"/>
            </w:pPr>
            <w:r w:rsidRPr="00BB0B41">
              <w:rPr>
                <w:sz w:val="16"/>
              </w:rPr>
              <w:t>50 °C</w:t>
            </w:r>
          </w:p>
        </w:tc>
        <w:tc>
          <w:tcPr>
            <w:tcW w:w="1744" w:type="dxa"/>
          </w:tcPr>
          <w:p w14:paraId="255BC9AE" w14:textId="77777777" w:rsidR="009C6330" w:rsidRPr="00BB0B41" w:rsidRDefault="00096756">
            <w:pPr>
              <w:pStyle w:val="MDPI42tablebody"/>
            </w:pPr>
            <w:r w:rsidRPr="00BB0B41">
              <w:rPr>
                <w:sz w:val="16"/>
              </w:rPr>
              <w:t>20 days</w:t>
            </w:r>
          </w:p>
        </w:tc>
        <w:tc>
          <w:tcPr>
            <w:tcW w:w="1744" w:type="dxa"/>
          </w:tcPr>
          <w:p w14:paraId="4D54EF5A" w14:textId="77777777" w:rsidR="009C6330" w:rsidRPr="00BB0B41" w:rsidRDefault="00096756">
            <w:pPr>
              <w:pStyle w:val="MDPI42tablebody"/>
            </w:pPr>
            <w:r w:rsidRPr="00BB0B41">
              <w:rPr>
                <w:sz w:val="16"/>
              </w:rPr>
              <w:t>Stack 3</w:t>
            </w:r>
          </w:p>
        </w:tc>
        <w:tc>
          <w:tcPr>
            <w:tcW w:w="1743" w:type="dxa"/>
          </w:tcPr>
          <w:p w14:paraId="4E6F330D" w14:textId="77777777" w:rsidR="009C6330" w:rsidRPr="00BB0B41" w:rsidRDefault="00096756">
            <w:pPr>
              <w:pStyle w:val="MDPI42tablebody"/>
            </w:pPr>
            <w:r w:rsidRPr="00BB0B41">
              <w:rPr>
                <w:sz w:val="16"/>
              </w:rPr>
              <w:t>3 (97 cm)</w:t>
            </w:r>
          </w:p>
        </w:tc>
        <w:tc>
          <w:tcPr>
            <w:tcW w:w="1744" w:type="dxa"/>
          </w:tcPr>
          <w:p w14:paraId="1B064E05" w14:textId="77777777" w:rsidR="009C6330" w:rsidRPr="00BB0B41" w:rsidRDefault="00096756">
            <w:pPr>
              <w:pStyle w:val="MDPI42tablebody"/>
            </w:pPr>
            <w:r w:rsidRPr="00BB0B41">
              <w:rPr>
                <w:sz w:val="16"/>
              </w:rPr>
              <w:t>Top + bottom BiB</w:t>
            </w:r>
          </w:p>
        </w:tc>
      </w:tr>
      <w:tr w:rsidR="009C6330" w:rsidRPr="00BB0B41" w14:paraId="34F6B41E" w14:textId="77777777" w:rsidTr="00200587">
        <w:trPr>
          <w:jc w:val="center"/>
        </w:trPr>
        <w:tc>
          <w:tcPr>
            <w:tcW w:w="1744" w:type="dxa"/>
            <w:tcBorders>
              <w:bottom w:val="single" w:sz="4" w:space="0" w:color="auto"/>
            </w:tcBorders>
          </w:tcPr>
          <w:p w14:paraId="0192DD08" w14:textId="77777777" w:rsidR="009C6330" w:rsidRPr="00BB0B41" w:rsidRDefault="00096756">
            <w:pPr>
              <w:pStyle w:val="MDPI42tablebody"/>
            </w:pPr>
            <w:r w:rsidRPr="00BB0B41">
              <w:rPr>
                <w:sz w:val="16"/>
              </w:rPr>
              <w:t>Verification</w:t>
            </w:r>
          </w:p>
        </w:tc>
        <w:tc>
          <w:tcPr>
            <w:tcW w:w="1743" w:type="dxa"/>
            <w:tcBorders>
              <w:bottom w:val="single" w:sz="4" w:space="0" w:color="auto"/>
            </w:tcBorders>
          </w:tcPr>
          <w:p>
            <w:r>
              <w:t>50 °C</w:t>
            </w:r>
          </w:p>
        </w:tc>
        <w:tc>
          <w:tcPr>
            <w:tcW w:w="1744" w:type="dxa"/>
            <w:tcBorders>
              <w:bottom w:val="single" w:sz="4" w:space="0" w:color="auto"/>
            </w:tcBorders>
          </w:tcPr>
          <w:p w14:paraId="0B9F35F6" w14:textId="77777777" w:rsidR="009C6330" w:rsidRPr="00BB0B41" w:rsidRDefault="00096756">
            <w:pPr>
              <w:pStyle w:val="MDPI42tablebody"/>
            </w:pPr>
            <w:r w:rsidRPr="00BB0B41">
              <w:rPr>
                <w:sz w:val="16"/>
              </w:rPr>
              <w:t>15 days</w:t>
            </w:r>
          </w:p>
        </w:tc>
        <w:tc>
          <w:tcPr>
            <w:tcW w:w="1744" w:type="dxa"/>
            <w:tcBorders>
              <w:bottom w:val="single" w:sz="4" w:space="0" w:color="auto"/>
            </w:tcBorders>
          </w:tcPr>
          <w:p w14:paraId="75E5C5DA" w14:textId="77777777" w:rsidR="009C6330" w:rsidRPr="00BB0B41" w:rsidRDefault="00096756">
            <w:pPr>
              <w:pStyle w:val="MDPI42tablebody"/>
            </w:pPr>
            <w:r w:rsidRPr="00BB0B41">
              <w:rPr>
                <w:sz w:val="16"/>
              </w:rPr>
              <w:t>Stack 1</w:t>
            </w:r>
          </w:p>
        </w:tc>
        <w:tc>
          <w:tcPr>
            <w:tcW w:w="1743" w:type="dxa"/>
            <w:tcBorders>
              <w:bottom w:val="single" w:sz="4" w:space="0" w:color="auto"/>
            </w:tcBorders>
          </w:tcPr>
          <w:p w14:paraId="0AE431D6" w14:textId="77777777" w:rsidR="009C6330" w:rsidRPr="00BB0B41" w:rsidRDefault="00096756">
            <w:pPr>
              <w:pStyle w:val="MDPI42tablebody"/>
            </w:pPr>
            <w:r w:rsidRPr="00BB0B41">
              <w:rPr>
                <w:sz w:val="16"/>
              </w:rPr>
              <w:t>3 (97 cm)</w:t>
            </w:r>
          </w:p>
        </w:tc>
        <w:tc>
          <w:tcPr>
            <w:tcW w:w="1744" w:type="dxa"/>
            <w:tcBorders>
              <w:bottom w:val="single" w:sz="4" w:space="0" w:color="auto"/>
            </w:tcBorders>
          </w:tcPr>
          <w:p w14:paraId="6F58991C" w14:textId="77777777" w:rsidR="009C6330" w:rsidRPr="00BB0B41" w:rsidRDefault="00096756">
            <w:pPr>
              <w:pStyle w:val="MDPI42tablebody"/>
            </w:pPr>
            <w:r w:rsidRPr="00BB0B41">
              <w:rPr>
                <w:sz w:val="16"/>
              </w:rPr>
              <w:t>2 top + 2 bottom BiB</w:t>
            </w:r>
          </w:p>
        </w:tc>
      </w:tr>
    </w:tbl>
    <w:p w14:paraId="7768C0EE" w14:textId="77777777" w:rsidR="009C6330" w:rsidRPr="00BB0B41" w:rsidRDefault="00096756">
      <w:pPr>
        <w:pStyle w:val="MDPI31text"/>
      </w:pPr>
      <w:r>
        <w:t>Main trial: twelve MEMS pressure sensors in total - one in the top and one in the bottom BiB of each of three stacks in each nominal chamber condition. The two nominal chamber conditions were applied in parallel in separate climate-controlled chambers. * The bottom sensor of one stack in the nominal 19 °C chamber did not return a complete record, leaving eleven usable traces for pressure analysis.</w:t>
      </w:r>
    </w:p>
    <w:p w14:paraId="08BE6918" w14:textId="77777777" w:rsidR="009C6330" w:rsidRPr="00BB0B41" w:rsidRDefault="009C6330">
      <w:pPr>
        <w:spacing w:line="240" w:lineRule="auto"/>
      </w:pPr>
    </w:p>
    <w:p w14:paraId="0BD2704D" w14:textId="77777777" w:rsidR="009C6330" w:rsidRPr="00BB0B41" w:rsidRDefault="00096756">
      <w:pPr>
        <w:pStyle w:val="MDPI22heading2"/>
        <w:spacing w:line="240" w:lineRule="auto"/>
        <w:ind w:left="0"/>
        <w:rPr>
          <w:iCs/>
        </w:rPr>
      </w:pPr>
      <w:r w:rsidRPr="00BB0B41">
        <w:rPr>
          <w:iCs/>
        </w:rPr>
        <w:t>2.1 Chemical parameters</w:t>
      </w:r>
    </w:p>
    <w:p w14:paraId="232ADE64" w14:textId="77777777" w:rsidR="009C6330" w:rsidRPr="00BB0B41" w:rsidRDefault="00096756">
      <w:pPr>
        <w:spacing w:line="240" w:lineRule="auto"/>
        <w:ind w:left="2550"/>
      </w:pPr>
      <w:r>
        <w:t>At the end of the thermal exposure period, chemical checks were carried out to assess selected compositional differences in the wine under the two nominal chamber conditions.</w:t>
      </w:r>
    </w:p>
    <w:p w14:paraId="3EA26072" w14:textId="77777777" w:rsidR="009C6330" w:rsidRPr="00BB0B41" w:rsidRDefault="00096756">
      <w:pPr>
        <w:pStyle w:val="MDPI31text"/>
        <w:spacing w:line="240" w:lineRule="auto"/>
        <w:ind w:left="2550"/>
      </w:pPr>
      <w:r>
        <w:t>Free sulphur dioxide, total sulphur dioxide, titratable acidity (g/L tartaric acid), volatile acidity (g/L acetic acid), ethanol, malic acid, lactic acid, total phenols and pH were determined according to the protocols described in a previous study [18]. The reported chemical values are triplicate determinations for the main-trial wine grouped by nominal chamber condition. Chemical sampling was not resolved by stack position, and no microbiological measurements or viable cell counts were performed. The available pressure/temperature records did not include raw chemical replicate values.</w:t>
      </w:r>
    </w:p>
    <w:p w14:paraId="765ABF24" w14:textId="77777777" w:rsidR="009C6330" w:rsidRPr="00BB0B41" w:rsidRDefault="009C6330">
      <w:pPr>
        <w:spacing w:line="240" w:lineRule="auto"/>
      </w:pPr>
    </w:p>
    <w:p w14:paraId="1263BE18" w14:textId="77777777" w:rsidR="009C6330" w:rsidRPr="00BB0B41" w:rsidRDefault="00096756">
      <w:pPr>
        <w:pStyle w:val="MDPI22heading2"/>
        <w:spacing w:line="240" w:lineRule="auto"/>
        <w:ind w:left="0"/>
        <w:rPr>
          <w:iCs/>
        </w:rPr>
      </w:pPr>
      <w:r w:rsidRPr="00BB0B41">
        <w:rPr>
          <w:iCs/>
        </w:rPr>
        <w:t>2.2 Physical parameters</w:t>
      </w:r>
    </w:p>
    <w:p w14:paraId="1780557E" w14:textId="77777777" w:rsidR="009C6330" w:rsidRPr="00BB0B41" w:rsidRDefault="00096756">
      <w:pPr>
        <w:pStyle w:val="MDPI31text"/>
        <w:spacing w:line="240" w:lineRule="auto"/>
        <w:ind w:left="2550"/>
      </w:pPr>
      <w:r>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I2C interfaces. According to its data sheet [24], the device covers 0-5 bar and -40 to +85 °C. It resolves pressure to 0.036-0.195 mbar, depending on the oversampling ratio, and temperature to better than 0.01 °C. The specified pressure accuracy is ±1.5 mbar between 300 and 1100 mbar at 20 °C, widening to ±100 mbar over the full 0-5 bar and 0-50 °C envelope. Long-term pressure stability is specified as ±1 mbar per year, and temperature accuracy as ±2.5 °C. The sensor was driven by an ESP8285 microcontroller on an ESP-M2 board (Adafruit) [25] and powered by a lithium battery. The assembly was enclosed in an oil-filled plastic casing. The oil transmitted wine pressure to the transducer and dispersed the small amount of heat released by the electronics, whose draw is below 1 mA. The casing was introduced into each bag through the existing filling/dispensing valve before final sealing. The multilayer film was therefore not punctured. Sealing then followed the standard filling-line procedure, which was intended to minimise leakage and artificial perturbation of internal pressure.</w:t>
      </w:r>
    </w:p>
    <w:p w14:paraId="315C9426" w14:textId="77777777" w:rsidR="009C6330" w:rsidRPr="00BB0B41" w:rsidRDefault="00096756">
      <w:pPr>
        <w:pStyle w:val="MDPI31text"/>
        <w:spacing w:line="240" w:lineRule="auto"/>
        <w:ind w:left="2550"/>
      </w:pPr>
      <w:r>
        <w:t>Twelve sensing units were deployed in the main trial, two per stack (uppermost and lowermost BiB) across the three stacks of each chamber. Pressure and temperature were recorded every 30 minutes throughout the storage period. Each pressure trace was referred to its own initial pressure and analysed as pressure change (ΔP), so the comparison depends on changes within each sensor rather than on agreement between different sensors. Because there was one chamber per nominal set point, chamber condition and chamber identity cannot be separated. The chamber factor is therefore interpreted as a nominal chamber-condition comparison, not as a replicated test of actual wine temperature.</w:t>
      </w:r>
    </w:p>
    <w:p w14:paraId="47AC3352" w14:textId="77777777" w:rsidR="009C6330" w:rsidRPr="00BB0B41" w:rsidRDefault="009C6330">
      <w:pPr>
        <w:spacing w:line="240" w:lineRule="auto"/>
      </w:pPr>
    </w:p>
    <w:p w14:paraId="3439AF80" w14:textId="77777777" w:rsidR="009C6330" w:rsidRPr="00BB0B41" w:rsidRDefault="00096756">
      <w:pPr>
        <w:pStyle w:val="MDPI22heading2"/>
        <w:spacing w:line="240" w:lineRule="auto"/>
        <w:ind w:left="0"/>
        <w:rPr>
          <w:iCs/>
        </w:rPr>
      </w:pPr>
      <w:r w:rsidRPr="00BB0B41">
        <w:rPr>
          <w:iCs/>
        </w:rPr>
        <w:t>2.3 Verification trial under nominal 50 °C chamber condition</w:t>
      </w:r>
    </w:p>
    <w:p w14:paraId="240E8BC2" w14:textId="77777777" w:rsidR="009C6330" w:rsidRPr="00BB0B41" w:rsidRDefault="00096756">
      <w:pPr>
        <w:pStyle w:val="MDPI31text"/>
        <w:spacing w:line="240" w:lineRule="auto"/>
        <w:ind w:left="2550" w:firstLine="510"/>
        <w:rPr>
          <w:i/>
          <w:iCs/>
        </w:rPr>
      </w:pPr>
      <w:r>
        <w:t>Because the main trial did not reach the intended high in-bag temperature, a verification experiment was carried out to document the physical response of the packaging when the wine approached the nominal 50 °C set point more closely. A single stack of three boxes of the same 3-L BiB format was instrumented with four MEMS sensors of the same type, two in the uppermost and two in the lowermost BiB, and held for 15 days in a chamber nominally set at 50 °C. Pressure and temperature were logged every minute, compared with the 30-minute interval used in the main trial. The trial was not replicated across stacks and no chemical analyses were performed, so it provides supporting observations under one configuration rather than an independent population-level test of position effects. One upper sensor ceased to transmit on day 4.35 and the remaining three completed the 15-day record.</w:t>
      </w:r>
    </w:p>
    <w:p w14:paraId="5D14452D" w14:textId="77777777" w:rsidR="009C6330" w:rsidRPr="00BB0B41" w:rsidRDefault="00096756">
      <w:pPr>
        <w:pStyle w:val="MDPI22heading2"/>
        <w:spacing w:line="240" w:lineRule="auto"/>
        <w:ind w:left="0"/>
        <w:rPr>
          <w:iCs/>
        </w:rPr>
      </w:pPr>
      <w:r w:rsidRPr="00BB0B41">
        <w:rPr>
          <w:iCs/>
        </w:rPr>
        <w:t>2.4 Statistical analyses</w:t>
      </w:r>
    </w:p>
    <w:p w14:paraId="6DAEB5EC" w14:textId="77777777" w:rsidR="009C6330" w:rsidRPr="00BB0B41" w:rsidRDefault="00096756">
      <w:pPr>
        <w:pStyle w:val="MDPI31text"/>
        <w:spacing w:line="240" w:lineRule="auto"/>
        <w:ind w:left="2550"/>
      </w:pPr>
      <w:r>
        <w:t>One-way analysis of variance was performed using CoStat, Version 6.451, CoHort 6.0 Software (Pacific Grove, CA, USA) to assess differences in the compositional parameters among the investigated samples. Means were separated by Tukey's post hoc test at p ≤ 0.05. Re-examination of the available original experimental records showed that raw chemical replicate data were not retained. The lactic-acid SD for the nominal 50 °C chamber was traced to the originally submitted Table 2 (0.29 ± 0.02 g/L); no primary experimental record supported the alternative 0.20 g/L SD. Because raw replicates were not available, lactic acid is treated descriptively rather than as an independently verified significant difference.</w:t>
      </w:r>
    </w:p>
    <w:p w14:paraId="6286121F" w14:textId="77777777" w:rsidR="009C6330" w:rsidRPr="00BB0B41" w:rsidRDefault="00096756">
      <w:pPr>
        <w:pStyle w:val="MDPI31text"/>
        <w:spacing w:line="240" w:lineRule="auto"/>
        <w:ind w:left="2550"/>
      </w:pPr>
      <w:r>
        <w:t>The pressure data were analysed separately because each instrumented BiB was described by stack position (top or bottom) and nominal chamber condition (19 °C or 50 °C set point). For each sensor, two summary responses were extracted from the ΔP curve: the peak reached after the handling window and within the 20-day storage period, and the residual value on day 20. Baseline pressure was the initial valid pressure reading at time zero for each sensor. Historical code used a t ≤ 0.02 d threshold. Because the next available record is at 0.020833 d, this threshold selected only the time-zero reading. The final scripts therefore select the initial valid pressure reading explicitly. The primary exploratory analysis used the additive two-way linear model</w:t>
      </w:r>
    </w:p>
    <w:p w14:paraId="4C7224F9" w14:textId="77777777" w:rsidR="009C6330" w:rsidRPr="00BB0B41" w:rsidRDefault="00096756">
      <w:pPr>
        <w:pStyle w:val="MDPI39equation"/>
        <w:spacing w:line="240" w:lineRule="auto"/>
        <w:ind w:left="2550"/>
      </w:pPr>
      <w:r>
        <w:t>yijk = μ + αi + βj + εijk</w:t>
        <w:tab/>
        <w:t>(1)</w:t>
      </w:r>
    </w:p>
    <w:p w14:paraId="52014C02" w14:textId="77777777" w:rsidR="009C6330" w:rsidRPr="00BB0B41" w:rsidRDefault="00096756">
      <w:pPr>
        <w:pStyle w:val="MDPI32textnoindent"/>
        <w:spacing w:line="240" w:lineRule="auto"/>
        <w:ind w:left="2550"/>
        <w:jc w:val="center"/>
      </w:pPr>
      <w:r>
        <w:t>in which y is the summary value from one instrumented BiB, μ is the overall mean, α is the position term, β is the nominal chamber-condition term and ε is the residual. The position-by-chamber interaction was checked separately with the full model and was not statistically significant, so the additive model is reported. The model assumes independent residuals with constant variance; with only eleven usable traces, these assumptions cannot be tested with high power. The top and bottom observations are package-position measurements within stacks, and the chamber factor is unreplicated at the chamber level.</w:t>
      </w:r>
    </w:p>
    <w:p w14:paraId="16CDC39E" w14:textId="77777777" w:rsidR="009C6330" w:rsidRPr="00BB0B41" w:rsidRDefault="00096756">
      <w:pPr>
        <w:pStyle w:val="MDPI39equation"/>
        <w:spacing w:line="240" w:lineRule="auto"/>
        <w:ind w:left="2550"/>
      </w:pPr>
      <w:r w:rsidRPr="00BB0B41">
        <w:t>F = MS</w:t>
      </w:r>
      <w:r w:rsidRPr="00BB0B41">
        <w:rPr>
          <w:vertAlign w:val="subscript"/>
        </w:rPr>
        <w:t>factor</w:t>
      </w:r>
      <w:r w:rsidRPr="00BB0B41">
        <w:t xml:space="preserve"> / MS</w:t>
      </w:r>
      <w:r w:rsidRPr="00BB0B41">
        <w:rPr>
          <w:vertAlign w:val="subscript"/>
        </w:rPr>
        <w:t>error</w:t>
      </w:r>
      <w:r w:rsidRPr="00BB0B41">
        <w:t xml:space="preserve"> = (SS</w:t>
      </w:r>
      <w:r w:rsidRPr="00BB0B41">
        <w:rPr>
          <w:vertAlign w:val="subscript"/>
        </w:rPr>
        <w:t>factor</w:t>
      </w:r>
      <w:r w:rsidRPr="00BB0B41">
        <w:t xml:space="preserve"> / df</w:t>
      </w:r>
      <w:r w:rsidRPr="00BB0B41">
        <w:rPr>
          <w:vertAlign w:val="subscript"/>
        </w:rPr>
        <w:t>factor</w:t>
      </w:r>
      <w:r w:rsidRPr="00BB0B41">
        <w:t>) / (SS</w:t>
      </w:r>
      <w:r w:rsidRPr="00BB0B41">
        <w:rPr>
          <w:vertAlign w:val="subscript"/>
        </w:rPr>
        <w:t>error</w:t>
      </w:r>
      <w:r w:rsidRPr="00BB0B41">
        <w:t xml:space="preserve"> / df</w:t>
      </w:r>
      <w:r w:rsidRPr="00BB0B41">
        <w:rPr>
          <w:vertAlign w:val="subscript"/>
        </w:rPr>
        <w:t>error</w:t>
      </w:r>
      <w:r w:rsidRPr="00BB0B41">
        <w:t>)</w:t>
      </w:r>
      <w:r w:rsidRPr="00BB0B41">
        <w:tab/>
        <w:t>(2)</w:t>
      </w:r>
    </w:p>
    <w:p w14:paraId="6ED64489" w14:textId="77777777" w:rsidR="009C6330" w:rsidRPr="00BB0B41" w:rsidRDefault="00096756">
      <w:pPr>
        <w:pStyle w:val="MDPI32textnoindent"/>
        <w:spacing w:line="240" w:lineRule="auto"/>
        <w:ind w:left="2550"/>
        <w:jc w:val="center"/>
      </w:pPr>
      <w:r>
        <w:t>With two levels per factor and eleven usable traces, the additive model leaves one degree of freedom for each factor and eight residual degrees of freedom, giving the notation F(1,8). The design is unbalanced because one bottom-position sensor in the nominal 19 °C chamber returned no complete record; the four cells therefore contain three, three, three and two traces. Sums of squares were computed by the Type II method, in which each main effect is adjusted for the other [27]. Sensor-level effects with p ≤ 0.05 are reported as statistically significant within this exploratory analysis, but lack of significance is interpreted only as lack of a statistically detectable difference under this small design. Because the raw workbook and derived summaries do not retain stack identifiers or sensor-to-stack pairings, the p-values should not be read as definitive stack-level tests. The computation was carried out in Python 3 using the commented script, raw-workbook extraction path and derived per-sensor summaries prepared for the pressure ANOVA [28].</w:t>
      </w:r>
    </w:p>
    <w:p w14:paraId="2D102831" w14:textId="77777777" w:rsidR="009C6330" w:rsidRPr="00BB0B41" w:rsidRDefault="009C6330">
      <w:pPr>
        <w:pStyle w:val="MDPI21heading1"/>
      </w:pPr>
    </w:p>
    <w:p w14:paraId="5FE2B358" w14:textId="77777777" w:rsidR="009C6330" w:rsidRPr="00BB0B41" w:rsidRDefault="00096756">
      <w:pPr>
        <w:pStyle w:val="MDPI21heading1"/>
      </w:pPr>
      <w:r w:rsidRPr="00BB0B41">
        <w:t>3. Results and Discussion</w:t>
      </w:r>
    </w:p>
    <w:p w14:paraId="1707251E" w14:textId="77777777" w:rsidR="009C6330" w:rsidRPr="00BB0B41" w:rsidRDefault="00096756">
      <w:pPr>
        <w:pStyle w:val="MDPI22heading2"/>
        <w:spacing w:line="240" w:lineRule="auto"/>
        <w:ind w:left="0"/>
        <w:rPr>
          <w:iCs/>
        </w:rPr>
      </w:pPr>
      <w:r w:rsidRPr="00BB0B41">
        <w:rPr>
          <w:iCs/>
        </w:rPr>
        <w:t>3.1 Chemical parameters</w:t>
      </w:r>
    </w:p>
    <w:p w14:paraId="0827A3D4" w14:textId="77777777" w:rsidR="009C6330" w:rsidRPr="00BB0B41" w:rsidRDefault="00096756">
      <w:pPr>
        <w:pStyle w:val="MDPI31text"/>
        <w:spacing w:line="240" w:lineRule="auto"/>
        <w:ind w:left="2550"/>
      </w:pPr>
      <w:r>
        <w:t>The chemical comparison concerns wine from the main trial grouped by nominal chamber condition. The labels 19 °C and 50 °C in Table 2 denote chamber set points, not measured wine temperatures. Late in the main trial, in-bag sensors showed that the nominal 50 °C chamber produced 34.18 ± 0.36 °C at top sensors and 26.08 ± 0.23 °C at bottom sensors. Packages in the nominal 19 °C chamber were about 23 °C (Section 3.2). The chemical results should therefore be read as differences associated with the nominally warmer chamber condition, not as the effect of exposing wine to 50 °C.</w:t>
      </w:r>
    </w:p>
    <w:p w14:paraId="73C4AAC5" w14:textId="2A289830" w:rsidR="009C6330" w:rsidRPr="00BB0B41" w:rsidRDefault="00096756">
      <w:pPr>
        <w:pStyle w:val="MDPI31text"/>
        <w:spacing w:line="240" w:lineRule="auto"/>
        <w:ind w:left="2550"/>
      </w:pPr>
      <w:r>
        <w:t>Lactic acid was numerically higher in the wine from the nominally warmer chamber (0.29 ± 0.02 g/L) than in the reference (0.16 ± 0.05 g/L) (Table 2). This difference is not treated as statistically verified because raw chemical replicates were unavailable. The 0.29 ± 0.02 g/L value is reported because it is traceable to the originally submitted Table 2; no primary experimental record supports the alternative 0.20 g/L SD. The available measurements do not identify the mechanism for this numerical difference. Malic acid did not decrease significantly (1.0 ± 0.16 g/L against 1.1 ± 0.23 g/L), so the data do not show a clear malolactic conversion pattern. However, no microbiological analyses, viable cell counts or method-sensitivity study were available. Residual microbial activity therefore cannot be ruled out. The result is reported as a descriptive compositional observation under the tested conditions, not as evidence that malolactic fermentation was absent.</w:t>
      </w:r>
    </w:p>
    <w:p w14:paraId="5AD82E97" w14:textId="3CCFEEEE" w:rsidR="009C6330" w:rsidRPr="00BB0B41" w:rsidRDefault="00096756">
      <w:pPr>
        <w:pStyle w:val="MDPI31text"/>
        <w:spacing w:line="240" w:lineRule="auto"/>
        <w:ind w:left="2550"/>
      </w:pPr>
      <w:r>
        <w:t>Volatile acidity, expressed as acetic acid, was also higher in the wine from the nominally warmer chamber (0.39 ± 0.03 g/L) than in the reference (0.30 ± 0.02 g/L) (Table 2). This magnitude is below commonly used spoilage limits for table wine, but the study did not include sensory testing. The between-condition difference is consistent with accelerated chemical ageing under warmer storage, including oxidative and hydrolytic pathways described for wine storage [20,21], but a microbiological contribution cannot be excluded because microbiological measurements were not collected.</w:t>
      </w:r>
    </w:p>
    <w:p w14:paraId="32804DC5" w14:textId="5A7CADF0" w:rsidR="009C6330" w:rsidRPr="00BB0B41" w:rsidRDefault="00096756">
      <w:pPr>
        <w:pStyle w:val="MDPI31text"/>
        <w:spacing w:line="240" w:lineRule="auto"/>
        <w:ind w:left="2550"/>
      </w:pPr>
      <w:r>
        <w:t>The largest practical between-condition difference concerned total and free SO₂, both lower in the wine from the nominally warmer chamber. Total SO₂ was 25 ± 8.2 mg/L in that wine compared with 50 ± 5.5 mg/L in the reference, and free SO₂ was 16 ± 1.8 mg/L compared with 31 ± 2.5 mg/L (Table 2). Elevated storage temperature is known to accelerate SO₂ decline and related ageing reactions [20,21]. In this study, the lower SO₂ values were observed after storage at measured in-bag temperatures of 25-34 °C rather than 50 °C, suggesting that moderate but sustained warming may reduce the antioxidant and antimicrobial reserve available after transport. Actual post-transport shelf life was not measured.</w:t>
      </w:r>
    </w:p>
    <w:p w14:paraId="7F343C27" w14:textId="7D74175C" w:rsidR="009C6330" w:rsidRPr="00BB0B41" w:rsidRDefault="00096756">
      <w:pPr>
        <w:pStyle w:val="MDPI31text"/>
        <w:spacing w:line="240" w:lineRule="auto"/>
      </w:pPr>
      <w:r>
        <w:t>No significant between-condition difference was reported for pH, ethanol content or titratable acidity. Total phenols, expressed as catechins, also did not differ significantly (1.02 ± 0.12 g/L in the reference against 1.10 ± 0.07 g/L in the nominally warmer chamber) (Table 2).</w:t>
      </w:r>
    </w:p>
    <w:p w14:paraId="11F4B036" w14:textId="77777777" w:rsidR="009C6330" w:rsidRPr="00BB0B41" w:rsidRDefault="009C6330">
      <w:pPr>
        <w:spacing w:line="240" w:lineRule="auto"/>
        <w:ind w:left="2608"/>
      </w:pPr>
    </w:p>
    <w:p w14:paraId="7318CDD2" w14:textId="77777777" w:rsidR="009C6330" w:rsidRPr="00BB0B41" w:rsidRDefault="00096756">
      <w:pPr>
        <w:pStyle w:val="MDPI22heading2"/>
        <w:spacing w:line="240" w:lineRule="auto"/>
        <w:ind w:left="0"/>
        <w:rPr>
          <w:iCs/>
        </w:rPr>
      </w:pPr>
      <w:r w:rsidRPr="00BB0B41">
        <w:t>3.2 Physical parameters</w:t>
      </w:r>
    </w:p>
    <w:p w14:paraId="199CF910" w14:textId="77777777" w:rsidR="009C6330" w:rsidRPr="00BB0B41" w:rsidRDefault="00096756">
      <w:pPr>
        <w:pStyle w:val="MDPI31text"/>
        <w:spacing w:line="240" w:lineRule="auto"/>
      </w:pPr>
      <w:r>
        <w:t>In accordance with the design described in Materials and Methods and summarised in Table 1, three stacks of 3-L BiB units were held for 20 days in each nominal chamber condition. The complete record is shown in Figure 3, with internal pressure above the temperature registered by the same sensors. In every usable trace, pressure showed a brief initial transient, a pressurisation phase, and a gradual relaxation towards a lower residual level. Individual post-handling pressure maxima occurred between 85.0 and 138.5 h after the start of monitoring.</w:t>
      </w:r>
    </w:p>
    <w:p w14:paraId="360B9362" w14:textId="77777777" w:rsidR="009C6330" w:rsidRPr="00BB0B41" w:rsidRDefault="00096756">
      <w:pPr>
        <w:pStyle w:val="MDPI31text"/>
        <w:spacing w:line="240" w:lineRule="auto"/>
      </w:pPr>
      <w:r>
        <w:t>The first five hours of the record are shown separately in Figure 4 because they contain transport, filling-line and stacking events rather than settled chamber storage. This window may resemble some real logistics disturbances, but in this study it was not a controlled storage exposure and the 30-minute sampling interval was too coarse to resolve rapid transients. A sensitivity analysis using the original main-trial pressure records showed that including the first five hours did not change the primary peak-pressure endpoint: for all 11 usable sensors, the full-record maximum ΔP was the same as the post-handling maximum. Early short-term pressure rankings differed among sensors, and the available records contain duplicated early rows; this interval is therefore reported descriptively but remains excluded from the primary storage analysis.</w:t>
      </w:r>
    </w:p>
    <w:p w14:paraId="7521F5C2" w14:textId="7309ED8A" w:rsidR="009C6330" w:rsidRPr="00BB0B41" w:rsidRDefault="00096756">
      <w:pPr>
        <w:pStyle w:val="MDPI31text"/>
        <w:spacing w:line="240" w:lineRule="auto"/>
      </w:pPr>
      <w:r>
        <w:t>After the handling window, pressure rose in all units and peaked between about days 3.5 and 5.8, at about 56-94 mbar above each sensor's own baseline. Pressure then declined and partly recovered towards the end of the record. Mean peak ΔP was 83.0 ± 17.2 mbar in bottom units and 66.6 ± 10.1 mbar in top units under the nominal 50 °C chamber condition. Under the nominal 19 °C condition, the corresponding values were 84.8 ± 8.8 mbar and 59.6 ± 5.1 mbar (Figure 5A). In the exploratory sensor-level Type II two-way ANOVA, stack position was associated with peak ΔP (F(1,8) = 9.14; p = 0.017). The adjusted bottom-minus-top difference was 20.4 mbar (95% CI 4.8-35.9 mbar). No statistically detectable nominal chamber-condition effect was observed (F(1,8) = 0.21; p = 0.66; adjusted nominal 50-minus-19 °C difference 3.1 mbar, 95% CI -12.5 to 18.6 mbar), and the interaction was not significant (p = 0.56). By day 20, neither position (F(1,8) = 0.35; p = 0.57; adjusted difference 5.2 mbar, 95% CI -15.3 to 25.7 mbar) nor nominal chamber condition (F(1,8) = 0.81; p = 0.39) was statistically detectable (Figure 5B). These results provide exploratory evidence for a position-associated pressure difference under the tested configuration. The difference was transient. Precision is limited by the small, unbalanced design and by the absence of stack identifiers, which prevents a paired stack-level analysis.</w:t>
      </w:r>
    </w:p>
    <w:p w14:paraId="32DE078B" w14:textId="77777777" w:rsidR="009C6330" w:rsidRPr="00BB0B41" w:rsidRDefault="00096756">
      <w:pPr>
        <w:pStyle w:val="MDPI31text"/>
        <w:spacing w:line="240" w:lineRule="auto"/>
      </w:pPr>
      <w:r>
        <w:t>The lower panels of Figure 3 show that the realised thermal exposure differed substantially from the nominal set points. In the nominal 19 °C chamber, late in-bag temperatures averaged 23.50 ± 0.21 °C in top units and 22.84 ± 0.30 °C in bottom units. In the nominal 50 °C chamber, packages warmed gradually but remained far below the set point: 34.18 ± 0.36 °C at the top of the stacks and 26.08 ± 0.23 °C at the bottom during the late storage window. The warmest individual main-trial sensor reached 35.3 °C. The vertical gradient of about 8 °C in the nominally hot chamber may reflect thermal inertia, chamber loading, limited heat transfer through the pallet, or airflow constraints. However, the chamber model, airflow and occupancy data needed to diagnose the mechanism were not recorded. The pressure comparison between top and bottom positions must therefore be interpreted with the recognition that, in the nominally hot chamber, position also corresponded to different local package temperatures. The chamber comparison cannot be read as an actual 19 °C versus 50 °C wine-temperature contrast.</w:t>
      </w:r>
    </w:p>
    <w:p w14:paraId="0AD420E9" w14:textId="77777777" w:rsidR="009C6330" w:rsidRPr="00BB0B41" w:rsidRDefault="00096756">
      <w:pPr>
        <w:pStyle w:val="MDPI31text"/>
      </w:pPr>
      <w:r>
        <w:t>Taken together, the physical and chemical measurements identify different response patterns, but they do not support a strict causal division between palletisation and temperature. The pressure measurements were position-resolved and showed a transient bottom-position peak in ΔP. The chemical measurements were bulk samples grouped by nominal chamber condition and were not resolved by stack position. The data support a practical distinction between the measurement types. Pressure monitoring identified mechanically stressed package positions. Bulk chemical measurements indicated lower SO₂ and selected acidity differences under the nominally warmer chamber condition. The study does not show that palletisation and temperature act independently or exclusively on separate parts of the system.</w:t>
      </w:r>
    </w:p>
    <w:p w14:paraId="06FF5414" w14:textId="77777777" w:rsidR="009C6330" w:rsidRPr="00BB0B41" w:rsidRDefault="009C6330">
      <w:pPr>
        <w:spacing w:line="240" w:lineRule="auto"/>
        <w:ind w:left="2608"/>
      </w:pPr>
    </w:p>
    <w:p w14:paraId="0C49370B" w14:textId="77777777" w:rsidR="009C6330" w:rsidRPr="00BB0B41" w:rsidRDefault="00096756">
      <w:pPr>
        <w:pStyle w:val="MDPI52figure"/>
      </w:pPr>
      <w:r w:rsidRPr="00BB0B41">
        <w:rPr>
          <w:noProof/>
        </w:rPr>
      </w:r>
    </w:p>
    <w:p w14:paraId="6FD1682D" w14:textId="77777777" w:rsidR="009C6330" w:rsidRPr="00BB0B41" w:rsidRDefault="00096756">
      <w:pPr>
        <w:pStyle w:val="MDPI51figurecaption"/>
        <w:spacing w:line="240" w:lineRule="auto"/>
        <w:ind w:left="0"/>
        <w:jc w:val="center"/>
        <w:rPr>
          <w:szCs w:val="18"/>
        </w:rPr>
      </w:pPr>
      <w:r>
        <w:t>Figure 3. Internal pressure (upper panels) and temperature (lower panels) recorded inside the palletised 3-L Bag-in-Box units over the complete 20-day main trial by MEMS sensors placed in the uppermost (amber) and lowermost (blue) BiB of each stack. (A) nominal 50 °C chamber set point; (B) nominal 19 °C chamber set point. Solid lines are means across instrumented units and shaded bands are ± 1 SD (n = 3 sensors per position, except the bottom position at nominal 19 °C, for which n = 2). Dashed lines mark chamber set points. The shaded band at the left marks the first five hours, during which units were transported to the laboratory and assembled into stacks; this interval is shown in Figure 4 and excluded from the primary pressure analysis. The lower panels show measured in-bag temperatures, which differed from the chamber set points.</w:t>
      </w:r>
    </w:p>
    <w:p w14:paraId="4F96759E" w14:textId="77777777" w:rsidR="009C6330" w:rsidRPr="00BB0B41" w:rsidRDefault="00096756">
      <w:pPr>
        <w:pStyle w:val="MDPI52figure"/>
        <w:rPr>
          <w:sz w:val="18"/>
          <w:szCs w:val="18"/>
        </w:rPr>
      </w:pPr>
      <w:r w:rsidRPr="00BB0B41">
        <w:rPr>
          <w:noProof/>
        </w:rPr>
      </w:r>
    </w:p>
    <w:p w14:paraId="5A2AFE32" w14:textId="77777777" w:rsidR="009C6330" w:rsidRPr="00BB0B41" w:rsidRDefault="00096756">
      <w:pPr>
        <w:pStyle w:val="MDPI51figurecaption"/>
        <w:spacing w:line="240" w:lineRule="auto"/>
        <w:ind w:left="0"/>
        <w:jc w:val="center"/>
        <w:rPr>
          <w:szCs w:val="18"/>
        </w:rPr>
      </w:pPr>
      <w:r>
        <w:t>Figure 4. First sixteen hours of the main-trial record: internal pressure (upper panels) and temperature (lower panels) inside the bags for the nominal 50 °C chamber condition (A) and nominal 19 °C chamber condition (B). Solid lines are means across instrumented units, markers are 30-minute readings and shaded bands are ± 1 SD; amber is the top BiB of each stack and blue the bottom BiB. The shaded interval covers transport from the filling line to the laboratory and assembly into stacks, completed at about the fifth hour. Because the available workbook contains duplicated early rows, this portion of the trace is used descriptively and excluded from the primary storage analysis.</w:t>
      </w:r>
    </w:p>
    <w:p w14:paraId="045AA06C" w14:textId="77777777" w:rsidR="009C6330" w:rsidRPr="00BB0B41" w:rsidRDefault="009C6330">
      <w:pPr>
        <w:pStyle w:val="MDPI31text"/>
        <w:spacing w:line="240" w:lineRule="auto"/>
        <w:ind w:left="0" w:firstLine="0"/>
        <w:jc w:val="center"/>
        <w:rPr>
          <w:sz w:val="18"/>
          <w:szCs w:val="18"/>
        </w:rPr>
      </w:pPr>
    </w:p>
    <w:p w14:paraId="23C9119F" w14:textId="77777777" w:rsidR="009C6330" w:rsidRPr="00BB0B41" w:rsidRDefault="00096756">
      <w:pPr>
        <w:pStyle w:val="MDPI52figure"/>
        <w:rPr>
          <w:sz w:val="18"/>
          <w:szCs w:val="18"/>
        </w:rPr>
      </w:pPr>
      <w:r w:rsidRPr="00BB0B41">
        <w:rPr>
          <w:noProof/>
        </w:rPr>
      </w:r>
    </w:p>
    <w:p w14:paraId="73B5D80D" w14:textId="77777777" w:rsidR="009C6330" w:rsidRPr="00BB0B41" w:rsidRDefault="00096756">
      <w:pPr>
        <w:pStyle w:val="MDPI51figurecaption"/>
        <w:spacing w:line="240" w:lineRule="auto"/>
        <w:ind w:left="0"/>
        <w:jc w:val="center"/>
        <w:rPr>
          <w:szCs w:val="18"/>
        </w:rPr>
      </w:pPr>
      <w:r>
        <w:t>Figure 5. Change in internal pressure referred to each sensor's own baseline (ΔP), by stack position and nominal chamber condition. (A) post-handling peak value; individual sensor peaks occurred between 85.0 and 138.5 h (about days 3.5-5.8). (B) residual value on day 20. Circles are individual sensors (n = 3 per position, except bottom position at nominal 19 °C, for which n = 2) and bars give mean ± 1 SD. At the pressurisation peak, bottom-position BiBs had a larger ΔP than top-position BiBs in the exploratory sensor-level analysis. The two-way ANOVA gave F(1,8) = 9.14 and p = 0.017. No statistically detectable nominal chamber-condition effect was observed (F(1,8) = 0.21; p = 0.66). By day 20 neither factor was statistically detectable.</w:t>
      </w:r>
    </w:p>
    <w:p w14:paraId="222E5C04" w14:textId="77777777" w:rsidR="009C6330" w:rsidRPr="00BB0B41" w:rsidRDefault="009C6330">
      <w:pPr>
        <w:pStyle w:val="MDPI21heading1"/>
        <w:ind w:left="2040" w:firstLine="510"/>
        <w:rPr>
          <w:rFonts w:eastAsia="SimSun"/>
          <w:bCs/>
          <w:sz w:val="18"/>
          <w:szCs w:val="18"/>
          <w:lang w:eastAsia="zh-CN" w:bidi="ar-SA"/>
        </w:rPr>
      </w:pPr>
    </w:p>
    <w:p w14:paraId="678CD181" w14:textId="77777777" w:rsidR="009C6330" w:rsidRPr="00BB0B41" w:rsidRDefault="00096756">
      <w:pPr>
        <w:pStyle w:val="MDPI41tablecaption"/>
        <w:ind w:left="0"/>
        <w:jc w:val="center"/>
        <w:rPr>
          <w:szCs w:val="18"/>
        </w:rPr>
      </w:pPr>
      <w:r>
        <w:t>Table 2. Chemical parameters of wine from the main trial after 20 days in chambers nominally set at 19 °C and 50 °C. The labels refer to chamber set points, not actual in-bag wine temperatures. Values are expressed as mean ± standard deviation (n = 3), except that lactic acid is reported descriptively from the traceable submitted-table values because raw chemical replicates were unavailable; no primary experimental record supported the alternative 0.20 g/L SD.</w:t>
      </w:r>
    </w:p>
    <w:tbl>
      <w:tblPr>
        <w:tblStyle w:val="TableGrid2"/>
        <w:tblW w:w="11039" w:type="dxa"/>
        <w:tblLook w:val="04A0" w:firstRow="1" w:lastRow="0" w:firstColumn="1" w:lastColumn="0" w:noHBand="0" w:noVBand="1"/>
      </w:tblPr>
      <w:tblGrid>
        <w:gridCol w:w="827"/>
        <w:gridCol w:w="1123"/>
        <w:gridCol w:w="1112"/>
        <w:gridCol w:w="834"/>
        <w:gridCol w:w="1048"/>
        <w:gridCol w:w="1256"/>
        <w:gridCol w:w="1151"/>
        <w:gridCol w:w="1152"/>
        <w:gridCol w:w="1158"/>
        <w:gridCol w:w="1156"/>
        <w:gridCol w:w="222"/>
      </w:tblGrid>
      <w:tr w:rsidR="009C6330" w:rsidRPr="00BB0B41" w14:paraId="3AA1E47C" w14:textId="77777777">
        <w:trPr>
          <w:trHeight w:val="1220"/>
        </w:trPr>
        <w:tc>
          <w:tcPr>
            <w:tcW w:w="836" w:type="dxa"/>
            <w:tcBorders>
              <w:left w:val="nil"/>
              <w:right w:val="nil"/>
            </w:tcBorders>
            <w:vAlign w:val="center"/>
          </w:tcPr>
          <w:p>
            <w:r>
              <w:t>Sample</w:t>
            </w:r>
          </w:p>
        </w:tc>
        <w:tc>
          <w:tcPr>
            <w:tcW w:w="1149" w:type="dxa"/>
            <w:tcBorders>
              <w:left w:val="nil"/>
              <w:right w:val="nil"/>
            </w:tcBorders>
            <w:vAlign w:val="center"/>
          </w:tcPr>
          <w:p w14:paraId="71A321E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Lactic Acid (g/L)</w:t>
            </w:r>
          </w:p>
        </w:tc>
        <w:tc>
          <w:tcPr>
            <w:tcW w:w="1134" w:type="dxa"/>
            <w:tcBorders>
              <w:left w:val="nil"/>
              <w:right w:val="nil"/>
            </w:tcBorders>
            <w:vAlign w:val="center"/>
          </w:tcPr>
          <w:p w14:paraId="1A578AC2"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Malic Acid (g/L)</w:t>
            </w:r>
          </w:p>
        </w:tc>
        <w:tc>
          <w:tcPr>
            <w:tcW w:w="850" w:type="dxa"/>
            <w:tcBorders>
              <w:left w:val="nil"/>
              <w:right w:val="nil"/>
            </w:tcBorders>
            <w:vAlign w:val="center"/>
          </w:tcPr>
          <w:p w14:paraId="2B72FC09" w14:textId="77777777" w:rsidR="009C6330" w:rsidRPr="00BB0B41" w:rsidRDefault="00096756">
            <w:pPr>
              <w:spacing w:line="240" w:lineRule="auto"/>
              <w:ind w:left="720" w:hanging="720"/>
              <w:jc w:val="center"/>
              <w:rPr>
                <w:b/>
                <w:bCs/>
                <w:color w:val="auto"/>
                <w:sz w:val="18"/>
                <w:szCs w:val="18"/>
              </w:rPr>
            </w:pPr>
            <w:r w:rsidRPr="00BB0B41">
              <w:rPr>
                <w:rFonts w:eastAsia="Calibri" w:cs="Arial"/>
                <w:b/>
                <w:bCs/>
                <w:color w:val="auto"/>
                <w:kern w:val="2"/>
                <w:sz w:val="18"/>
                <w:szCs w:val="18"/>
                <w14:ligatures w14:val="standardContextual"/>
              </w:rPr>
              <w:t>pH</w:t>
            </w:r>
          </w:p>
        </w:tc>
        <w:tc>
          <w:tcPr>
            <w:tcW w:w="1070" w:type="dxa"/>
            <w:tcBorders>
              <w:left w:val="nil"/>
              <w:right w:val="nil"/>
            </w:tcBorders>
            <w:vAlign w:val="center"/>
          </w:tcPr>
          <w:p w14:paraId="753BAAA6"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Titratable acidity (g/L of tartaric acid)</w:t>
            </w:r>
          </w:p>
        </w:tc>
        <w:tc>
          <w:tcPr>
            <w:tcW w:w="1289" w:type="dxa"/>
            <w:tcBorders>
              <w:left w:val="nil"/>
              <w:right w:val="nil"/>
            </w:tcBorders>
            <w:vAlign w:val="center"/>
          </w:tcPr>
          <w:p w14:paraId="0D0EAA27"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Volatile acidity (g/L of acetic acid)</w:t>
            </w:r>
          </w:p>
        </w:tc>
        <w:tc>
          <w:tcPr>
            <w:tcW w:w="1173" w:type="dxa"/>
            <w:tcBorders>
              <w:left w:val="nil"/>
              <w:right w:val="nil"/>
            </w:tcBorders>
            <w:vAlign w:val="center"/>
          </w:tcPr>
          <w:p w14:paraId="06A259C9"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Total phenols (g/L of catechins)</w:t>
            </w:r>
          </w:p>
        </w:tc>
        <w:tc>
          <w:tcPr>
            <w:tcW w:w="1173" w:type="dxa"/>
            <w:tcBorders>
              <w:left w:val="nil"/>
              <w:right w:val="nil"/>
            </w:tcBorders>
            <w:vAlign w:val="center"/>
          </w:tcPr>
          <w:p w14:paraId="1D5B2FA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Ethanol content (%v/v)</w:t>
            </w:r>
          </w:p>
        </w:tc>
        <w:tc>
          <w:tcPr>
            <w:tcW w:w="1171" w:type="dxa"/>
            <w:tcBorders>
              <w:left w:val="nil"/>
              <w:right w:val="nil"/>
            </w:tcBorders>
            <w:vAlign w:val="center"/>
          </w:tcPr>
          <w:p w14:paraId="4E4056B6"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Total Sulphur dioxide content</w:t>
            </w:r>
          </w:p>
          <w:p w14:paraId="154B68AD" w14:textId="77777777" w:rsidR="009C6330" w:rsidRPr="00BB0B41" w:rsidRDefault="00096756">
            <w:pPr>
              <w:spacing w:line="240" w:lineRule="auto"/>
              <w:jc w:val="center"/>
              <w:rPr>
                <w:b/>
                <w:bCs/>
                <w:color w:val="auto"/>
                <w:sz w:val="18"/>
                <w:szCs w:val="18"/>
                <w:lang w:val="fr-FR"/>
              </w:rPr>
            </w:pPr>
            <w:r w:rsidRPr="00BB0B41">
              <w:rPr>
                <w:rFonts w:eastAsia="Calibri" w:cs="Arial"/>
                <w:b/>
                <w:bCs/>
                <w:color w:val="auto"/>
                <w:kern w:val="2"/>
                <w:sz w:val="18"/>
                <w:szCs w:val="18"/>
                <w:lang w:val="fr-FR"/>
                <w14:ligatures w14:val="standardContextual"/>
              </w:rPr>
              <w:t>(mg/L)</w:t>
            </w:r>
          </w:p>
        </w:tc>
        <w:tc>
          <w:tcPr>
            <w:tcW w:w="1177" w:type="dxa"/>
            <w:tcBorders>
              <w:left w:val="nil"/>
              <w:right w:val="nil"/>
            </w:tcBorders>
            <w:vAlign w:val="center"/>
          </w:tcPr>
          <w:p w14:paraId="08FB5F30"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Free Sulphur dioxide content</w:t>
            </w:r>
          </w:p>
          <w:p w14:paraId="2E7F599A" w14:textId="77777777" w:rsidR="009C6330" w:rsidRPr="00BB0B41" w:rsidRDefault="00096756">
            <w:pPr>
              <w:spacing w:line="240" w:lineRule="auto"/>
              <w:jc w:val="center"/>
              <w:rPr>
                <w:b/>
                <w:bCs/>
                <w:color w:val="auto"/>
                <w:sz w:val="18"/>
                <w:szCs w:val="18"/>
              </w:rPr>
            </w:pPr>
            <w:r w:rsidRPr="00BB0B41">
              <w:rPr>
                <w:rFonts w:eastAsia="Calibri" w:cs="Arial"/>
                <w:b/>
                <w:bCs/>
                <w:color w:val="auto"/>
                <w:kern w:val="2"/>
                <w:sz w:val="18"/>
                <w:szCs w:val="18"/>
                <w14:ligatures w14:val="standardContextual"/>
              </w:rPr>
              <w:t>(mg/L)</w:t>
            </w:r>
          </w:p>
        </w:tc>
        <w:tc>
          <w:tcPr>
            <w:tcW w:w="15" w:type="dxa"/>
            <w:tcBorders>
              <w:top w:val="nil"/>
              <w:left w:val="nil"/>
              <w:bottom w:val="nil"/>
              <w:right w:val="nil"/>
            </w:tcBorders>
          </w:tcPr>
          <w:p w14:paraId="669D4661" w14:textId="77777777" w:rsidR="009C6330" w:rsidRPr="00BB0B41" w:rsidRDefault="009C6330">
            <w:pPr>
              <w:rPr>
                <w:rFonts w:eastAsia="Calibri" w:cs="Arial"/>
                <w:kern w:val="2"/>
                <w14:ligatures w14:val="standardContextual"/>
              </w:rPr>
            </w:pPr>
          </w:p>
        </w:tc>
      </w:tr>
      <w:tr w:rsidR="009C6330" w:rsidRPr="00BB0B41" w14:paraId="14A84AE7" w14:textId="77777777">
        <w:trPr>
          <w:trHeight w:val="883"/>
        </w:trPr>
        <w:tc>
          <w:tcPr>
            <w:tcW w:w="836" w:type="dxa"/>
            <w:tcBorders>
              <w:left w:val="nil"/>
              <w:bottom w:val="nil"/>
              <w:right w:val="nil"/>
            </w:tcBorders>
            <w:vAlign w:val="center"/>
          </w:tcPr>
          <w:p>
            <w:r>
              <w:t>Wine from nominal 19 °C chamber</w:t>
            </w:r>
          </w:p>
        </w:tc>
        <w:tc>
          <w:tcPr>
            <w:tcW w:w="1149" w:type="dxa"/>
            <w:tcBorders>
              <w:left w:val="nil"/>
              <w:bottom w:val="nil"/>
              <w:right w:val="nil"/>
            </w:tcBorders>
            <w:vAlign w:val="center"/>
          </w:tcPr>
          <w:p>
            <w:r>
              <w:t>0.16 ± 0.05</w:t>
            </w:r>
          </w:p>
        </w:tc>
        <w:tc>
          <w:tcPr>
            <w:tcW w:w="1134" w:type="dxa"/>
            <w:tcBorders>
              <w:left w:val="nil"/>
              <w:bottom w:val="nil"/>
              <w:right w:val="nil"/>
            </w:tcBorders>
            <w:vAlign w:val="center"/>
          </w:tcPr>
          <w:p w14:paraId="005F1583"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 ± 0.23</w:t>
            </w:r>
            <w:r w:rsidRPr="00BB0B41">
              <w:rPr>
                <w:rFonts w:eastAsia="Calibri" w:cs="Arial"/>
                <w:color w:val="auto"/>
                <w:kern w:val="2"/>
                <w:sz w:val="18"/>
                <w:szCs w:val="18"/>
                <w:vertAlign w:val="superscript"/>
                <w14:ligatures w14:val="standardContextual"/>
              </w:rPr>
              <w:t>A</w:t>
            </w:r>
          </w:p>
        </w:tc>
        <w:tc>
          <w:tcPr>
            <w:tcW w:w="850" w:type="dxa"/>
            <w:tcBorders>
              <w:left w:val="nil"/>
              <w:bottom w:val="nil"/>
              <w:right w:val="nil"/>
            </w:tcBorders>
            <w:vAlign w:val="center"/>
          </w:tcPr>
          <w:p w14:paraId="5AC8F09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left w:val="nil"/>
              <w:bottom w:val="nil"/>
              <w:right w:val="nil"/>
            </w:tcBorders>
            <w:vAlign w:val="center"/>
          </w:tcPr>
          <w:p w14:paraId="69C2E54A"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0.04</w:t>
            </w:r>
            <w:r w:rsidRPr="00BB0B41">
              <w:rPr>
                <w:rFonts w:eastAsia="Calibri" w:cs="Arial"/>
                <w:color w:val="auto"/>
                <w:kern w:val="2"/>
                <w:sz w:val="18"/>
                <w:szCs w:val="18"/>
                <w:vertAlign w:val="superscript"/>
                <w14:ligatures w14:val="standardContextual"/>
              </w:rPr>
              <w:t>A</w:t>
            </w:r>
          </w:p>
        </w:tc>
        <w:tc>
          <w:tcPr>
            <w:tcW w:w="1289" w:type="dxa"/>
            <w:tcBorders>
              <w:left w:val="nil"/>
              <w:bottom w:val="nil"/>
              <w:right w:val="nil"/>
            </w:tcBorders>
            <w:vAlign w:val="center"/>
          </w:tcPr>
          <w:p w14:paraId="74E32996"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0.30 ± 0.02</w:t>
            </w:r>
            <w:r w:rsidRPr="00BB0B41">
              <w:rPr>
                <w:rFonts w:eastAsia="Calibri" w:cs="Arial"/>
                <w:color w:val="auto"/>
                <w:kern w:val="2"/>
                <w:sz w:val="18"/>
                <w:szCs w:val="18"/>
                <w:vertAlign w:val="superscript"/>
                <w14:ligatures w14:val="standardContextual"/>
              </w:rPr>
              <w:t>B</w:t>
            </w:r>
          </w:p>
        </w:tc>
        <w:tc>
          <w:tcPr>
            <w:tcW w:w="1173" w:type="dxa"/>
            <w:tcBorders>
              <w:left w:val="nil"/>
              <w:bottom w:val="nil"/>
              <w:right w:val="nil"/>
            </w:tcBorders>
            <w:vAlign w:val="center"/>
          </w:tcPr>
          <w:p w14:paraId="49BF5A4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1.02 ± 0.12</w:t>
            </w:r>
            <w:r w:rsidRPr="00BB0B41">
              <w:rPr>
                <w:rFonts w:eastAsia="Calibri" w:cs="Arial"/>
                <w:color w:val="auto"/>
                <w:kern w:val="2"/>
                <w:sz w:val="18"/>
                <w:szCs w:val="18"/>
                <w:vertAlign w:val="superscript"/>
                <w14:ligatures w14:val="standardContextual"/>
              </w:rPr>
              <w:t>A</w:t>
            </w:r>
          </w:p>
        </w:tc>
        <w:tc>
          <w:tcPr>
            <w:tcW w:w="1173" w:type="dxa"/>
            <w:tcBorders>
              <w:left w:val="nil"/>
              <w:bottom w:val="nil"/>
              <w:right w:val="nil"/>
            </w:tcBorders>
            <w:vAlign w:val="center"/>
          </w:tcPr>
          <w:p w14:paraId="4CF80AB9"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0.6</w:t>
            </w:r>
            <w:r w:rsidRPr="00BB0B41">
              <w:rPr>
                <w:rFonts w:eastAsia="Calibri" w:cs="Arial"/>
                <w:color w:val="auto"/>
                <w:kern w:val="2"/>
                <w:sz w:val="18"/>
                <w:szCs w:val="18"/>
                <w:vertAlign w:val="superscript"/>
                <w14:ligatures w14:val="standardContextual"/>
              </w:rPr>
              <w:t>A</w:t>
            </w:r>
          </w:p>
        </w:tc>
        <w:tc>
          <w:tcPr>
            <w:tcW w:w="1171" w:type="dxa"/>
            <w:tcBorders>
              <w:left w:val="nil"/>
              <w:bottom w:val="nil"/>
              <w:right w:val="nil"/>
            </w:tcBorders>
            <w:vAlign w:val="center"/>
          </w:tcPr>
          <w:p w14:paraId="62C031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50 ± 5.5</w:t>
            </w:r>
            <w:r w:rsidRPr="00BB0B41">
              <w:rPr>
                <w:rFonts w:eastAsia="Calibri" w:cs="Arial"/>
                <w:color w:val="auto"/>
                <w:kern w:val="2"/>
                <w:sz w:val="18"/>
                <w:szCs w:val="18"/>
                <w:vertAlign w:val="superscript"/>
                <w14:ligatures w14:val="standardContextual"/>
              </w:rPr>
              <w:t>A</w:t>
            </w:r>
          </w:p>
        </w:tc>
        <w:tc>
          <w:tcPr>
            <w:tcW w:w="1177" w:type="dxa"/>
            <w:tcBorders>
              <w:left w:val="nil"/>
              <w:bottom w:val="nil"/>
              <w:right w:val="nil"/>
            </w:tcBorders>
            <w:vAlign w:val="center"/>
          </w:tcPr>
          <w:p w14:paraId="0233055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31 ± 2.5</w:t>
            </w:r>
            <w:r w:rsidRPr="00BB0B41">
              <w:rPr>
                <w:rFonts w:eastAsia="Calibri" w:cs="Arial"/>
                <w:color w:val="auto"/>
                <w:kern w:val="2"/>
                <w:sz w:val="18"/>
                <w:szCs w:val="18"/>
                <w:vertAlign w:val="superscript"/>
                <w14:ligatures w14:val="standardContextual"/>
              </w:rPr>
              <w:t>A</w:t>
            </w:r>
          </w:p>
        </w:tc>
        <w:tc>
          <w:tcPr>
            <w:tcW w:w="15" w:type="dxa"/>
            <w:tcBorders>
              <w:top w:val="nil"/>
              <w:left w:val="nil"/>
              <w:bottom w:val="nil"/>
              <w:right w:val="nil"/>
            </w:tcBorders>
          </w:tcPr>
          <w:p w14:paraId="7A61CAA6" w14:textId="77777777" w:rsidR="009C6330" w:rsidRPr="00BB0B41" w:rsidRDefault="009C6330">
            <w:pPr>
              <w:rPr>
                <w:rFonts w:eastAsia="Calibri" w:cs="Arial"/>
                <w:kern w:val="2"/>
                <w14:ligatures w14:val="standardContextual"/>
              </w:rPr>
            </w:pPr>
          </w:p>
        </w:tc>
      </w:tr>
      <w:tr w:rsidR="009C6330" w:rsidRPr="00BB0B41" w14:paraId="632DC6E7" w14:textId="77777777">
        <w:trPr>
          <w:trHeight w:val="764"/>
        </w:trPr>
        <w:tc>
          <w:tcPr>
            <w:tcW w:w="836" w:type="dxa"/>
            <w:tcBorders>
              <w:top w:val="nil"/>
              <w:left w:val="nil"/>
              <w:right w:val="nil"/>
            </w:tcBorders>
            <w:vAlign w:val="center"/>
          </w:tcPr>
          <w:p>
            <w:r>
              <w:t>Wine from nominal 50 °C chamber</w:t>
            </w:r>
          </w:p>
        </w:tc>
        <w:tc>
          <w:tcPr>
            <w:tcW w:w="1149" w:type="dxa"/>
            <w:tcBorders>
              <w:top w:val="nil"/>
              <w:left w:val="nil"/>
              <w:right w:val="nil"/>
            </w:tcBorders>
            <w:vAlign w:val="center"/>
          </w:tcPr>
          <w:p>
            <w:r>
              <w:t>0.29 ± 0.02</w:t>
            </w:r>
          </w:p>
        </w:tc>
        <w:tc>
          <w:tcPr>
            <w:tcW w:w="1134" w:type="dxa"/>
            <w:tcBorders>
              <w:top w:val="nil"/>
              <w:left w:val="nil"/>
              <w:right w:val="nil"/>
            </w:tcBorders>
            <w:vAlign w:val="center"/>
          </w:tcPr>
          <w:p w14:paraId="4A662B4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1.0 ± 0.16</w:t>
            </w:r>
            <w:r w:rsidRPr="00BB0B41">
              <w:rPr>
                <w:rFonts w:eastAsia="Calibri" w:cs="Arial"/>
                <w:color w:val="auto"/>
                <w:kern w:val="2"/>
                <w:sz w:val="18"/>
                <w:szCs w:val="18"/>
                <w:vertAlign w:val="superscript"/>
                <w14:ligatures w14:val="standardContextual"/>
              </w:rPr>
              <w:t>A</w:t>
            </w:r>
          </w:p>
        </w:tc>
        <w:tc>
          <w:tcPr>
            <w:tcW w:w="850" w:type="dxa"/>
            <w:tcBorders>
              <w:top w:val="nil"/>
              <w:left w:val="nil"/>
              <w:right w:val="nil"/>
            </w:tcBorders>
            <w:vAlign w:val="center"/>
          </w:tcPr>
          <w:p w14:paraId="4C97506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3.4 ± 0.1</w:t>
            </w:r>
            <w:r w:rsidRPr="00BB0B41">
              <w:rPr>
                <w:rFonts w:eastAsia="Calibri" w:cs="Arial"/>
                <w:color w:val="auto"/>
                <w:kern w:val="2"/>
                <w:sz w:val="18"/>
                <w:szCs w:val="18"/>
                <w:vertAlign w:val="superscript"/>
                <w14:ligatures w14:val="standardContextual"/>
              </w:rPr>
              <w:t>A</w:t>
            </w:r>
          </w:p>
        </w:tc>
        <w:tc>
          <w:tcPr>
            <w:tcW w:w="1070" w:type="dxa"/>
            <w:tcBorders>
              <w:top w:val="nil"/>
              <w:left w:val="nil"/>
              <w:right w:val="nil"/>
            </w:tcBorders>
            <w:vAlign w:val="center"/>
          </w:tcPr>
          <w:p w14:paraId="63F48B28"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6.6 ± 0.13</w:t>
            </w:r>
            <w:r w:rsidRPr="00BB0B41">
              <w:rPr>
                <w:rFonts w:eastAsia="Calibri" w:cs="Arial"/>
                <w:color w:val="auto"/>
                <w:kern w:val="2"/>
                <w:sz w:val="18"/>
                <w:szCs w:val="18"/>
                <w:vertAlign w:val="superscript"/>
                <w14:ligatures w14:val="standardContextual"/>
              </w:rPr>
              <w:t>A</w:t>
            </w:r>
          </w:p>
        </w:tc>
        <w:tc>
          <w:tcPr>
            <w:tcW w:w="1289" w:type="dxa"/>
            <w:tcBorders>
              <w:top w:val="nil"/>
              <w:left w:val="nil"/>
              <w:right w:val="nil"/>
            </w:tcBorders>
            <w:vAlign w:val="center"/>
          </w:tcPr>
          <w:p w14:paraId="378B7485"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0.39 ± 0.03</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7C01D6DF"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1.10 ± 0.07</w:t>
            </w:r>
            <w:r w:rsidRPr="00BB0B41">
              <w:rPr>
                <w:rFonts w:eastAsia="Calibri" w:cs="Arial"/>
                <w:color w:val="auto"/>
                <w:kern w:val="2"/>
                <w:sz w:val="18"/>
                <w:szCs w:val="18"/>
                <w:vertAlign w:val="superscript"/>
                <w14:ligatures w14:val="standardContextual"/>
              </w:rPr>
              <w:t>A</w:t>
            </w:r>
          </w:p>
        </w:tc>
        <w:tc>
          <w:tcPr>
            <w:tcW w:w="1173" w:type="dxa"/>
            <w:tcBorders>
              <w:top w:val="nil"/>
              <w:left w:val="nil"/>
              <w:right w:val="nil"/>
            </w:tcBorders>
            <w:vAlign w:val="center"/>
          </w:tcPr>
          <w:p w14:paraId="6D9D30EE"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11.6 ± 0.9</w:t>
            </w:r>
            <w:r w:rsidRPr="00BB0B41">
              <w:rPr>
                <w:rFonts w:eastAsia="Calibri" w:cs="Arial"/>
                <w:color w:val="auto"/>
                <w:kern w:val="2"/>
                <w:sz w:val="18"/>
                <w:szCs w:val="18"/>
                <w:vertAlign w:val="superscript"/>
                <w14:ligatures w14:val="standardContextual"/>
              </w:rPr>
              <w:t>A</w:t>
            </w:r>
          </w:p>
        </w:tc>
        <w:tc>
          <w:tcPr>
            <w:tcW w:w="1171" w:type="dxa"/>
            <w:tcBorders>
              <w:top w:val="nil"/>
              <w:left w:val="nil"/>
              <w:right w:val="nil"/>
            </w:tcBorders>
            <w:vAlign w:val="center"/>
          </w:tcPr>
          <w:p w14:paraId="426B077B"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25 ± 8.2</w:t>
            </w:r>
            <w:r w:rsidRPr="00BB0B41">
              <w:rPr>
                <w:rFonts w:eastAsia="Calibri" w:cs="Arial"/>
                <w:color w:val="auto"/>
                <w:kern w:val="2"/>
                <w:sz w:val="18"/>
                <w:szCs w:val="18"/>
                <w:vertAlign w:val="superscript"/>
                <w14:ligatures w14:val="standardContextual"/>
              </w:rPr>
              <w:t>B</w:t>
            </w:r>
          </w:p>
        </w:tc>
        <w:tc>
          <w:tcPr>
            <w:tcW w:w="1177" w:type="dxa"/>
            <w:tcBorders>
              <w:top w:val="nil"/>
              <w:left w:val="nil"/>
              <w:right w:val="nil"/>
            </w:tcBorders>
            <w:vAlign w:val="center"/>
          </w:tcPr>
          <w:p w14:paraId="1F0ADE9D" w14:textId="77777777" w:rsidR="009C6330" w:rsidRPr="00BB0B41" w:rsidRDefault="00096756">
            <w:pPr>
              <w:spacing w:line="240" w:lineRule="auto"/>
              <w:jc w:val="center"/>
              <w:rPr>
                <w:color w:val="auto"/>
                <w:sz w:val="18"/>
                <w:szCs w:val="18"/>
              </w:rPr>
            </w:pPr>
            <w:r w:rsidRPr="00BB0B41">
              <w:rPr>
                <w:rFonts w:eastAsia="Calibri" w:cs="Arial"/>
                <w:color w:val="auto"/>
                <w:kern w:val="2"/>
                <w:sz w:val="18"/>
                <w:szCs w:val="18"/>
                <w14:ligatures w14:val="standardContextual"/>
              </w:rPr>
              <w:t>16 ± 1.8</w:t>
            </w:r>
            <w:r w:rsidRPr="00BB0B41">
              <w:rPr>
                <w:rFonts w:eastAsia="Calibri" w:cs="Arial"/>
                <w:color w:val="auto"/>
                <w:kern w:val="2"/>
                <w:sz w:val="18"/>
                <w:szCs w:val="18"/>
                <w:vertAlign w:val="superscript"/>
                <w14:ligatures w14:val="standardContextual"/>
              </w:rPr>
              <w:t>B</w:t>
            </w:r>
          </w:p>
        </w:tc>
        <w:tc>
          <w:tcPr>
            <w:tcW w:w="15" w:type="dxa"/>
            <w:tcBorders>
              <w:top w:val="nil"/>
              <w:left w:val="nil"/>
              <w:bottom w:val="nil"/>
              <w:right w:val="nil"/>
            </w:tcBorders>
          </w:tcPr>
          <w:p w14:paraId="7F0AFA35" w14:textId="77777777" w:rsidR="009C6330" w:rsidRPr="00BB0B41" w:rsidRDefault="009C6330">
            <w:pPr>
              <w:rPr>
                <w:rFonts w:eastAsia="Calibri" w:cs="Arial"/>
                <w:kern w:val="2"/>
                <w14:ligatures w14:val="standardContextual"/>
              </w:rPr>
            </w:pPr>
          </w:p>
        </w:tc>
      </w:tr>
      <w:tr w:rsidR="009C6330" w:rsidRPr="00BB0B41" w14:paraId="6C054B93" w14:textId="77777777">
        <w:trPr>
          <w:trHeight w:val="764"/>
        </w:trPr>
        <w:tc>
          <w:tcPr>
            <w:tcW w:w="11037" w:type="dxa"/>
            <w:gridSpan w:val="11"/>
            <w:tcBorders>
              <w:left w:val="nil"/>
              <w:right w:val="nil"/>
            </w:tcBorders>
            <w:vAlign w:val="center"/>
          </w:tcPr>
          <w:p>
            <w:r>
              <w:t>Superscript uppercase letters (A-B) indicate statistically significant differences among samples within a column where letters are shown. Lactic acid is reported descriptively without significance letters because raw replicate data were unavailable and the later 0.20 g/L SD could not be traced to a primary experimental record.</w:t>
            </w:r>
          </w:p>
        </w:tc>
      </w:tr>
    </w:tbl>
    <w:p w14:paraId="2231481B" w14:textId="77777777" w:rsidR="009C6330" w:rsidRPr="00BB0B41" w:rsidRDefault="009C6330">
      <w:pPr>
        <w:pStyle w:val="MDPI21heading1"/>
        <w:ind w:left="0"/>
        <w:rPr>
          <w:rFonts w:eastAsia="SimSun"/>
          <w:bCs/>
          <w:sz w:val="18"/>
          <w:szCs w:val="18"/>
          <w:lang w:eastAsia="zh-CN" w:bidi="ar-SA"/>
        </w:rPr>
      </w:pPr>
    </w:p>
    <w:p w14:paraId="57A7F778" w14:textId="77777777" w:rsidR="009C6330" w:rsidRPr="00BB0B41" w:rsidRDefault="00096756">
      <w:pPr>
        <w:pStyle w:val="MDPI22heading2"/>
        <w:spacing w:line="240" w:lineRule="auto"/>
        <w:ind w:left="0"/>
      </w:pPr>
      <w:r w:rsidRPr="00BB0B41">
        <w:t>3.3 Verification under the nominal 50 °C chamber condition</w:t>
      </w:r>
    </w:p>
    <w:p w14:paraId="61CD9141" w14:textId="77777777" w:rsidR="009C6330" w:rsidRPr="00BB0B41" w:rsidRDefault="00096756">
      <w:pPr>
        <w:pStyle w:val="MDPI31text"/>
        <w:spacing w:line="240" w:lineRule="auto"/>
      </w:pPr>
      <w:r>
        <w:t>Because the main trial reached only 35.3 °C in the warmest individual in-bag location, a second experiment was run to document package behaviour closer to the intended high-temperature exposure. A single three-box stack was instrumented with four MEMS sensors, two in the uppermost BiB and two in the lowermost BiB, and held in a chamber nominally set at 50 °C with pressure and temperature logged every minute. The record covers 15 days rather than the 20 days of the main trial. It is therefore useful as a limited verification of qualitative behaviour under one configuration, but it is not a replicated replacement for the main trial and cannot establish a general position effect.</w:t>
      </w:r>
    </w:p>
    <w:p w14:paraId="264A6293" w14:textId="21BF9638" w:rsidR="009C6330" w:rsidRPr="00BB0B41" w:rsidRDefault="00096756">
      <w:pPr>
        <w:pStyle w:val="MDPI31text"/>
        <w:spacing w:line="240" w:lineRule="auto"/>
      </w:pPr>
      <w:r>
        <w:t>In this verification trial, in-bag temperatures approached the chamber set point more closely than in the main trial but still did not reach 50 °C. Maximum temperatures were 48.8 °C for V26 top before it stopped at day 4.35, 47.7 °C for V62 top, 45.0 °C for V27 bottom and 47.6 °C for V64 bottom (Figures 6B and 7B). From days 14-15, the remaining top sensor averaged 47.62 °C and the two bottom sensors averaged about 46.26 °C. Compared with the main nominal 50 °C trial, the verification trial was approximately 13.4 °C warmer at the top position and 20.2 °C warmer at the bottom position late in the record. This discrepancy is consistent with differences in chamber performance, loading, airflow, scale, geometry or sensor location, but the available records do not identify which factor was responsible.</w:t>
      </w:r>
    </w:p>
    <w:p w14:paraId="0EB473D4" w14:textId="77777777" w:rsidR="009C6330" w:rsidRPr="00BB0B41" w:rsidRDefault="00096756">
      <w:pPr>
        <w:pStyle w:val="MDPI52figure"/>
      </w:pPr>
      <w:r w:rsidRPr="00BB0B41">
        <w:rPr>
          <w:noProof/>
        </w:rPr>
      </w:r>
    </w:p>
    <w:p w14:paraId="3BCC3800" w14:textId="77777777" w:rsidR="009C6330" w:rsidRPr="00BB0B41" w:rsidRDefault="00096756">
      <w:pPr>
        <w:pStyle w:val="MDPI51figurecaption"/>
        <w:spacing w:line="240" w:lineRule="auto"/>
        <w:ind w:left="0"/>
        <w:jc w:val="center"/>
      </w:pPr>
      <w:r>
        <w:t>Figure 6. Temperature recorded inside bags in the two trials run under a nominal 50 °C chamber set point. (A) Main trial, 20 days: units stabilised at about 34 °C at the top of the stacks and 26 °C at the bottom; the nominal 19 °C reference chamber is shown in grey. (B) Verification trial, 15 days: individual sensors reached 45.0-48.8 °C, and no in-bag sensor reached 50 °C; V26 stopped on day 4.35. In panel A, solid lines are means across units and shaded bands are ± 1 SD. In panel B, lines are individual sensors. The dashed horizontal line marks the nominal chamber set point.</w:t>
      </w:r>
    </w:p>
    <w:p w14:paraId="248D2361" w14:textId="5AC5CF72" w:rsidR="009C6330" w:rsidRPr="00BB0B41" w:rsidRDefault="00096756" w:rsidP="00FA0DF4">
      <w:pPr>
        <w:pStyle w:val="MDPI31text"/>
        <w:spacing w:line="240" w:lineRule="auto"/>
        <w:ind w:left="0" w:firstLine="0"/>
      </w:pPr>
      <w:r>
        <w:t>The pressure response in the verification trial was small and transient (Figure 7A). Referred to each sensor's first valid pressure, internal pressure rose by 9.6-26.5 mbar early in the record. The traces then declined, showed a common negative excursion near day 6, and returned towards near-baseline values later in the record while the wine was held at about 45-48 °C. This observation is consistent with a compliant container in which thermal expansion is partly accommodated by deformation of the flexible film rather than by sustained pressurisation. Because the verification trial used one stack and one configuration, it should be read as supporting evidence for that stack only. It does not show that temperature cannot affect BiB pressure under other configurations.</w:t>
      </w:r>
    </w:p>
    <w:p w14:paraId="55930FBC" w14:textId="77777777" w:rsidR="009C6330" w:rsidRPr="00BB0B41" w:rsidRDefault="00096756" w:rsidP="00FA0DF4">
      <w:pPr>
        <w:pStyle w:val="MDPI31text"/>
        <w:spacing w:line="240" w:lineRule="auto"/>
        <w:ind w:left="0" w:firstLine="0"/>
      </w:pPr>
      <w:r>
        <w:t>One feature of Figure 7A deserves comment. The four traces move together, and the excursion around day 6 appears simultaneously in every sensor at both positions. Because the transducer measures absolute pressure, each record may include common environmental pressure components as well as pressure changes developed inside the bag. Without a barometric reference sensor, this common component cannot be separated from package-related pressure. The same caution applies to the slow drift visible in Figure 3, and future work should include a barometric reference sensor.</w:t>
      </w:r>
    </w:p>
    <w:p w14:paraId="05CF94CA" w14:textId="77777777" w:rsidR="009C6330" w:rsidRPr="00BB0B41" w:rsidRDefault="00096756">
      <w:pPr>
        <w:pStyle w:val="MDPI52figure"/>
      </w:pPr>
      <w:r w:rsidRPr="00BB0B41">
        <w:rPr>
          <w:noProof/>
        </w:rPr>
      </w:r>
    </w:p>
    <w:p w14:paraId="078BB5AB" w14:textId="77777777" w:rsidR="009C6330" w:rsidRPr="00BB0B41" w:rsidRDefault="00096756">
      <w:pPr>
        <w:pStyle w:val="MDPI51figurecaption"/>
        <w:spacing w:line="240" w:lineRule="auto"/>
        <w:ind w:left="0"/>
        <w:jc w:val="center"/>
      </w:pPr>
      <w:r>
        <w:t>Figure 7. Verification trial under a nominal 50 °C chamber set point: internal pressure referred to each sensor's first valid pressure (A) and temperature (B), logged every minute over 15 days in a single three-box stack. Each sensor is drawn separately and identified by position; V26 ceased to transmit on day 4.35. Pressure peaks ranged from 9.6 to 26.5 mbar. No in-bag sensor reached 50 °C. The simultaneous negative excursion near day 6, common to all sensors, indicates a common-mode component; possible ambient barometric variation cannot be separated because no barometric reference sensor was logged.</w:t>
      </w:r>
    </w:p>
    <w:p w14:paraId="15C52203" w14:textId="77777777" w:rsidR="009C6330" w:rsidRPr="00BB0B41" w:rsidRDefault="00096756">
      <w:pPr>
        <w:pStyle w:val="MDPI22heading2"/>
        <w:ind w:left="0"/>
      </w:pPr>
      <w:r w:rsidRPr="00BB0B41">
        <w:t>3.4 Limitations and future perspectives</w:t>
      </w:r>
    </w:p>
    <w:p w14:paraId="46B68C1B" w14:textId="77777777" w:rsidR="009C6330" w:rsidRPr="00BB0B41" w:rsidRDefault="00096756">
      <w:pPr>
        <w:pStyle w:val="MDPI31text"/>
      </w:pPr>
      <w:r>
        <w:t>This work was a preliminary, single-wine and single-format assessment, and its scope limits generalisation. The commercial wine's grape variety and vintage were unavailable. Only one BiB format was tested. Chemical analyses were grouped by nominal chamber condition and were not resolved by stack position, so the pressure and chemical datasets cannot be directly linked. Raw chemical replicate values were not retained in the available study records. No microbiological measurements, viable cell counts, sensory analysis or post-transport storage follow-up were performed; therefore malolactic or other microbial contributions cannot be excluded and the consequences of lower SO2 reserve remain potential implications rather than measured outcomes.</w:t>
      </w:r>
    </w:p>
    <w:p w14:paraId="46B68C1B" w14:textId="77777777" w:rsidR="009C6330" w:rsidRPr="00BB0B41" w:rsidRDefault="00096756">
      <w:pPr>
        <w:pStyle w:val="MDPI31text"/>
      </w:pPr>
      <w:r>
        <w:t>The most important design limitation is the thermal mismatch in the main trial. The chamber nominally set to 50 °C produced actual late in-bag temperatures of 34.18 ± 0.36 °C at top sensors and 26.08 ± 0.23 °C at bottom sensors, with a persistent top-bottom gradient, so the 20-day comparison was not the intended 19 °C versus 50 °C wine exposure. Chamber model, volume, fan power, airflow and pallet occupancy were not recorded, preventing a definitive diagnosis of the thermal lag. There was also only one chamber per nominal set point, so chamber identity and nominal condition are confounded.</w:t>
      </w:r>
    </w:p>
    <w:p w14:paraId="46B68C1B" w14:textId="77777777" w:rsidR="009C6330" w:rsidRPr="00BB0B41" w:rsidRDefault="00096756">
      <w:pPr>
        <w:pStyle w:val="MDPI31text"/>
      </w:pPr>
      <w:r>
        <w:t>The pressure analysis is limited by eleven usable traces, one missing bottom-position sensor, an unbalanced cell of n = 2, possible within-stack pairing of top and bottom observations, and a narrow stack-height range in which height was not independently replicated. The available raw workbook contains the pressure/temperature trajectories, but it does not retain stack IDs or sensor-to-stack pairings for a paired stack-level analysis. The first five hours were excluded from the primary storage analysis because they contained transport and stacking events. Sensitivity analysis showed that including this window did not change the pressure-peak endpoint. However, early transients may still be relevant to some logistics scenarios, and the available early workbook block contains duplicated rows. The verification trial approached higher in-bag temperatures than the main trial, but it used a single three-box stack for 15 days, one sensor stopped at day 4.35, and no sensor reached 50 °C. Finally, this study did not include a techno-economic analysis of sensor deployment, so monitoring recommendations should be understood as sentinel, validation or quality-control uses rather than universal instrumentation of every commercial package.</w:t>
      </w:r>
    </w:p>
    <w:p w14:paraId="46B68C1B" w14:textId="77777777" w:rsidR="009C6330" w:rsidRPr="00BB0B41" w:rsidRDefault="00096756">
      <w:pPr>
        <w:pStyle w:val="MDPI31text"/>
      </w:pPr>
      <w:r>
        <w:t>Despite these limitations, the study illustrates why direct package-level measurement matters: chamber set points did not predict the realised wine temperature in the main trial, and the sensor-level pressure summaries differed by package position under the tested stacking configuration. Future studies should include replicated chambers, chamber-air and barometric reference logging, full release of original logger files, position-resolved chemical sampling, microbiological assays, realistic fluctuating temperature and vibration profiles, broader stack heights and formats, and cost-benefit evaluation of sentinel sensing strategies.</w:t>
      </w:r>
    </w:p>
    <w:p w14:paraId="6429B86E" w14:textId="77777777" w:rsidR="009C6330" w:rsidRPr="00BB0B41" w:rsidRDefault="00096756">
      <w:pPr>
        <w:pStyle w:val="MDPI21heading1"/>
        <w:ind w:left="2040" w:firstLine="510"/>
      </w:pPr>
      <w:r w:rsidRPr="00BB0B41">
        <w:t>4. Conclusions</w:t>
      </w:r>
    </w:p>
    <w:p w14:paraId="2F953EE3" w14:textId="77777777" w:rsidR="009C6330" w:rsidRPr="00BB0B41" w:rsidRDefault="00096756">
      <w:pPr>
        <w:pStyle w:val="MDPI31text"/>
        <w:spacing w:line="240" w:lineRule="auto"/>
        <w:ind w:left="2550" w:firstLine="510"/>
      </w:pPr>
      <w:r>
        <w:t>This study monitored pressure and temperature inside 3-L Bag-in-Box wine units during a simulated export period and showed that nominal chamber settings did not necessarily represent the temperature experienced by the wine. In the main trial, the chamber nominally set to 50 °C produced late in-bag temperatures of 34.18 ± 0.36 °C at the top of the stacks and 26.08 ± 0.23 °C at the bottom, while the reference chamber packages were about 23 °C. This mismatch changes the interpretation of the experiment: the main trial supports conclusions about the realised nominal chamber conditions and measured package temperatures, not about a 20-day exposure of wine to 50 °C.</w:t>
      </w:r>
    </w:p>
    <w:p w14:paraId="0B9A45A9" w14:textId="77777777" w:rsidR="009C6330" w:rsidRPr="00BB0B41" w:rsidRDefault="00096756">
      <w:pPr>
        <w:pStyle w:val="MDPI31text"/>
        <w:spacing w:line="240" w:lineRule="auto"/>
        <w:ind w:left="2550"/>
      </w:pPr>
      <w:r>
        <w:t>For pressure, bottom-position BiBs had a larger mean peak ΔP than top-position BiBs under the tested stacking configuration, with an adjusted difference of 20.4 mbar in the exploratory sensor-level analysis (F(1,8) = 9.14; p = 0.017). Individual post-handling peaks occurred between about days 3.5 and 5.8. The top-bottom difference was mainly observed during this pressurisation phase and became smaller later in storage. Including the first five hours did not change the peak-pressure endpoint. No statistically detectable nominal chamber-condition effect was observed in this small dataset, and by day 20 neither sensor-level factor was statistically detectable. Because the analysis is sensor-level and the chamber design was not replicated, this result should be interpreted as exploratory. The experiment does not provide a separate, well-powered test of stack height.</w:t>
      </w:r>
    </w:p>
    <w:p w14:paraId="386F2AE7" w14:textId="77777777" w:rsidR="009C6330" w:rsidRPr="00BB0B41" w:rsidRDefault="00096756">
      <w:pPr>
        <w:pStyle w:val="MDPI31text"/>
        <w:spacing w:line="240" w:lineRule="auto"/>
        <w:ind w:left="2550"/>
      </w:pPr>
      <w:r>
        <w:t>For chemistry, wine from the nominally warmer chamber showed lower free and total SO₂, higher volatile acidity and a numerically higher lactic-acid value, while pH, ethanol, titratable acidity and total phenols did not differ significantly. Because the wine did not reach 50 °C in the main trial and chemical sampling was not position-resolved, these results should be interpreted as bulk compositional differences associated with the nominally warmer chamber condition. The lower SO₂ values may indicate reduced reserve available for later storage, but actual shelf life and sensory quality after transport were not measured. The verification trial, in which one three-box stack reached 45.0-48.8 °C across sensors without reaching 50 °C, showed no sustained pressure increase beyond transient changes of 9.6-26.5 mbar. Practical monitoring should therefore focus on selected sentinel packages or validation deployments that record actual in-package conditions and mechanically stressed positions, while economic feasibility and deployment density remain topics for future work.</w:t>
      </w:r>
    </w:p>
    <w:p w14:paraId="1BCDB6D6" w14:textId="77777777" w:rsidR="009C6330" w:rsidRPr="00BB0B41" w:rsidRDefault="009C6330">
      <w:pPr>
        <w:pStyle w:val="MDPI62backmatter"/>
        <w:rPr>
          <w:b/>
        </w:rPr>
      </w:pPr>
    </w:p>
    <w:p w14:paraId="3DEBFE31" w14:textId="77777777" w:rsidR="009C6330" w:rsidRPr="00BB0B41" w:rsidRDefault="00096756">
      <w:pPr>
        <w:pStyle w:val="MDPI62backmatter"/>
      </w:pPr>
      <w:r w:rsidRPr="00BB0B41">
        <w:rPr>
          <w:b/>
        </w:rPr>
        <w:t>Author Contributions:</w:t>
      </w:r>
      <w:r w:rsidRPr="00BB0B41">
        <w:t xml:space="preserve"> For research articles with several authors, a short paragraph specifying their individual contributions must be provided. The following statements should be used “Conceptualization, M.M., F.P., P.G.V.,  and A.Z.; methodology, B.C., and N.M.; software, B.C. and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 </w:t>
      </w:r>
    </w:p>
    <w:p w14:paraId="21837E76" w14:textId="77777777" w:rsidR="009C6330" w:rsidRPr="00BB0B41" w:rsidRDefault="00096756">
      <w:pPr>
        <w:pStyle w:val="MDPI62backmatter"/>
      </w:pPr>
      <w:r w:rsidRPr="00BB0B41">
        <w:t xml:space="preserve">All authors have read and agreed to the published version of the manuscript.” Please turn to the </w:t>
      </w:r>
      <w:hyperlink r:id="rId16">
        <w:r w:rsidRPr="00BB0B41">
          <w:rPr>
            <w:rStyle w:val="Hyperlink"/>
          </w:rPr>
          <w:t>CRediT taxonomy</w:t>
        </w:r>
      </w:hyperlink>
      <w:r w:rsidRPr="00BB0B41">
        <w:t xml:space="preserve"> for the term explanation. Authorship must be limited to those who have contributed substantially to the work reported.</w:t>
      </w:r>
    </w:p>
    <w:p w14:paraId="4C97347B" w14:textId="77777777" w:rsidR="009C6330" w:rsidRPr="00BB0B41" w:rsidRDefault="00096756">
      <w:pPr>
        <w:pStyle w:val="MDPI62backmatter"/>
        <w:rPr>
          <w:rFonts w:eastAsiaTheme="minorEastAsia"/>
          <w:lang w:eastAsia="zh-CN"/>
        </w:rPr>
      </w:pPr>
      <w:r w:rsidRPr="00BB0B41">
        <w:rPr>
          <w:b/>
        </w:rPr>
        <w:t>Funding:</w:t>
      </w:r>
      <w:r w:rsidRPr="00BB0B41">
        <w:t xml:space="preserve"> This research was funded by TRACEWINDU (Traceability at wine industry through inte- 402 grated labelling of typicality, health protection effect and organoleptic attributes), project co- 403 founded by Horizon 2020 Framework Programme of European Union under the Grant Agreement 404 no 101007979 running from 1 June 2021 to 31 May 2025.</w:t>
      </w:r>
    </w:p>
    <w:p w14:paraId="5FC534B0" w14:textId="77777777" w:rsidR="009C6330" w:rsidRPr="00BB0B41" w:rsidRDefault="00096756">
      <w:pPr>
        <w:pStyle w:val="MDPI62backmatter"/>
      </w:pPr>
      <w:bookmarkStart w:id="0" w:name="_Hlk89945590"/>
      <w:r w:rsidRPr="00BB0B41">
        <w:rPr>
          <w:b/>
        </w:rPr>
        <w:t xml:space="preserve">Institutional Review Board Statement: </w:t>
      </w:r>
      <w:bookmarkEnd w:id="0"/>
      <w:r w:rsidRPr="00BB0B41">
        <w:t>Not applicable.</w:t>
      </w:r>
    </w:p>
    <w:p w14:paraId="2B833442" w14:textId="77777777" w:rsidR="009C6330" w:rsidRPr="00BB0B41" w:rsidRDefault="00096756">
      <w:pPr>
        <w:pStyle w:val="MDPI62backmatter"/>
      </w:pPr>
      <w:r w:rsidRPr="00BB0B41">
        <w:rPr>
          <w:b/>
        </w:rPr>
        <w:t xml:space="preserve">Informed Consent Statement: </w:t>
      </w:r>
      <w:r w:rsidRPr="00BB0B41">
        <w:t>Not applicable.</w:t>
      </w:r>
      <w:bookmarkStart w:id="1" w:name="_Hlk60054323"/>
      <w:bookmarkEnd w:id="1"/>
    </w:p>
    <w:p w14:paraId="6378862A" w14:textId="77777777" w:rsidR="009C6330" w:rsidRPr="00BB0B41" w:rsidRDefault="00096756">
      <w:pPr>
        <w:pStyle w:val="MDPI62backmatter"/>
      </w:pPr>
      <w:r>
        <w:t>Data Availability Statement: The data supporting the pressure and temperature analyses are available in the main-trial pressure/temperature workbook (Results.xlsx), the verification-trial workbook (Stack testing high temperature.xlsx), the verification CSV export, final figures, analysis scripts and derived analysis summaries. Raw chemical replicate values, microbiological data, sensory data, shelf-life follow-up and chamber-control metadata were not retained in the available study records and are available only if held separately by the corresponding author.</w:t>
      </w:r>
    </w:p>
    <w:p w14:paraId="21BFF052" w14:textId="77777777" w:rsidR="009C6330" w:rsidRPr="00BB0B41" w:rsidRDefault="00096756">
      <w:pPr>
        <w:pStyle w:val="MDPI62backmatter"/>
      </w:pPr>
      <w:r w:rsidRPr="00BB0B41">
        <w:rPr>
          <w:b/>
        </w:rPr>
        <w:t>Conflicts of Interest:</w:t>
      </w:r>
      <w:r w:rsidRPr="00BB0B41">
        <w:t xml:space="preserve"> </w:t>
      </w:r>
      <w:bookmarkStart w:id="2" w:name="RefSection"/>
      <w:r w:rsidRPr="00BB0B41">
        <w:t>The authors declare no conflicts of interest.</w:t>
      </w:r>
    </w:p>
    <w:p w14:paraId="5B734551" w14:textId="77777777" w:rsidR="009C6330" w:rsidRPr="00BB0B41" w:rsidRDefault="009C6330">
      <w:pPr>
        <w:pStyle w:val="MDPI21heading1"/>
        <w:ind w:left="0"/>
      </w:pPr>
    </w:p>
    <w:p w14:paraId="703711DC" w14:textId="77777777" w:rsidR="009C6330" w:rsidRPr="00BB0B41" w:rsidRDefault="00096756">
      <w:pPr>
        <w:pStyle w:val="MDPI21heading1"/>
        <w:ind w:left="0"/>
      </w:pPr>
      <w:r w:rsidRPr="00BB0B41">
        <w:t>Reference</w:t>
      </w:r>
      <w:bookmarkEnd w:id="2"/>
      <w:r w:rsidRPr="00BB0B41">
        <w:t>s</w:t>
      </w:r>
    </w:p>
    <w:p w14:paraId="0BB5122C" w14:textId="77777777" w:rsidR="009C6330" w:rsidRPr="00BB0B41" w:rsidRDefault="00096756">
      <w:pPr>
        <w:pStyle w:val="Bibliography"/>
      </w:pPr>
      <w:r w:rsidRPr="00BB0B41"/>
      <w:r w:rsidRPr="00BB0B41"/>
      <w:r w:rsidRPr="00BB0B41"/>
      <w:r w:rsidRPr="00BB0B41">
        <w:t xml:space="preserve">1. </w:t>
      </w:r>
      <w:r w:rsidRPr="00BB0B41">
        <w:tab/>
        <w:t xml:space="preserve">Rui, M.; Rosa, F.; Viberti, A.; Brun, F.; Massaglia, S.; Blanc, S. Understanding Factors Associated with Interest in Sustainability-Certified Wine among American and Italian Consumers. </w:t>
      </w:r>
      <w:r w:rsidRPr="00BB0B41">
        <w:rPr>
          <w:i/>
          <w:iCs/>
        </w:rPr>
        <w:t>Foods</w:t>
      </w:r>
      <w:r w:rsidRPr="00BB0B41">
        <w:t xml:space="preserve"> </w:t>
      </w:r>
      <w:r w:rsidRPr="00BB0B41">
        <w:rPr>
          <w:b/>
          <w:bCs/>
        </w:rPr>
        <w:t>2024</w:t>
      </w:r>
      <w:r w:rsidRPr="00BB0B41">
        <w:t xml:space="preserve">, </w:t>
      </w:r>
      <w:r w:rsidRPr="00BB0B41">
        <w:rPr>
          <w:i/>
          <w:iCs/>
        </w:rPr>
        <w:t>13</w:t>
      </w:r>
      <w:r w:rsidRPr="00BB0B41">
        <w:t>, 1468, doi:10.3390/foods13101468.</w:t>
      </w:r>
    </w:p>
    <w:p w14:paraId="3C86CF2B" w14:textId="77777777" w:rsidR="009C6330" w:rsidRPr="00BB0B41" w:rsidRDefault="00096756">
      <w:pPr>
        <w:pStyle w:val="Bibliography"/>
      </w:pPr>
      <w:r w:rsidRPr="00BB0B41">
        <w:t xml:space="preserve">2. </w:t>
      </w:r>
      <w:r w:rsidRPr="00BB0B41">
        <w:tab/>
        <w:t xml:space="preserve">Valenzuela, L.; Ortega, R.; Moscovici, D.; Gow, J.; Alonso Ugaglia, A.; Mihailescu, R. Consumer Willingness to Pay for Sustainable Wine—The Chilean Case. </w:t>
      </w:r>
      <w:r w:rsidRPr="00BB0B41">
        <w:rPr>
          <w:i/>
          <w:iCs/>
        </w:rPr>
        <w:t>Sustainability</w:t>
      </w:r>
      <w:r w:rsidRPr="00BB0B41">
        <w:t xml:space="preserve"> </w:t>
      </w:r>
      <w:r w:rsidRPr="00BB0B41">
        <w:rPr>
          <w:b/>
          <w:bCs/>
        </w:rPr>
        <w:t>2022</w:t>
      </w:r>
      <w:r w:rsidRPr="00BB0B41">
        <w:t xml:space="preserve">, </w:t>
      </w:r>
      <w:r w:rsidRPr="00BB0B41">
        <w:rPr>
          <w:i/>
          <w:iCs/>
        </w:rPr>
        <w:t>14</w:t>
      </w:r>
      <w:r w:rsidRPr="00BB0B41">
        <w:t>, 10910, doi:10.3390/su141710910.</w:t>
      </w:r>
    </w:p>
    <w:p w14:paraId="1AC66C68" w14:textId="77777777" w:rsidR="009C6330" w:rsidRPr="00BB0B41" w:rsidRDefault="00096756">
      <w:pPr>
        <w:pStyle w:val="Bibliography"/>
      </w:pPr>
      <w:r w:rsidRPr="00BB0B41">
        <w:t xml:space="preserve">3. </w:t>
      </w:r>
      <w:r w:rsidRPr="00BB0B41">
        <w:tab/>
        <w:t xml:space="preserve">Work, H.H. </w:t>
      </w:r>
      <w:r w:rsidRPr="00BB0B41">
        <w:rPr>
          <w:i/>
          <w:iCs/>
        </w:rPr>
        <w:t>The Shape of Wine: Its Packaging Evolution</w:t>
      </w:r>
      <w:r w:rsidRPr="00BB0B41">
        <w:t>; 1st ed.; Routledge, 2018; ISBN 978-0-203-73263-2.</w:t>
      </w:r>
    </w:p>
    <w:p w14:paraId="493985B5" w14:textId="77777777" w:rsidR="009C6330" w:rsidRPr="00BB0B41" w:rsidRDefault="00096756">
      <w:pPr>
        <w:pStyle w:val="Bibliography"/>
      </w:pPr>
      <w:r w:rsidRPr="00BB0B41">
        <w:t xml:space="preserve">4. </w:t>
      </w:r>
      <w:r w:rsidRPr="00BB0B41">
        <w:tab/>
        <w:t xml:space="preserve">Thompson-Witrick, K.A.; Pitts, E.R.; Nemenyi, J.L.; Budner, D. The Impact Packaging Type Has on the Flavor of Wine. </w:t>
      </w:r>
      <w:r w:rsidRPr="00BB0B41">
        <w:rPr>
          <w:i/>
          <w:iCs/>
        </w:rPr>
        <w:t>Beverages</w:t>
      </w:r>
      <w:r w:rsidRPr="00BB0B41">
        <w:t xml:space="preserve"> </w:t>
      </w:r>
      <w:r w:rsidRPr="00BB0B41">
        <w:rPr>
          <w:b/>
          <w:bCs/>
        </w:rPr>
        <w:t>2021</w:t>
      </w:r>
      <w:r w:rsidRPr="00BB0B41">
        <w:t xml:space="preserve">, </w:t>
      </w:r>
      <w:r w:rsidRPr="00BB0B41">
        <w:rPr>
          <w:i/>
          <w:iCs/>
        </w:rPr>
        <w:t>7</w:t>
      </w:r>
      <w:r w:rsidRPr="00BB0B41">
        <w:t>, 36, doi:10.3390/beverages7020036.</w:t>
      </w:r>
    </w:p>
    <w:p w14:paraId="3ECB45DF" w14:textId="77777777" w:rsidR="009C6330" w:rsidRPr="00BB0B41" w:rsidRDefault="00096756">
      <w:pPr>
        <w:pStyle w:val="Bibliography"/>
      </w:pPr>
      <w:r w:rsidRPr="00BB0B41">
        <w:t xml:space="preserve">5. </w:t>
      </w:r>
      <w:r w:rsidRPr="00BB0B41">
        <w:tab/>
        <w:t xml:space="preserve">Mura, R.; Vicentini, F.; Botti, L.M.; Chiriacò, M.V. Achieving the Circular Economy through Environmental Policies: Packaging Strategies for More Sustainable Business Models in the Wine Industry. </w:t>
      </w:r>
      <w:r w:rsidRPr="00BB0B41">
        <w:rPr>
          <w:i/>
          <w:iCs/>
        </w:rPr>
        <w:t>Bus. Strategy Environ.</w:t>
      </w:r>
      <w:r w:rsidRPr="00BB0B41">
        <w:t xml:space="preserve"> </w:t>
      </w:r>
      <w:r w:rsidRPr="00BB0B41">
        <w:rPr>
          <w:b/>
          <w:bCs/>
        </w:rPr>
        <w:t>2024</w:t>
      </w:r>
      <w:r w:rsidRPr="00BB0B41">
        <w:t xml:space="preserve">, </w:t>
      </w:r>
      <w:r w:rsidRPr="00BB0B41">
        <w:rPr>
          <w:i/>
          <w:iCs/>
        </w:rPr>
        <w:t>33</w:t>
      </w:r>
      <w:r w:rsidRPr="00BB0B41">
        <w:t>, 1497–1514, doi:10.1002/bse.3556.</w:t>
      </w:r>
    </w:p>
    <w:p w14:paraId="1744630A" w14:textId="77777777" w:rsidR="009C6330" w:rsidRPr="00BB0B41" w:rsidRDefault="00096756">
      <w:pPr>
        <w:pStyle w:val="Bibliography"/>
      </w:pPr>
      <w:r w:rsidRPr="00BB0B41">
        <w:t>6.</w:t>
      </w:r>
      <w:r w:rsidRPr="00BB0B41">
        <w:tab/>
        <w:t xml:space="preserve">Scozzafava, G.; Dominici, A.; Canuti, V.; Casini, L.; Boncinelli, F. Beyond Bottles: Exploring Consumer Perceptions and Preferences for Bag-in-Box Wine Packaging. </w:t>
      </w:r>
      <w:r w:rsidRPr="00BB0B41">
        <w:rPr>
          <w:i/>
        </w:rPr>
        <w:t xml:space="preserve">Aust. J. Grape Wine Res. </w:t>
      </w:r>
      <w:r w:rsidRPr="00BB0B41">
        <w:rPr>
          <w:b/>
        </w:rPr>
        <w:t>2024</w:t>
      </w:r>
      <w:r w:rsidRPr="00BB0B41">
        <w:t xml:space="preserve">, </w:t>
      </w:r>
      <w:r w:rsidRPr="00BB0B41">
        <w:rPr>
          <w:i/>
        </w:rPr>
        <w:t>2024</w:t>
      </w:r>
      <w:r w:rsidRPr="00BB0B41">
        <w:t>, 9946341, doi:10.1155/ajgw/9946341.</w:t>
      </w:r>
    </w:p>
    <w:p w14:paraId="3598471B" w14:textId="77777777" w:rsidR="009C6330" w:rsidRPr="00BB0B41" w:rsidRDefault="00096756">
      <w:pPr>
        <w:pStyle w:val="Bibliography"/>
      </w:pPr>
      <w:r w:rsidRPr="00BB0B41">
        <w:t>7.</w:t>
      </w:r>
      <w:r w:rsidRPr="00BB0B41">
        <w:tab/>
        <w:t xml:space="preserve">Bichescu, C.; Stoica, D.; Ivan, A.; Stoica, M. Innovative Packaging for Wine. </w:t>
      </w:r>
      <w:r w:rsidRPr="00BB0B41">
        <w:rPr>
          <w:i/>
        </w:rPr>
        <w:t xml:space="preserve">ACROSS </w:t>
      </w:r>
      <w:r w:rsidRPr="00BB0B41">
        <w:rPr>
          <w:b/>
        </w:rPr>
        <w:t>2024</w:t>
      </w:r>
      <w:r w:rsidRPr="00BB0B41">
        <w:t xml:space="preserve">, </w:t>
      </w:r>
      <w:r w:rsidRPr="00BB0B41">
        <w:rPr>
          <w:i/>
        </w:rPr>
        <w:t>8</w:t>
      </w:r>
      <w:r w:rsidRPr="00BB0B41">
        <w:t>, 1–13.</w:t>
      </w:r>
    </w:p>
    <w:p w14:paraId="2DECB3CC" w14:textId="77777777" w:rsidR="009C6330" w:rsidRPr="00BB0B41" w:rsidRDefault="00096756">
      <w:pPr>
        <w:pStyle w:val="Bibliography"/>
      </w:pPr>
      <w:r w:rsidRPr="00BB0B41">
        <w:rPr>
          <w:lang w:val="en-GB"/>
        </w:rPr>
        <w:t xml:space="preserve">8. </w:t>
      </w:r>
      <w:r w:rsidRPr="00BB0B41">
        <w:rPr>
          <w:lang w:val="en-GB"/>
        </w:rPr>
        <w:tab/>
        <w:t xml:space="preserve">Ruggeri, G.; Mazzocchi, C.; Corsi, S.; Ranzenigo, B. No More Glass Bottles? </w:t>
      </w:r>
      <w:r w:rsidRPr="00BB0B41">
        <w:t xml:space="preserve">Canned Wine and Italian Consumers. </w:t>
      </w:r>
      <w:r w:rsidRPr="00BB0B41">
        <w:rPr>
          <w:i/>
          <w:iCs/>
        </w:rPr>
        <w:t>Foods</w:t>
      </w:r>
      <w:r w:rsidRPr="00BB0B41">
        <w:t xml:space="preserve"> </w:t>
      </w:r>
      <w:r w:rsidRPr="00BB0B41">
        <w:rPr>
          <w:b/>
          <w:bCs/>
        </w:rPr>
        <w:t>2022</w:t>
      </w:r>
      <w:r w:rsidRPr="00BB0B41">
        <w:t xml:space="preserve">, </w:t>
      </w:r>
      <w:r w:rsidRPr="00BB0B41">
        <w:rPr>
          <w:i/>
          <w:iCs/>
        </w:rPr>
        <w:t>11</w:t>
      </w:r>
      <w:r w:rsidRPr="00BB0B41">
        <w:t>, 1106, doi:10.3390/foods11081106.</w:t>
      </w:r>
    </w:p>
    <w:p w14:paraId="6CBA5C8B" w14:textId="77777777" w:rsidR="009C6330" w:rsidRPr="00BB0B41" w:rsidRDefault="00096756">
      <w:pPr>
        <w:pStyle w:val="Bibliography"/>
      </w:pPr>
      <w:r w:rsidRPr="00BB0B41">
        <w:t xml:space="preserve">9. </w:t>
      </w:r>
      <w:r w:rsidRPr="00BB0B41">
        <w:tab/>
        <w:t xml:space="preserve">Gonen, L.D.; Tavor, T.; Spiegel, U. Adapting and Thriving: Global Warming and the Wine Industry. </w:t>
      </w:r>
      <w:r w:rsidRPr="00BB0B41">
        <w:rPr>
          <w:i/>
          <w:iCs/>
        </w:rPr>
        <w:t>Sage Open</w:t>
      </w:r>
      <w:r w:rsidRPr="00BB0B41">
        <w:t xml:space="preserve"> </w:t>
      </w:r>
      <w:r w:rsidRPr="00BB0B41">
        <w:rPr>
          <w:b/>
          <w:bCs/>
        </w:rPr>
        <w:t>2024</w:t>
      </w:r>
      <w:r w:rsidRPr="00BB0B41">
        <w:t xml:space="preserve">, </w:t>
      </w:r>
      <w:r w:rsidRPr="00BB0B41">
        <w:rPr>
          <w:i/>
          <w:iCs/>
        </w:rPr>
        <w:t>14</w:t>
      </w:r>
      <w:r w:rsidRPr="00BB0B41">
        <w:t>, 21582440241227750, doi:10.1177/21582440241227750.</w:t>
      </w:r>
    </w:p>
    <w:p w14:paraId="447D2C9E" w14:textId="77777777" w:rsidR="009C6330" w:rsidRPr="00BB0B41" w:rsidRDefault="00096756">
      <w:pPr>
        <w:pStyle w:val="Bibliography"/>
      </w:pPr>
      <w:r w:rsidRPr="00BB0B41">
        <w:t xml:space="preserve">10. </w:t>
      </w:r>
      <w:r w:rsidRPr="00BB0B41">
        <w:tab/>
        <w:t xml:space="preserve">Gerini, F.; Dominici, A.; Casini, L. The Effects of the COVID-19 Pandemic on the Mass Market Retailing of Wine in Italy. </w:t>
      </w:r>
      <w:r w:rsidRPr="00BB0B41">
        <w:rPr>
          <w:i/>
          <w:iCs/>
        </w:rPr>
        <w:t>Foods</w:t>
      </w:r>
      <w:r w:rsidRPr="00BB0B41">
        <w:t xml:space="preserve"> </w:t>
      </w:r>
      <w:r w:rsidRPr="00BB0B41">
        <w:rPr>
          <w:b/>
          <w:bCs/>
        </w:rPr>
        <w:t>2021</w:t>
      </w:r>
      <w:r w:rsidRPr="00BB0B41">
        <w:t xml:space="preserve">, </w:t>
      </w:r>
      <w:r w:rsidRPr="00BB0B41">
        <w:rPr>
          <w:i/>
          <w:iCs/>
        </w:rPr>
        <w:t>10</w:t>
      </w:r>
      <w:r w:rsidRPr="00BB0B41">
        <w:t>, 2674, doi:10.3390/foods10112674.</w:t>
      </w:r>
    </w:p>
    <w:p w14:paraId="11258770" w14:textId="77777777" w:rsidR="009C6330" w:rsidRPr="00BB0B41" w:rsidRDefault="00096756">
      <w:pPr>
        <w:pStyle w:val="Bibliography"/>
      </w:pPr>
      <w:r w:rsidRPr="00BB0B41">
        <w:t xml:space="preserve">11. </w:t>
      </w:r>
      <w:r w:rsidRPr="00BB0B41">
        <w:tab/>
        <w:t xml:space="preserve">Versari, A.; Ricci, A.; Moreno, C.P.; Parpinello, G.P. Packaging of Wine in Aluminum Cans – A Review. </w:t>
      </w:r>
      <w:r w:rsidRPr="00BB0B41">
        <w:rPr>
          <w:i/>
          <w:iCs/>
        </w:rPr>
        <w:t>Am. J. Enol. Vitic.</w:t>
      </w:r>
      <w:r w:rsidRPr="00BB0B41">
        <w:t xml:space="preserve"> </w:t>
      </w:r>
      <w:r w:rsidRPr="00BB0B41">
        <w:rPr>
          <w:b/>
          <w:bCs/>
        </w:rPr>
        <w:t>2023</w:t>
      </w:r>
      <w:r w:rsidRPr="00BB0B41">
        <w:t xml:space="preserve">, </w:t>
      </w:r>
      <w:r w:rsidRPr="00BB0B41">
        <w:rPr>
          <w:i/>
          <w:iCs/>
        </w:rPr>
        <w:t>74</w:t>
      </w:r>
      <w:r w:rsidRPr="00BB0B41">
        <w:t>, 0740022, doi:10.5344/ajev.2023.22071.</w:t>
      </w:r>
    </w:p>
    <w:p w14:paraId="67C98596" w14:textId="77777777" w:rsidR="009C6330" w:rsidRPr="00BB0B41" w:rsidRDefault="00096756">
      <w:pPr>
        <w:pStyle w:val="Bibliography"/>
      </w:pPr>
      <w:r w:rsidRPr="00BB0B41">
        <w:t xml:space="preserve">12. </w:t>
      </w:r>
      <w:r w:rsidRPr="00BB0B41">
        <w:tab/>
        <w:t xml:space="preserve">Nesselhauf, L.; Deker, J.S.; Fleuchaus, R. Information and Involvement: The Influence on the Acceptance of Innovative Wine Packaging. </w:t>
      </w:r>
      <w:r w:rsidRPr="00BB0B41">
        <w:rPr>
          <w:i/>
          <w:iCs/>
        </w:rPr>
        <w:t>Int. J. Wine Bus. Res.</w:t>
      </w:r>
      <w:r w:rsidRPr="00BB0B41">
        <w:t xml:space="preserve"> </w:t>
      </w:r>
      <w:r w:rsidRPr="00BB0B41">
        <w:rPr>
          <w:b/>
          <w:bCs/>
        </w:rPr>
        <w:t>2017</w:t>
      </w:r>
      <w:r w:rsidRPr="00BB0B41">
        <w:t xml:space="preserve">, </w:t>
      </w:r>
      <w:r w:rsidRPr="00BB0B41">
        <w:rPr>
          <w:i/>
          <w:iCs/>
        </w:rPr>
        <w:t>29</w:t>
      </w:r>
      <w:r w:rsidRPr="00BB0B41">
        <w:t>, 285–298, doi:10.1108/IJWBR-08-2016-0026.</w:t>
      </w:r>
    </w:p>
    <w:p w14:paraId="3916CAA5" w14:textId="77777777" w:rsidR="009C6330" w:rsidRPr="00BB0B41" w:rsidRDefault="00096756">
      <w:pPr>
        <w:pStyle w:val="Bibliography"/>
      </w:pPr>
      <w:r w:rsidRPr="00BB0B41">
        <w:t xml:space="preserve">13. </w:t>
      </w:r>
      <w:r w:rsidRPr="00BB0B41">
        <w:tab/>
        <w:t xml:space="preserve">Ferrara, C.; Migliaro, V.; Ventura, F.; De Feo, G. An Economic and Environmental Analysis of Wine Packaging Systems in Italy: A Life Cycle (LC) Approach. </w:t>
      </w:r>
      <w:r w:rsidRPr="00BB0B41">
        <w:rPr>
          <w:i/>
          <w:iCs/>
        </w:rPr>
        <w:t>Sci. Total Environ.</w:t>
      </w:r>
      <w:r w:rsidRPr="00BB0B41">
        <w:t xml:space="preserve"> </w:t>
      </w:r>
      <w:r w:rsidRPr="00BB0B41">
        <w:rPr>
          <w:b/>
          <w:bCs/>
        </w:rPr>
        <w:t>2023</w:t>
      </w:r>
      <w:r w:rsidRPr="00BB0B41">
        <w:t xml:space="preserve">, </w:t>
      </w:r>
      <w:r w:rsidRPr="00BB0B41">
        <w:rPr>
          <w:i/>
          <w:iCs/>
        </w:rPr>
        <w:t>857</w:t>
      </w:r>
      <w:r w:rsidRPr="00BB0B41">
        <w:t>, 159323, doi:10.1016/j.scitotenv.2022.159323.</w:t>
      </w:r>
    </w:p>
    <w:p w14:paraId="3A68FF26" w14:textId="77777777" w:rsidR="009C6330" w:rsidRPr="00BB0B41" w:rsidRDefault="00096756">
      <w:pPr>
        <w:pStyle w:val="Bibliography"/>
      </w:pPr>
      <w:r w:rsidRPr="00BB0B41">
        <w:t>14.</w:t>
      </w:r>
      <w:r w:rsidRPr="00BB0B41">
        <w:tab/>
        <w:t xml:space="preserve">Mierczynska-Vasilev, A. The Future of Wine Packaging — A Perspective. </w:t>
      </w:r>
      <w:r w:rsidRPr="00BB0B41">
        <w:rPr>
          <w:i/>
        </w:rPr>
        <w:t xml:space="preserve">Sustain. Agric. Environ. </w:t>
      </w:r>
      <w:r w:rsidRPr="00BB0B41">
        <w:rPr>
          <w:b/>
        </w:rPr>
        <w:t>2024</w:t>
      </w:r>
      <w:r w:rsidRPr="00BB0B41">
        <w:t xml:space="preserve">, </w:t>
      </w:r>
      <w:r w:rsidRPr="00BB0B41">
        <w:rPr>
          <w:i/>
        </w:rPr>
        <w:t>1</w:t>
      </w:r>
      <w:r w:rsidRPr="00BB0B41">
        <w:t>, 3506, doi:10.1002/sae2.3506.</w:t>
      </w:r>
    </w:p>
    <w:p w14:paraId="69111B29" w14:textId="77777777" w:rsidR="009C6330" w:rsidRPr="00BB0B41" w:rsidRDefault="00096756">
      <w:pPr>
        <w:pStyle w:val="Bibliography"/>
      </w:pPr>
      <w:r w:rsidRPr="00BB0B41">
        <w:t xml:space="preserve">15. </w:t>
      </w:r>
      <w:r w:rsidRPr="00BB0B41">
        <w:tab/>
        <w:t xml:space="preserve">Tchouakeu Betnga, P.F.; Longo, E.; Poggesi, S.; Boselli, E. Effects of Transport Conditions on the Stability and Sensory Quality of Wines. </w:t>
      </w:r>
      <w:r w:rsidRPr="00BB0B41">
        <w:rPr>
          <w:i/>
          <w:iCs/>
        </w:rPr>
        <w:t>OENO One</w:t>
      </w:r>
      <w:r w:rsidRPr="00BB0B41">
        <w:t xml:space="preserve"> </w:t>
      </w:r>
      <w:r w:rsidRPr="00BB0B41">
        <w:rPr>
          <w:b/>
          <w:bCs/>
        </w:rPr>
        <w:t>2021</w:t>
      </w:r>
      <w:r w:rsidRPr="00BB0B41">
        <w:t xml:space="preserve">, </w:t>
      </w:r>
      <w:r w:rsidRPr="00BB0B41">
        <w:rPr>
          <w:i/>
          <w:iCs/>
        </w:rPr>
        <w:t>55</w:t>
      </w:r>
      <w:r w:rsidRPr="00BB0B41">
        <w:t>, doi:10.20870/oeno-one.2021.55.2.4524.</w:t>
      </w:r>
    </w:p>
    <w:p w14:paraId="504BE33D" w14:textId="77777777" w:rsidR="009C6330" w:rsidRPr="00BB0B41" w:rsidRDefault="00096756">
      <w:pPr>
        <w:pStyle w:val="Bibliography"/>
      </w:pPr>
      <w:r w:rsidRPr="00BB0B41">
        <w:t xml:space="preserve">16. </w:t>
      </w:r>
      <w:r w:rsidRPr="00BB0B41">
        <w:tab/>
        <w:t xml:space="preserve">Chung, H.-J.; Son, J.-H.; Park, E.-Y.; Kim, E.-J.; Lim, S.-T. Effect of Vibration and Storage on Some Physico-Chemical Properties of a Commercial Red Wine. </w:t>
      </w:r>
      <w:r w:rsidRPr="00BB0B41">
        <w:rPr>
          <w:i/>
          <w:iCs/>
        </w:rPr>
        <w:t>J. Food Compos. Anal.</w:t>
      </w:r>
      <w:r w:rsidRPr="00BB0B41">
        <w:t xml:space="preserve"> </w:t>
      </w:r>
      <w:r w:rsidRPr="00BB0B41">
        <w:rPr>
          <w:b/>
          <w:bCs/>
        </w:rPr>
        <w:t>2008</w:t>
      </w:r>
      <w:r w:rsidRPr="00BB0B41">
        <w:t xml:space="preserve">, </w:t>
      </w:r>
      <w:r w:rsidRPr="00BB0B41">
        <w:rPr>
          <w:i/>
          <w:iCs/>
        </w:rPr>
        <w:t>21</w:t>
      </w:r>
      <w:r w:rsidRPr="00BB0B41">
        <w:t>, 655–659, doi:10.1016/j.jfca.2008.07.004.</w:t>
      </w:r>
    </w:p>
    <w:p w14:paraId="0A5971DB" w14:textId="77777777" w:rsidR="009C6330" w:rsidRPr="00BB0B41" w:rsidRDefault="00096756">
      <w:pPr>
        <w:pStyle w:val="Bibliography"/>
      </w:pPr>
      <w:r w:rsidRPr="00BB0B41">
        <w:t xml:space="preserve">17. </w:t>
      </w:r>
      <w:r w:rsidRPr="00BB0B41">
        <w:tab/>
        <w:t xml:space="preserve">Ghidossi, R.; Poupot, C.; Thibon, C.; Pons, A.; Darriet, P.; Riquier, L.; De Revel, G.; Mietton Peuchot, M. The Influence of Packaging on Wine Conservation. </w:t>
      </w:r>
      <w:r w:rsidRPr="00BB0B41">
        <w:rPr>
          <w:i/>
          <w:iCs/>
        </w:rPr>
        <w:t>Food Control</w:t>
      </w:r>
      <w:r w:rsidRPr="00BB0B41">
        <w:t xml:space="preserve"> </w:t>
      </w:r>
      <w:r w:rsidRPr="00BB0B41">
        <w:rPr>
          <w:b/>
          <w:bCs/>
        </w:rPr>
        <w:t>2012</w:t>
      </w:r>
      <w:r w:rsidRPr="00BB0B41">
        <w:t xml:space="preserve">, </w:t>
      </w:r>
      <w:r w:rsidRPr="00BB0B41">
        <w:rPr>
          <w:i/>
          <w:iCs/>
        </w:rPr>
        <w:t>23</w:t>
      </w:r>
      <w:r w:rsidRPr="00BB0B41">
        <w:t>, 302–311, doi:10.1016/j.foodcont.2011.06.003.</w:t>
      </w:r>
    </w:p>
    <w:p w14:paraId="2471981B" w14:textId="77777777" w:rsidR="009C6330" w:rsidRPr="00BB0B41" w:rsidRDefault="00096756">
      <w:pPr>
        <w:pStyle w:val="Bibliography"/>
      </w:pPr>
      <w:r w:rsidRPr="00BB0B41">
        <w:t xml:space="preserve">18. </w:t>
      </w:r>
      <w:r w:rsidRPr="00BB0B41">
        <w:tab/>
        <w:t xml:space="preserve">Mercanti, N.; Macaluso, M.; Pieracci, Y.; Bertonelli, L.; Flamini, G.; Zinnai, A. Influence of Microbial Treatments on Vine Growth and Must Quality: Preliminary Results. </w:t>
      </w:r>
      <w:r w:rsidRPr="00BB0B41">
        <w:rPr>
          <w:i/>
          <w:iCs/>
        </w:rPr>
        <w:t>Plants</w:t>
      </w:r>
      <w:r w:rsidRPr="00BB0B41">
        <w:t xml:space="preserve"> </w:t>
      </w:r>
      <w:r w:rsidRPr="00BB0B41">
        <w:rPr>
          <w:b/>
          <w:bCs/>
        </w:rPr>
        <w:t>2024</w:t>
      </w:r>
      <w:r w:rsidRPr="00BB0B41">
        <w:t xml:space="preserve">, </w:t>
      </w:r>
      <w:r w:rsidRPr="00BB0B41">
        <w:rPr>
          <w:i/>
          <w:iCs/>
        </w:rPr>
        <w:t>13</w:t>
      </w:r>
      <w:r w:rsidRPr="00BB0B41">
        <w:t>, 3168, doi:10.3390/plants13223168.</w:t>
      </w:r>
    </w:p>
    <w:p w14:paraId="34E50A78" w14:textId="77777777" w:rsidR="009C6330" w:rsidRPr="00BB0B41" w:rsidRDefault="00096756">
      <w:pPr>
        <w:pStyle w:val="Bibliography"/>
      </w:pPr>
      <w:r w:rsidRPr="00BB0B41">
        <w:t xml:space="preserve">19. </w:t>
      </w:r>
      <w:r w:rsidRPr="00BB0B41">
        <w:tab/>
        <w:t xml:space="preserve">Mercanti, N.; Pieracci, Y.; Macaluso, M.; Fedel, M.; Brazzarola, F.; Palla, F.; Verdini, P.G.; Zinnai, A. Exploring Red Wine Aging: Comparative Analysis of Cellar and Sea Underwater Aging on Chemical Composition and Quality. </w:t>
      </w:r>
      <w:r w:rsidRPr="00BB0B41">
        <w:rPr>
          <w:i/>
          <w:iCs/>
        </w:rPr>
        <w:t>Foods</w:t>
      </w:r>
      <w:r w:rsidRPr="00BB0B41">
        <w:t xml:space="preserve"> </w:t>
      </w:r>
      <w:r w:rsidRPr="00BB0B41">
        <w:rPr>
          <w:b/>
          <w:bCs/>
        </w:rPr>
        <w:t>2024</w:t>
      </w:r>
      <w:r w:rsidRPr="00BB0B41">
        <w:t xml:space="preserve">, </w:t>
      </w:r>
      <w:r w:rsidRPr="00BB0B41">
        <w:rPr>
          <w:i/>
          <w:iCs/>
        </w:rPr>
        <w:t>13</w:t>
      </w:r>
      <w:r w:rsidRPr="00BB0B41">
        <w:t>, 1812, doi:10.3390/foods13121812.</w:t>
      </w:r>
    </w:p>
    <w:p w14:paraId="51CF5C15" w14:textId="77777777" w:rsidR="009C6330" w:rsidRPr="00BB0B41" w:rsidRDefault="00096756">
      <w:pPr>
        <w:pStyle w:val="Bibliography"/>
      </w:pPr>
      <w:r w:rsidRPr="00BB0B41">
        <w:t>20.</w:t>
      </w:r>
      <w:r w:rsidRPr="00BB0B41">
        <w:tab/>
        <w:t xml:space="preserve">Scrimgeour, N.; Nordestgaard, S.; Lloyd, N.D.R.; Wilkes, E.N. Exploring the Effect of Elevated Storage Temperature on Wine Composition. </w:t>
      </w:r>
      <w:r w:rsidRPr="00BB0B41">
        <w:rPr>
          <w:i/>
        </w:rPr>
        <w:t xml:space="preserve">Aust. J. Grape Wine Res. </w:t>
      </w:r>
      <w:r w:rsidRPr="00BB0B41">
        <w:rPr>
          <w:b/>
        </w:rPr>
        <w:t>2015</w:t>
      </w:r>
      <w:r w:rsidRPr="00BB0B41">
        <w:t xml:space="preserve">, </w:t>
      </w:r>
      <w:r w:rsidRPr="00BB0B41">
        <w:rPr>
          <w:i/>
        </w:rPr>
        <w:t>21</w:t>
      </w:r>
      <w:r w:rsidRPr="00BB0B41">
        <w:t>, 713–722, doi:10.1111/ajgw.12196.</w:t>
      </w:r>
    </w:p>
    <w:p w14:paraId="1B0C7E34" w14:textId="77777777" w:rsidR="009C6330" w:rsidRPr="00BB0B41" w:rsidRDefault="00096756">
      <w:pPr>
        <w:pStyle w:val="Bibliography"/>
      </w:pPr>
      <w:r w:rsidRPr="00BB0B41">
        <w:t>21.</w:t>
      </w:r>
      <w:r w:rsidRPr="00BB0B41">
        <w:tab/>
        <w:t xml:space="preserve">Hopfer, H.; Buffon, P.A.; Ebeler, S.E.; Heymann, H. The Combined Effects of Storage Temperature and Packaging on the Sensory, Chemical, and Physical Properties of a Cabernet Sauvignon Wine. </w:t>
      </w:r>
      <w:r w:rsidRPr="00BB0B41">
        <w:rPr>
          <w:i/>
        </w:rPr>
        <w:t xml:space="preserve">J. Agric. Food Chem. </w:t>
      </w:r>
      <w:r w:rsidRPr="00BB0B41">
        <w:rPr>
          <w:b/>
        </w:rPr>
        <w:t>2013</w:t>
      </w:r>
      <w:r w:rsidRPr="00BB0B41">
        <w:t xml:space="preserve">, </w:t>
      </w:r>
      <w:r w:rsidRPr="00BB0B41">
        <w:rPr>
          <w:i/>
        </w:rPr>
        <w:t>61</w:t>
      </w:r>
      <w:r w:rsidRPr="00BB0B41">
        <w:t>, 3320–3334, doi:10.1021/jf3051736.</w:t>
      </w:r>
    </w:p>
    <w:p w14:paraId="49524BEF" w14:textId="77777777" w:rsidR="009C6330" w:rsidRPr="00BB0B41" w:rsidRDefault="00096756">
      <w:pPr>
        <w:pStyle w:val="Bibliography"/>
      </w:pPr>
      <w:r w:rsidRPr="00BB0B41">
        <w:t xml:space="preserve">22. </w:t>
        <w:tab/>
        <w:t>Malherbe, S.; Bauer, F.F.; Du Toit, M. Understanding Problem Fermentations - A Review. South Afr. J. Enol. Vitic. 2007, 28, 169-186, doi:10.21548/28-2-1471.</w:t>
      </w:r>
      <w:r w:rsidRPr="00BB0B41"/>
      <w:r w:rsidRPr="00BB0B41">
        <w:rPr>
          <w:i/>
          <w:iCs/>
        </w:rPr>
      </w:r>
      <w:r w:rsidRPr="00BB0B41"/>
      <w:r w:rsidRPr="00BB0B41">
        <w:rPr>
          <w:b/>
          <w:bCs/>
        </w:rPr>
      </w:r>
      <w:r w:rsidRPr="00BB0B41"/>
      <w:r w:rsidRPr="00BB0B41">
        <w:rPr>
          <w:i/>
          <w:iCs/>
        </w:rPr>
      </w:r>
      <w:r w:rsidRPr="00BB0B41"/>
    </w:p>
    <w:p w14:paraId="7537EEC1" w14:textId="77777777" w:rsidR="009C6330" w:rsidRPr="00BB0B41" w:rsidRDefault="00096756">
      <w:pPr>
        <w:pStyle w:val="Bibliography"/>
      </w:pPr>
      <w:r w:rsidRPr="00BB0B41">
        <w:t xml:space="preserve">23. </w:t>
      </w:r>
      <w:r w:rsidRPr="00BB0B41">
        <w:tab/>
        <w:t xml:space="preserve">Kulhankova, M.; Prusova, B.; Baron, M. Study of Oxygen in Wines with Different Proportions of Yeast Lees. </w:t>
      </w:r>
      <w:r w:rsidRPr="00BB0B41">
        <w:rPr>
          <w:i/>
          <w:iCs/>
        </w:rPr>
        <w:t>Ital. J. Food Sci.</w:t>
      </w:r>
      <w:r w:rsidRPr="00BB0B41">
        <w:t xml:space="preserve"> </w:t>
      </w:r>
      <w:r w:rsidRPr="00BB0B41">
        <w:rPr>
          <w:b/>
          <w:bCs/>
        </w:rPr>
        <w:t>2024</w:t>
      </w:r>
      <w:r w:rsidRPr="00BB0B41">
        <w:t xml:space="preserve">, </w:t>
      </w:r>
      <w:r w:rsidRPr="00BB0B41">
        <w:rPr>
          <w:i/>
          <w:iCs/>
        </w:rPr>
        <w:t>36</w:t>
      </w:r>
      <w:r w:rsidRPr="00BB0B41">
        <w:t>, 44–52, doi:10.15586/ijfs.v36i1.2313.</w:t>
      </w:r>
    </w:p>
    <w:p w14:paraId="7DCF67A2" w14:textId="77777777" w:rsidR="009C6330" w:rsidRPr="00BB0B41" w:rsidRDefault="00096756">
      <w:pPr>
        <w:pStyle w:val="Bibliography"/>
      </w:pPr>
      <w:r w:rsidRPr="00BB0B41">
        <w:t>24.</w:t>
      </w:r>
      <w:r w:rsidRPr="00BB0B41">
        <w:tab/>
        <w:t>TE Connectivity. MS5803-05BA Miniature Altimeter and Diving Module — Data Sheet;  TE Connectivity: Schaffhausen, Switzerland, 2017.</w:t>
      </w:r>
    </w:p>
    <w:p w14:paraId="18C7A611" w14:textId="77777777" w:rsidR="009C6330" w:rsidRPr="00BB0B41" w:rsidRDefault="00096756">
      <w:pPr>
        <w:pStyle w:val="Bibliography"/>
      </w:pPr>
      <w:r w:rsidRPr="00BB0B41">
        <w:t>25.</w:t>
      </w:r>
      <w:r w:rsidRPr="00BB0B41">
        <w:tab/>
        <w:t>Adafruit Industries. ESP-M2 Board (ESP8285) — Product Documentation.  Available online: https://www.adafruit.com (accessed on 15 July 2026).</w:t>
      </w:r>
    </w:p>
    <w:p w14:paraId="3E3AA986" w14:textId="77777777" w:rsidR="009C6330" w:rsidRPr="00BB0B41" w:rsidRDefault="00096756">
      <w:pPr>
        <w:pStyle w:val="Bibliography"/>
      </w:pPr>
      <w:r w:rsidRPr="00BB0B41">
        <w:t>26.</w:t>
      </w:r>
      <w:r w:rsidRPr="00BB0B41">
        <w:tab/>
        <w:t xml:space="preserve">Montgomery, D.C. </w:t>
      </w:r>
      <w:r w:rsidRPr="00BB0B41">
        <w:rPr>
          <w:i/>
        </w:rPr>
        <w:t>Design and Analysis of Experiments</w:t>
      </w:r>
      <w:r w:rsidRPr="00BB0B41">
        <w:t>, 10th ed.; Wiley: Hoboken, NJ, USA, 2019; ISBN 978-1-119-49244-3.</w:t>
      </w:r>
    </w:p>
    <w:p w14:paraId="6B86613A" w14:textId="77777777" w:rsidR="009C6330" w:rsidRPr="00BB0B41" w:rsidRDefault="00096756">
      <w:pPr>
        <w:pStyle w:val="Bibliography"/>
      </w:pPr>
      <w:r w:rsidRPr="00BB0B41">
        <w:t>27.</w:t>
      </w:r>
      <w:r w:rsidRPr="00BB0B41">
        <w:tab/>
        <w:t xml:space="preserve">Langsrud, Ø. ANOVA for Unbalanced Data: Use Type II Instead of Type III Sums of Squares. </w:t>
      </w:r>
      <w:r w:rsidRPr="00BB0B41">
        <w:rPr>
          <w:i/>
        </w:rPr>
        <w:t>Stat. Comput.</w:t>
      </w:r>
      <w:r w:rsidRPr="00BB0B41">
        <w:t xml:space="preserve"> 2003, 13, 163–167, doi:10.1023/A:1023260610025.</w:t>
      </w:r>
    </w:p>
    <w:p w14:paraId="1D4CEF53" w14:textId="77777777" w:rsidR="009C6330" w:rsidRPr="00BB0B41" w:rsidRDefault="00096756">
      <w:pPr>
        <w:pStyle w:val="Bibliography"/>
      </w:pPr>
      <w:r w:rsidRPr="00BB0B41">
        <w:t>28.</w:t>
      </w:r>
      <w:r w:rsidRPr="00BB0B41">
        <w:tab/>
        <w:t xml:space="preserve">Seabold, S.; Perktold, J. Statsmodels: Econometric and Statistical Modeling with Python. In </w:t>
      </w:r>
      <w:r w:rsidRPr="00BB0B41">
        <w:rPr>
          <w:i/>
        </w:rPr>
        <w:t>Proceedings of the 9th Python in Science Conference</w:t>
      </w:r>
      <w:r w:rsidRPr="00BB0B41">
        <w:t>; Austin, TX, USA, 2010; pp. 92–96, doi:10.25080/Majora-92bf1922-011.</w:t>
      </w:r>
    </w:p>
    <w:p w14:paraId="2B86035E" w14:textId="77777777" w:rsidR="009C6330" w:rsidRPr="00BB0B41" w:rsidRDefault="00096756">
      <w:pPr>
        <w:pStyle w:val="MDPI21heading1"/>
        <w:ind w:left="0"/>
      </w:pPr>
      <w:r w:rsidRPr="00BB0B41"/>
    </w:p>
    <w:p w14:paraId="4F3BFA2D" w14:textId="77777777" w:rsidR="009C6330" w:rsidRDefault="00096756">
      <w:pPr>
        <w:pStyle w:val="MDPI63notes"/>
      </w:pPr>
      <w:r w:rsidRPr="00BB0B41">
        <w:rPr>
          <w:b/>
        </w:rPr>
        <w:t>Disclaimer/Publisher’s Note:</w:t>
      </w:r>
      <w:r w:rsidRPr="00BB0B4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C6330">
      <w:headerReference w:type="default" r:id="rId17"/>
      <w:footerReference w:type="default" r:id="rId18"/>
      <w:headerReference w:type="first" r:id="rId19"/>
      <w:footerReference w:type="first" r:id="rId20"/>
      <w:pgSz w:w="11906" w:h="16838"/>
      <w:pgMar w:top="1417" w:right="720" w:bottom="907" w:left="720" w:header="720" w:footer="612" w:gutter="0"/>
      <w:lnNumType w:countBy="1" w:distance="255" w:restart="continuous"/>
      <w:pgNumType w:start="1"/>
      <w:cols w:space="720"/>
      <w:formProt w:val="0"/>
      <w:titlePg/>
      <w:bidi/>
      <w:docGrid w:type="lines"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D62" w14:textId="77777777" w:rsidR="003B14B9" w:rsidRDefault="003B14B9">
      <w:pPr>
        <w:spacing w:line="240" w:lineRule="auto"/>
      </w:pPr>
      <w:r>
        <w:separator/>
      </w:r>
    </w:p>
  </w:endnote>
  <w:endnote w:type="continuationSeparator" w:id="0">
    <w:p w14:paraId="6813454E" w14:textId="77777777" w:rsidR="003B14B9" w:rsidRDefault="003B1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669" w14:textId="77777777" w:rsidR="009C6330" w:rsidRDefault="009C633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057B" w14:textId="77777777" w:rsidR="009C6330" w:rsidRDefault="009C6330">
    <w:pPr>
      <w:pBdr>
        <w:top w:val="single" w:sz="4" w:space="0" w:color="000000"/>
      </w:pBdr>
      <w:tabs>
        <w:tab w:val="right" w:pos="8844"/>
      </w:tabs>
      <w:snapToGrid w:val="0"/>
      <w:spacing w:before="480" w:line="100" w:lineRule="exact"/>
      <w:jc w:val="left"/>
      <w:rPr>
        <w:i/>
        <w:sz w:val="16"/>
        <w:szCs w:val="16"/>
      </w:rPr>
    </w:pPr>
  </w:p>
  <w:p w14:paraId="3A01EA78" w14:textId="77777777" w:rsidR="009C6330" w:rsidRDefault="00096756">
    <w:pPr>
      <w:tabs>
        <w:tab w:val="right" w:pos="10466"/>
      </w:tabs>
      <w:snapToGrid w:val="0"/>
      <w:spacing w:line="240" w:lineRule="auto"/>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5C4" w14:textId="77777777" w:rsidR="003B14B9" w:rsidRDefault="003B14B9">
      <w:pPr>
        <w:spacing w:line="240" w:lineRule="auto"/>
      </w:pPr>
      <w:r>
        <w:separator/>
      </w:r>
    </w:p>
  </w:footnote>
  <w:footnote w:type="continuationSeparator" w:id="0">
    <w:p w14:paraId="326B99D0" w14:textId="77777777" w:rsidR="003B14B9" w:rsidRDefault="003B14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C28" w14:textId="77777777" w:rsidR="009C6330" w:rsidRDefault="00096756">
    <w:pPr>
      <w:tabs>
        <w:tab w:val="right" w:pos="10466"/>
      </w:tabs>
      <w:snapToGrid w:val="0"/>
      <w:spacing w:line="240" w:lineRule="auto"/>
      <w:rPr>
        <w:sz w:val="16"/>
      </w:rPr>
    </w:pPr>
    <w:r>
      <w:rPr>
        <w:i/>
        <w:sz w:val="16"/>
      </w:rPr>
      <w:t xml:space="preserve">Foods </w:t>
    </w:r>
    <w:r>
      <w:rPr>
        <w:b/>
        <w:sz w:val="16"/>
      </w:rPr>
      <w:t>2025</w:t>
    </w:r>
    <w:r>
      <w:rPr>
        <w:sz w:val="16"/>
      </w:rPr>
      <w:t>,</w:t>
    </w:r>
    <w:r>
      <w:rPr>
        <w:i/>
        <w:sz w:val="16"/>
      </w:rPr>
      <w:t xml:space="preserve"> 14</w:t>
    </w:r>
    <w:r>
      <w:rPr>
        <w:sz w:val="16"/>
      </w:rPr>
      <w:t>, x FOR PEER REVIEW</w:t>
    </w:r>
    <w:r>
      <w:rPr>
        <w:sz w:val="16"/>
      </w:rPr>
      <w:tab/>
    </w:r>
    <w:r>
      <w:rPr>
        <w:sz w:val="16"/>
      </w:rPr>
      <w:fldChar w:fldCharType="begin"/>
    </w:r>
    <w:r>
      <w:rPr>
        <w:sz w:val="16"/>
      </w:rPr>
      <w:instrText>PAGE</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17</w:t>
    </w:r>
    <w:r>
      <w:rPr>
        <w:sz w:val="16"/>
      </w:rPr>
      <w:fldChar w:fldCharType="end"/>
    </w:r>
  </w:p>
  <w:p w14:paraId="0FED6A41" w14:textId="77777777" w:rsidR="009C6330" w:rsidRDefault="009C6330">
    <w:pPr>
      <w:pBdr>
        <w:bottom w:val="single" w:sz="4" w:space="1" w:color="000000"/>
      </w:pBdr>
      <w:tabs>
        <w:tab w:val="right" w:pos="8844"/>
      </w:tabs>
      <w:snapToGrid w:val="0"/>
      <w:spacing w:after="480" w:line="100" w:lineRule="exact"/>
      <w:jc w:val="left"/>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8"/>
      <w:gridCol w:w="4536"/>
      <w:gridCol w:w="2273"/>
    </w:tblGrid>
    <w:tr w:rsidR="009C6330" w14:paraId="64E7680C" w14:textId="77777777">
      <w:trPr>
        <w:trHeight w:val="686"/>
      </w:trPr>
      <w:tc>
        <w:tcPr>
          <w:tcW w:w="3678" w:type="dxa"/>
          <w:vAlign w:val="center"/>
        </w:tcPr>
        <w:p w14:paraId="542A6134" w14:textId="77777777" w:rsidR="009C6330" w:rsidRDefault="00096756">
          <w:pPr>
            <w:pStyle w:val="Header"/>
            <w:pBdr>
              <w:bottom w:val="nil"/>
            </w:pBdr>
            <w:jc w:val="left"/>
            <w:rPr>
              <w:rFonts w:eastAsia="DengXian"/>
              <w:b/>
              <w:bCs/>
            </w:rPr>
          </w:pPr>
          <w:r>
            <w:rPr>
              <w:noProof/>
            </w:rPr>
            <w:drawing>
              <wp:inline distT="0" distB="0" distL="0" distR="0" wp14:anchorId="5665ABF4" wp14:editId="15829B3E">
                <wp:extent cx="1037590" cy="4318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vAlign w:val="center"/>
        </w:tcPr>
        <w:p w14:paraId="78DFFD00" w14:textId="77777777" w:rsidR="009C6330" w:rsidRDefault="009C6330">
          <w:pPr>
            <w:pStyle w:val="Header"/>
            <w:pBdr>
              <w:bottom w:val="nil"/>
            </w:pBdr>
            <w:rPr>
              <w:rFonts w:eastAsia="DengXian"/>
              <w:b/>
              <w:bCs/>
            </w:rPr>
          </w:pPr>
        </w:p>
      </w:tc>
      <w:tc>
        <w:tcPr>
          <w:tcW w:w="2273" w:type="dxa"/>
          <w:vAlign w:val="center"/>
        </w:tcPr>
        <w:p w14:paraId="43F9E588" w14:textId="77777777" w:rsidR="009C6330" w:rsidRDefault="00096756">
          <w:pPr>
            <w:pStyle w:val="Header"/>
            <w:pBdr>
              <w:bottom w:val="nil"/>
            </w:pBdr>
            <w:jc w:val="right"/>
            <w:rPr>
              <w:rFonts w:eastAsia="DengXian"/>
              <w:b/>
              <w:bCs/>
            </w:rPr>
          </w:pPr>
          <w:r>
            <w:rPr>
              <w:noProof/>
            </w:rPr>
            <w:drawing>
              <wp:inline distT="0" distB="0" distL="0" distR="0" wp14:anchorId="4E8A46B4" wp14:editId="29C75589">
                <wp:extent cx="539750" cy="3600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14:paraId="1C8F85CE" w14:textId="77777777" w:rsidR="009C6330" w:rsidRDefault="009C6330">
    <w:pPr>
      <w:pBdr>
        <w:bottom w:val="single" w:sz="4" w:space="1" w:color="000000"/>
      </w:pBdr>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75BB"/>
    <w:multiLevelType w:val="multilevel"/>
    <w:tmpl w:val="6F2A051A"/>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1" w15:restartNumberingAfterBreak="0">
    <w:nsid w:val="742865B2"/>
    <w:multiLevelType w:val="multilevel"/>
    <w:tmpl w:val="2E7210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490084">
    <w:abstractNumId w:val="0"/>
  </w:num>
  <w:num w:numId="2" w16cid:durableId="208838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autoHyphenation/>
  <w:hyphenationZone w:val="283"/>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30"/>
    <w:rsid w:val="00096756"/>
    <w:rsid w:val="000A4A05"/>
    <w:rsid w:val="00200587"/>
    <w:rsid w:val="0033102A"/>
    <w:rsid w:val="003B14B9"/>
    <w:rsid w:val="004C7B3C"/>
    <w:rsid w:val="00643A88"/>
    <w:rsid w:val="009C6330"/>
    <w:rsid w:val="00BB0B41"/>
    <w:rsid w:val="00BF36E6"/>
    <w:rsid w:val="00D92C93"/>
    <w:rsid w:val="00FA0D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6B91"/>
  <w15:docId w15:val="{1F7831C6-60B5-42B8-B2A7-815769F4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99"/>
    <w:pPr>
      <w:suppressAutoHyphens w:val="0"/>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1C1F99"/>
    <w:rPr>
      <w:rFonts w:ascii="Palatino Linotype" w:hAnsi="Palatino Linotype"/>
      <w:color w:val="000000"/>
      <w:szCs w:val="18"/>
    </w:rPr>
  </w:style>
  <w:style w:type="character" w:customStyle="1" w:styleId="HeaderChar">
    <w:name w:val="Header Char"/>
    <w:link w:val="Header"/>
    <w:uiPriority w:val="99"/>
    <w:qFormat/>
    <w:rsid w:val="001C1F99"/>
    <w:rPr>
      <w:rFonts w:ascii="Palatino Linotype" w:hAnsi="Palatino Linotype"/>
      <w:color w:val="000000"/>
      <w:szCs w:val="18"/>
    </w:rPr>
  </w:style>
  <w:style w:type="character" w:customStyle="1" w:styleId="BalloonTextChar">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Hyperlink">
    <w:name w:val="Hyperlink"/>
    <w:uiPriority w:val="99"/>
    <w:rsid w:val="001C1F99"/>
    <w:rPr>
      <w:color w:val="0000FF"/>
      <w:u w:val="single"/>
    </w:rPr>
  </w:style>
  <w:style w:type="character" w:customStyle="1" w:styleId="UnresolvedMention1">
    <w:name w:val="Unresolved Mention1"/>
    <w:uiPriority w:val="99"/>
    <w:semiHidden/>
    <w:unhideWhenUsed/>
    <w:qFormat/>
    <w:rsid w:val="00527533"/>
    <w:rPr>
      <w:color w:val="605E5C"/>
      <w:shd w:val="clear" w:color="auto" w:fill="E1DFDD"/>
    </w:rPr>
  </w:style>
  <w:style w:type="character" w:customStyle="1" w:styleId="apple-converted-space">
    <w:name w:val="apple-converted-space"/>
    <w:qFormat/>
    <w:rsid w:val="001C1F99"/>
  </w:style>
  <w:style w:type="character" w:customStyle="1" w:styleId="BodyTextChar">
    <w:name w:val="Body Text Char"/>
    <w:link w:val="BodyText"/>
    <w:qFormat/>
    <w:rsid w:val="001C1F99"/>
    <w:rPr>
      <w:rFonts w:ascii="Palatino Linotype" w:hAnsi="Palatino Linotype"/>
      <w:color w:val="000000"/>
      <w:sz w:val="24"/>
      <w:lang w:eastAsia="de-DE"/>
    </w:rPr>
  </w:style>
  <w:style w:type="character" w:styleId="CommentReference">
    <w:name w:val="annotation reference"/>
    <w:qFormat/>
    <w:rsid w:val="001C1F99"/>
    <w:rPr>
      <w:sz w:val="21"/>
      <w:szCs w:val="21"/>
    </w:rPr>
  </w:style>
  <w:style w:type="character" w:customStyle="1" w:styleId="CommentTextChar">
    <w:name w:val="Comment Text Char"/>
    <w:link w:val="CommentText"/>
    <w:qFormat/>
    <w:rsid w:val="001C1F99"/>
    <w:rPr>
      <w:rFonts w:ascii="Palatino Linotype" w:hAnsi="Palatino Linotype"/>
      <w:color w:val="000000"/>
    </w:rPr>
  </w:style>
  <w:style w:type="character" w:customStyle="1" w:styleId="CommentSubjectChar">
    <w:name w:val="Comment Subject Char"/>
    <w:link w:val="CommentSubject"/>
    <w:qFormat/>
    <w:rsid w:val="001C1F99"/>
    <w:rPr>
      <w:rFonts w:ascii="Palatino Linotype" w:hAnsi="Palatino Linotype"/>
      <w:b/>
      <w:bCs/>
      <w:color w:val="000000"/>
    </w:rPr>
  </w:style>
  <w:style w:type="character" w:customStyle="1" w:styleId="EndnoteCharacters">
    <w:name w:val="Endnote Characters"/>
    <w:qFormat/>
    <w:rsid w:val="001C1F99"/>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semiHidden/>
    <w:qFormat/>
    <w:rsid w:val="001C1F99"/>
    <w:rPr>
      <w:rFonts w:ascii="Palatino Linotype" w:hAnsi="Palatino Linotype"/>
      <w:color w:val="000000"/>
    </w:rPr>
  </w:style>
  <w:style w:type="character" w:styleId="FollowedHyperlink">
    <w:name w:val="FollowedHyperlink"/>
    <w:rsid w:val="001C1F99"/>
    <w:rPr>
      <w:color w:val="954F72"/>
      <w:u w:val="single"/>
    </w:rPr>
  </w:style>
  <w:style w:type="character" w:customStyle="1" w:styleId="FootnoteTextChar">
    <w:name w:val="Footnote Text Char"/>
    <w:link w:val="FootnoteText"/>
    <w:semiHidden/>
    <w:qFormat/>
    <w:rsid w:val="001C1F99"/>
    <w:rPr>
      <w:rFonts w:ascii="Palatino Linotype" w:hAnsi="Palatino Linotype"/>
      <w:color w:val="000000"/>
    </w:rPr>
  </w:style>
  <w:style w:type="character" w:styleId="PageNumber">
    <w:name w:val="page number"/>
    <w:qFormat/>
    <w:rsid w:val="001C1F99"/>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link w:val="BodyTextChar"/>
    <w:rsid w:val="001C1F99"/>
    <w:pPr>
      <w:spacing w:after="120" w:line="340" w:lineRule="atLeast"/>
      <w:jc w:val="both"/>
    </w:pPr>
    <w:rPr>
      <w:rFonts w:ascii="Palatino Linotype" w:hAnsi="Palatino Linotype"/>
      <w:color w:val="000000"/>
      <w:sz w:val="24"/>
      <w:lang w:eastAsia="de-D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MDPI11articletype">
    <w:name w:val="MDPI_1.1_article_type"/>
    <w:next w:val="Normal"/>
    <w:qFormat/>
    <w:rsid w:val="001C1F99"/>
    <w:pPr>
      <w:snapToGrid w:val="0"/>
      <w:spacing w:before="240"/>
    </w:pPr>
    <w:rPr>
      <w:rFonts w:ascii="Palatino Linotype" w:eastAsia="Times New Roman" w:hAnsi="Palatino Linotype"/>
      <w:i/>
      <w:color w:val="000000"/>
      <w:szCs w:val="22"/>
      <w:lang w:eastAsia="de-DE" w:bidi="en-US"/>
    </w:rPr>
  </w:style>
  <w:style w:type="paragraph" w:customStyle="1" w:styleId="MDPI12title">
    <w:name w:val="MDPI_1.2_title"/>
    <w:next w:val="Normal"/>
    <w:qFormat/>
    <w:rsid w:val="001C1F99"/>
    <w:pPr>
      <w:snapToGrid w:val="0"/>
      <w:spacing w:after="240" w:line="240" w:lineRule="atLeast"/>
    </w:pPr>
    <w:rPr>
      <w:rFonts w:ascii="Palatino Linotype" w:eastAsia="Times New Roman" w:hAnsi="Palatino Linotype"/>
      <w:b/>
      <w:color w:val="000000"/>
      <w:sz w:val="36"/>
      <w:lang w:eastAsia="de-DE" w:bidi="en-US"/>
    </w:rPr>
  </w:style>
  <w:style w:type="paragraph" w:customStyle="1" w:styleId="MDPI13authornames">
    <w:name w:val="MDPI_1.3_authornames"/>
    <w:next w:val="Normal"/>
    <w:qFormat/>
    <w:rsid w:val="001C1F99"/>
    <w:pPr>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C1F99"/>
    <w:pPr>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C1F99"/>
    <w:pPr>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C1F99"/>
    <w:pPr>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9line">
    <w:name w:val="MDPI_1.9_line"/>
    <w:qFormat/>
    <w:rsid w:val="001C1F99"/>
    <w:pPr>
      <w:pBdr>
        <w:bottom w:val="single" w:sz="6" w:space="1" w:color="000000"/>
      </w:pBdr>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customStyle="1" w:styleId="HeaderandFooter">
    <w:name w:val="Header and Footer"/>
    <w:basedOn w:val="Normal"/>
    <w:qFormat/>
  </w:style>
  <w:style w:type="paragraph" w:styleId="Footer">
    <w:name w:val="footer"/>
    <w:basedOn w:val="Normal"/>
    <w:link w:val="FooterChar"/>
    <w:uiPriority w:val="99"/>
    <w:rsid w:val="001C1F99"/>
    <w:pPr>
      <w:tabs>
        <w:tab w:val="center" w:pos="4153"/>
        <w:tab w:val="right" w:pos="8306"/>
      </w:tabs>
      <w:snapToGrid w:val="0"/>
      <w:spacing w:line="240" w:lineRule="atLeast"/>
    </w:pPr>
    <w:rPr>
      <w:szCs w:val="18"/>
    </w:rPr>
  </w:style>
  <w:style w:type="paragraph" w:styleId="Header">
    <w:name w:val="header"/>
    <w:basedOn w:val="Normal"/>
    <w:link w:val="HeaderChar"/>
    <w:uiPriority w:val="99"/>
    <w:rsid w:val="001C1F99"/>
    <w:pPr>
      <w:pBdr>
        <w:bottom w:val="single" w:sz="6" w:space="1" w:color="000000"/>
      </w:pBdr>
      <w:tabs>
        <w:tab w:val="center" w:pos="4153"/>
        <w:tab w:val="right" w:pos="8306"/>
      </w:tabs>
      <w:snapToGrid w:val="0"/>
      <w:spacing w:line="240" w:lineRule="atLeast"/>
      <w:jc w:val="center"/>
    </w:pPr>
    <w:rPr>
      <w:szCs w:val="18"/>
    </w:rPr>
  </w:style>
  <w:style w:type="paragraph" w:customStyle="1" w:styleId="MDPI32textnoindent">
    <w:name w:val="MDPI_3.2_text_no_indent"/>
    <w:basedOn w:val="MDPI31text"/>
    <w:qFormat/>
    <w:rsid w:val="001C1F99"/>
    <w:pPr>
      <w:ind w:firstLine="0"/>
    </w:pPr>
  </w:style>
  <w:style w:type="paragraph" w:customStyle="1" w:styleId="MDPI31text">
    <w:name w:val="MDPI_3.1_text"/>
    <w:qFormat/>
    <w:rsid w:val="00B93694"/>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3textspaceafter">
    <w:name w:val="MDPI_3.3_text_space_after"/>
    <w:qFormat/>
    <w:rsid w:val="001C1F99"/>
    <w:pPr>
      <w:snapToGrid w:val="0"/>
      <w:spacing w:after="240" w:line="280" w:lineRule="atLeast"/>
      <w:ind w:left="2608"/>
      <w:jc w:val="both"/>
    </w:pPr>
    <w:rPr>
      <w:rFonts w:ascii="Palatino Linotype" w:eastAsia="Times New Roman" w:hAnsi="Palatino Linotype"/>
      <w:color w:val="000000"/>
      <w:szCs w:val="22"/>
      <w:lang w:eastAsia="de-DE" w:bidi="en-US"/>
    </w:rPr>
  </w:style>
  <w:style w:type="paragraph" w:customStyle="1" w:styleId="MDPI35textbeforelist">
    <w:name w:val="MDPI_3.5_text_before_list"/>
    <w:qFormat/>
    <w:rsid w:val="001C1F99"/>
    <w:pPr>
      <w:snapToGrid w:val="0"/>
      <w:spacing w:line="280" w:lineRule="atLeast"/>
      <w:ind w:left="2608" w:firstLine="425"/>
      <w:jc w:val="both"/>
    </w:pPr>
    <w:rPr>
      <w:rFonts w:ascii="Palatino Linotype" w:eastAsia="Times New Roman" w:hAnsi="Palatino Linotype"/>
      <w:color w:val="000000"/>
      <w:szCs w:val="22"/>
      <w:lang w:eastAsia="de-DE" w:bidi="en-US"/>
    </w:rPr>
  </w:style>
  <w:style w:type="paragraph" w:customStyle="1" w:styleId="MDPI36textafterlist">
    <w:name w:val="MDPI_3.6_text_after_list"/>
    <w:qFormat/>
    <w:rsid w:val="001C1F99"/>
    <w:pPr>
      <w:snapToGrid w:val="0"/>
      <w:spacing w:before="120" w:line="280" w:lineRule="atLeast"/>
      <w:ind w:left="2608"/>
      <w:jc w:val="both"/>
    </w:pPr>
    <w:rPr>
      <w:rFonts w:ascii="Palatino Linotype" w:eastAsia="Times New Roman" w:hAnsi="Palatino Linotype"/>
      <w:color w:val="000000"/>
      <w:szCs w:val="22"/>
      <w:lang w:eastAsia="de-DE" w:bidi="en-US"/>
    </w:rPr>
  </w:style>
  <w:style w:type="paragraph" w:customStyle="1" w:styleId="MDPI37itemize">
    <w:name w:val="MDPI_3.7_itemize"/>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E7247"/>
    <w:pPr>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C1F99"/>
    <w:pPr>
      <w:snapToGrid w:val="0"/>
      <w:spacing w:before="120" w:after="120" w:line="280" w:lineRule="atLeast"/>
      <w:ind w:left="709"/>
      <w:jc w:val="center"/>
    </w:pPr>
    <w:rPr>
      <w:rFonts w:ascii="Palatino Linotype" w:eastAsia="Times New Roman" w:hAnsi="Palatino Linotype"/>
      <w:color w:val="000000"/>
      <w:szCs w:val="22"/>
      <w:lang w:eastAsia="de-DE" w:bidi="en-US"/>
    </w:rPr>
  </w:style>
  <w:style w:type="paragraph" w:customStyle="1" w:styleId="MDPI3aequationnumber">
    <w:name w:val="MDPI_3.a_equation_number"/>
    <w:qFormat/>
    <w:rsid w:val="001C1F99"/>
    <w:pPr>
      <w:spacing w:before="120" w:after="120" w:line="280" w:lineRule="atLeast"/>
      <w:jc w:val="right"/>
    </w:pPr>
    <w:rPr>
      <w:rFonts w:ascii="Palatino Linotype" w:eastAsia="Times New Roman" w:hAnsi="Palatino Linotype"/>
      <w:color w:val="000000"/>
      <w:szCs w:val="22"/>
      <w:lang w:eastAsia="de-DE" w:bidi="en-US"/>
    </w:rPr>
  </w:style>
  <w:style w:type="paragraph" w:customStyle="1" w:styleId="MDPI41tablecaption">
    <w:name w:val="MDPI_4.1_table_caption"/>
    <w:qFormat/>
    <w:rsid w:val="001C1F99"/>
    <w:pPr>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2365C"/>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next w:val="MDPI31text"/>
    <w:qFormat/>
    <w:rsid w:val="001C1F99"/>
    <w:pPr>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C1F99"/>
    <w:pPr>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C1F99"/>
    <w:pPr>
      <w:snapToGrid w:val="0"/>
      <w:spacing w:before="240" w:after="120"/>
      <w:jc w:val="center"/>
    </w:pPr>
    <w:rPr>
      <w:rFonts w:ascii="Palatino Linotype" w:eastAsia="Times New Roman" w:hAnsi="Palatino Linotype"/>
      <w:color w:val="000000"/>
      <w:lang w:eastAsia="de-DE" w:bidi="en-US"/>
    </w:rPr>
  </w:style>
  <w:style w:type="paragraph" w:customStyle="1" w:styleId="MDPI23heading3">
    <w:name w:val="MDPI_2.3_heading3"/>
    <w:qFormat/>
    <w:rsid w:val="001C1F99"/>
    <w:pPr>
      <w:snapToGrid w:val="0"/>
      <w:spacing w:before="60" w:after="60" w:line="280" w:lineRule="atLeast"/>
      <w:ind w:left="2608"/>
      <w:outlineLvl w:val="2"/>
    </w:pPr>
    <w:rPr>
      <w:rFonts w:ascii="Palatino Linotype" w:eastAsia="Times New Roman" w:hAnsi="Palatino Linotype"/>
      <w:color w:val="000000"/>
      <w:szCs w:val="22"/>
      <w:lang w:eastAsia="de-DE" w:bidi="en-US"/>
    </w:rPr>
  </w:style>
  <w:style w:type="paragraph" w:customStyle="1" w:styleId="MDPI21heading1">
    <w:name w:val="MDPI_2.1_heading1"/>
    <w:qFormat/>
    <w:rsid w:val="001C1F99"/>
    <w:pPr>
      <w:snapToGrid w:val="0"/>
      <w:spacing w:before="240" w:after="60" w:line="280" w:lineRule="atLeast"/>
      <w:ind w:left="2608"/>
      <w:outlineLvl w:val="0"/>
    </w:pPr>
    <w:rPr>
      <w:rFonts w:ascii="Palatino Linotype" w:eastAsia="Times New Roman" w:hAnsi="Palatino Linotype"/>
      <w:b/>
      <w:color w:val="000000"/>
      <w:sz w:val="24"/>
      <w:szCs w:val="22"/>
      <w:lang w:eastAsia="de-DE" w:bidi="en-US"/>
    </w:rPr>
  </w:style>
  <w:style w:type="paragraph" w:customStyle="1" w:styleId="MDPI22heading2">
    <w:name w:val="MDPI_2.2_heading2"/>
    <w:qFormat/>
    <w:rsid w:val="001C1F99"/>
    <w:pPr>
      <w:snapToGrid w:val="0"/>
      <w:spacing w:before="60" w:after="60" w:line="280" w:lineRule="atLeast"/>
      <w:ind w:left="2608"/>
      <w:outlineLvl w:val="1"/>
    </w:pPr>
    <w:rPr>
      <w:rFonts w:ascii="Palatino Linotype" w:eastAsia="Times New Roman" w:hAnsi="Palatino Linotype"/>
      <w:i/>
      <w:color w:val="000000"/>
      <w:szCs w:val="22"/>
      <w:lang w:eastAsia="de-DE" w:bidi="en-US"/>
    </w:rPr>
  </w:style>
  <w:style w:type="paragraph" w:customStyle="1" w:styleId="MDPI81references">
    <w:name w:val="MDPI_8.1_references"/>
    <w:qFormat/>
    <w:rsid w:val="0055562C"/>
    <w:pPr>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qFormat/>
    <w:rsid w:val="001C1F99"/>
    <w:rPr>
      <w:rFonts w:cs="Tahoma"/>
      <w:szCs w:val="18"/>
    </w:rPr>
  </w:style>
  <w:style w:type="paragraph" w:customStyle="1" w:styleId="MDPI34textspacebefore">
    <w:name w:val="MDPI_3.4_text_space_before"/>
    <w:qFormat/>
    <w:rsid w:val="001C1F99"/>
    <w:pPr>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82theorem">
    <w:name w:val="MDPI_8.2_theorem"/>
    <w:qFormat/>
    <w:rsid w:val="001C1F99"/>
    <w:pPr>
      <w:snapToGrid w:val="0"/>
      <w:spacing w:line="280" w:lineRule="atLeast"/>
      <w:ind w:left="2608"/>
      <w:jc w:val="both"/>
    </w:pPr>
    <w:rPr>
      <w:rFonts w:ascii="Palatino Linotype" w:eastAsia="Times New Roman" w:hAnsi="Palatino Linotype"/>
      <w:i/>
      <w:color w:val="000000"/>
      <w:szCs w:val="22"/>
      <w:lang w:eastAsia="de-DE" w:bidi="en-US"/>
    </w:rPr>
  </w:style>
  <w:style w:type="paragraph" w:customStyle="1" w:styleId="MDPI83proof">
    <w:name w:val="MDPI_8.3_proof"/>
    <w:qFormat/>
    <w:rsid w:val="001C1F99"/>
    <w:pPr>
      <w:snapToGrid w:val="0"/>
      <w:spacing w:line="280" w:lineRule="atLeast"/>
      <w:ind w:left="2608"/>
      <w:jc w:val="both"/>
    </w:pPr>
    <w:rPr>
      <w:rFonts w:ascii="Palatino Linotype" w:eastAsia="Times New Roman" w:hAnsi="Palatino Linotype"/>
      <w:color w:val="000000"/>
      <w:szCs w:val="22"/>
      <w:lang w:eastAsia="de-DE" w:bidi="en-US"/>
    </w:rPr>
  </w:style>
  <w:style w:type="paragraph" w:customStyle="1" w:styleId="MDPI61citation">
    <w:name w:val="MDPI_6.1_citation"/>
    <w:qFormat/>
    <w:rsid w:val="001C1F99"/>
    <w:pPr>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C1F99"/>
    <w:pPr>
      <w:snapToGrid w:val="0"/>
      <w:spacing w:after="120" w:line="280" w:lineRule="atLeast"/>
      <w:ind w:left="2608"/>
      <w:jc w:val="both"/>
    </w:pPr>
    <w:rPr>
      <w:rFonts w:ascii="Palatino Linotype" w:eastAsia="Times New Roman" w:hAnsi="Palatino Linotype"/>
      <w:color w:val="000000"/>
      <w:sz w:val="18"/>
      <w:lang w:eastAsia="en-US" w:bidi="en-US"/>
    </w:rPr>
  </w:style>
  <w:style w:type="paragraph" w:customStyle="1" w:styleId="MDPI63notes">
    <w:name w:val="MDPI_6.3_notes"/>
    <w:qFormat/>
    <w:rsid w:val="001C1F99"/>
    <w:pPr>
      <w:snapToGrid w:val="0"/>
      <w:spacing w:before="240" w:line="280" w:lineRule="atLeast"/>
      <w:jc w:val="both"/>
    </w:pPr>
    <w:rPr>
      <w:rFonts w:ascii="Palatino Linotype" w:hAnsi="Palatino Linotype"/>
      <w:color w:val="000000"/>
      <w:sz w:val="18"/>
      <w:lang w:eastAsia="en-US" w:bidi="en-US"/>
    </w:rPr>
  </w:style>
  <w:style w:type="paragraph" w:customStyle="1" w:styleId="MDPI15academiceditor">
    <w:name w:val="MDPI_1.5_academic_editor"/>
    <w:qFormat/>
    <w:rsid w:val="00A863D2"/>
    <w:pPr>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C1F99"/>
    <w:pPr>
      <w:snapToGrid w:val="0"/>
      <w:spacing w:before="240" w:after="120" w:line="280" w:lineRule="atLeast"/>
      <w:jc w:val="center"/>
    </w:pPr>
    <w:rPr>
      <w:rFonts w:ascii="Palatino Linotype" w:hAnsi="Palatino Linotype" w:cs="Cordia New"/>
      <w:color w:val="000000"/>
      <w:sz w:val="18"/>
      <w:szCs w:val="22"/>
      <w:lang w:bidi="en-US"/>
    </w:rPr>
  </w:style>
  <w:style w:type="paragraph" w:customStyle="1" w:styleId="MDPI511onefigurecaption">
    <w:name w:val="MDPI_5.1.1_one_figure_caption"/>
    <w:qFormat/>
    <w:rsid w:val="001C1F99"/>
    <w:pPr>
      <w:snapToGrid w:val="0"/>
      <w:spacing w:before="240" w:after="120" w:line="280" w:lineRule="atLeast"/>
      <w:jc w:val="center"/>
    </w:pPr>
    <w:rPr>
      <w:rFonts w:ascii="Palatino Linotype" w:hAnsi="Palatino Linotype"/>
      <w:color w:val="000000"/>
      <w:sz w:val="18"/>
      <w:lang w:bidi="en-US"/>
    </w:rPr>
  </w:style>
  <w:style w:type="paragraph" w:customStyle="1" w:styleId="MDPI72copyright">
    <w:name w:val="MDPI_7.2_copyright"/>
    <w:qFormat/>
    <w:rsid w:val="001F0198"/>
    <w:pPr>
      <w:snapToGrid w:val="0"/>
      <w:spacing w:before="120" w:line="240" w:lineRule="atLeast"/>
      <w:ind w:right="113"/>
    </w:pPr>
    <w:rPr>
      <w:rFonts w:ascii="Palatino Linotype" w:eastAsia="Times New Roman" w:hAnsi="Palatino Linotype"/>
      <w:color w:val="000000"/>
      <w:sz w:val="14"/>
      <w:lang w:val="en-GB" w:eastAsia="en-GB"/>
    </w:rPr>
  </w:style>
  <w:style w:type="paragraph" w:styleId="Bibliography">
    <w:name w:val="Bibliography"/>
    <w:basedOn w:val="Normal"/>
    <w:next w:val="Normal"/>
    <w:uiPriority w:val="37"/>
    <w:unhideWhenUsed/>
    <w:qFormat/>
    <w:rsid w:val="001C1F99"/>
    <w:pPr>
      <w:tabs>
        <w:tab w:val="left" w:pos="504"/>
      </w:tabs>
      <w:spacing w:line="240" w:lineRule="atLeast"/>
      <w:ind w:left="504" w:hanging="504"/>
    </w:pPr>
  </w:style>
  <w:style w:type="paragraph" w:styleId="CommentText">
    <w:name w:val="annotation text"/>
    <w:basedOn w:val="Normal"/>
    <w:link w:val="CommentTextChar"/>
    <w:qFormat/>
    <w:rsid w:val="001C1F99"/>
  </w:style>
  <w:style w:type="paragraph" w:styleId="CommentSubject">
    <w:name w:val="annotation subject"/>
    <w:basedOn w:val="CommentText"/>
    <w:next w:val="CommentText"/>
    <w:link w:val="CommentSubjectChar"/>
    <w:qFormat/>
    <w:rsid w:val="001C1F99"/>
    <w:rPr>
      <w:b/>
      <w:bCs/>
    </w:rPr>
  </w:style>
  <w:style w:type="paragraph" w:styleId="EndnoteText">
    <w:name w:val="endnote text"/>
    <w:basedOn w:val="Normal"/>
    <w:link w:val="EndnoteTextChar"/>
    <w:semiHidden/>
    <w:unhideWhenUsed/>
    <w:rsid w:val="001C1F99"/>
    <w:pPr>
      <w:spacing w:line="240" w:lineRule="auto"/>
    </w:pPr>
  </w:style>
  <w:style w:type="paragraph" w:styleId="FootnoteText">
    <w:name w:val="footnote text"/>
    <w:basedOn w:val="Normal"/>
    <w:link w:val="FootnoteTextChar"/>
    <w:semiHidden/>
    <w:unhideWhenUsed/>
    <w:rsid w:val="001C1F99"/>
    <w:pPr>
      <w:spacing w:line="240" w:lineRule="auto"/>
    </w:pPr>
  </w:style>
  <w:style w:type="paragraph" w:styleId="NormalWeb">
    <w:name w:val="Normal (Web)"/>
    <w:basedOn w:val="Normal"/>
    <w:uiPriority w:val="99"/>
    <w:qFormat/>
    <w:rsid w:val="001C1F99"/>
    <w:rPr>
      <w:szCs w:val="24"/>
    </w:rPr>
  </w:style>
  <w:style w:type="paragraph" w:customStyle="1" w:styleId="MsoFootnoteText0">
    <w:name w:val="MsoFootnoteText"/>
    <w:basedOn w:val="NormalWeb"/>
    <w:qFormat/>
    <w:rsid w:val="001C1F99"/>
    <w:rPr>
      <w:rFonts w:ascii="Times New Roman" w:hAnsi="Times New Roman"/>
    </w:rPr>
  </w:style>
  <w:style w:type="paragraph" w:customStyle="1" w:styleId="MDPI71footnotes">
    <w:name w:val="MDPI_7.1_footnotes"/>
    <w:qFormat/>
    <w:rsid w:val="00D82592"/>
    <w:pPr>
      <w:snapToGrid w:val="0"/>
      <w:spacing w:line="280" w:lineRule="atLeast"/>
    </w:pPr>
    <w:rPr>
      <w:rFonts w:ascii="Palatino Linotype" w:eastAsiaTheme="minorEastAsia" w:hAnsi="Palatino Linotype"/>
      <w:color w:val="000000"/>
      <w:sz w:val="18"/>
    </w:rPr>
  </w:style>
  <w:style w:type="paragraph" w:styleId="ListParagraph">
    <w:name w:val="List Paragraph"/>
    <w:basedOn w:val="Normal"/>
    <w:uiPriority w:val="34"/>
    <w:qFormat/>
    <w:rsid w:val="00661ADD"/>
    <w:pPr>
      <w:spacing w:after="160" w:line="259" w:lineRule="auto"/>
      <w:ind w:left="720"/>
      <w:contextualSpacing/>
    </w:pPr>
    <w:rPr>
      <w:rFonts w:asciiTheme="minorHAnsi" w:eastAsiaTheme="minorHAnsi" w:hAnsiTheme="minorHAnsi" w:cstheme="minorBidi"/>
      <w:color w:val="auto"/>
      <w:kern w:val="2"/>
      <w:sz w:val="22"/>
      <w:szCs w:val="22"/>
      <w:lang w:val="en-GB" w:eastAsia="en-US"/>
      <w14:ligatures w14:val="standardContextual"/>
    </w:rPr>
  </w:style>
  <w:style w:type="paragraph" w:customStyle="1" w:styleId="FrameContents">
    <w:name w:val="Frame Contents"/>
    <w:basedOn w:val="Normal"/>
    <w:qFormat/>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sz="8" w:space="0" w:color="auto"/>
      </w:tblBorders>
    </w:tblPr>
    <w:tcPr>
      <w:vAlign w:val="center"/>
    </w:tcPr>
    <w:tblStylePr w:type="firstRow">
      <w:pPr>
        <w:wordWrap/>
        <w:snapToGrid w:val="0"/>
        <w:spacing w:beforeLines="0" w:afterLines="0" w:line="300" w:lineRule="exact"/>
        <w:ind w:rightChars="0" w:right="0"/>
        <w:jc w:val="center"/>
      </w:pPr>
      <w:rPr>
        <w:b w:val="0"/>
        <w:i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PlainTable4">
    <w:name w:val="Plain Table 4"/>
    <w:basedOn w:val="TableNormal"/>
    <w:uiPriority w:val="44"/>
    <w:rsid w:val="007E13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color w:val="000000"/>
      <w:lang w:val="en-CA" w:eastAsia="en-US"/>
    </w:rPr>
    <w:tblPr>
      <w:tblCellMar>
        <w:left w:w="0" w:type="dxa"/>
        <w:right w:w="0" w:type="dxa"/>
      </w:tblCellMar>
    </w:tblPr>
  </w:style>
  <w:style w:type="table" w:customStyle="1" w:styleId="TableGrid1">
    <w:name w:val="Table Grid1"/>
    <w:basedOn w:val="TableNormal"/>
    <w:uiPriority w:val="39"/>
    <w:rsid w:val="00661ADD"/>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38259F"/>
    <w:pPr>
      <w:jc w:val="both"/>
    </w:pPr>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ehravar@studenti.unipi.i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13480</Words>
  <Characters>76839</Characters>
  <Application>Microsoft Office Word</Application>
  <DocSecurity>0</DocSecurity>
  <Lines>640</Lines>
  <Paragraphs>180</Paragraphs>
  <ScaleCrop>false</ScaleCrop>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Palletisation and In-Bag Thermal Exposure in Bag-in-Box Wine Packaging under Simulated Export Conditions</dc:title>
  <dc:subject>Major revision addressing Reviewer 2 and Reviewer 3</dc:subject>
  <dc:creator>nicola mercanti</dc:creator>
  <dc:description>Revised conservatively from sent-foods-4487055.docx; original submitted file preserved.</dc:description>
  <cp:lastModifiedBy>nicola mercanti</cp:lastModifiedBy>
  <cp:revision>4</cp:revision>
  <dcterms:created xsi:type="dcterms:W3CDTF">2026-07-23T07:32:00Z</dcterms:created>
  <dcterms:modified xsi:type="dcterms:W3CDTF">2026-07-23T07:44:00Z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