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8B32" w14:textId="77777777" w:rsidR="002551AE" w:rsidRPr="00621D36" w:rsidRDefault="002551AE" w:rsidP="009046A3">
      <w:pPr>
        <w:pStyle w:val="MDPI11articletype"/>
        <w:rPr>
          <w:szCs w:val="20"/>
          <w:lang w:val="en-GB"/>
        </w:rPr>
      </w:pPr>
      <w:r w:rsidRPr="00621D36">
        <w:rPr>
          <w:szCs w:val="20"/>
          <w:lang w:val="en-GB"/>
        </w:rPr>
        <w:t>Communication</w:t>
      </w:r>
    </w:p>
    <w:p w14:paraId="7B7B62C1" w14:textId="0E4C3002" w:rsidR="002551AE" w:rsidRPr="00621D36" w:rsidRDefault="002551AE" w:rsidP="00D777D0">
      <w:pPr>
        <w:adjustRightInd w:val="0"/>
        <w:snapToGrid w:val="0"/>
        <w:spacing w:after="240" w:line="240" w:lineRule="atLeast"/>
        <w:jc w:val="left"/>
        <w:rPr>
          <w:b/>
          <w:snapToGrid w:val="0"/>
          <w:color w:val="auto"/>
          <w:sz w:val="36"/>
          <w:szCs w:val="36"/>
          <w:lang w:val="en-GB" w:eastAsia="en-US"/>
          <w14:ligatures w14:val="standardContextual"/>
        </w:rPr>
      </w:pPr>
      <w:commentRangeStart w:id="0"/>
      <w:r w:rsidRPr="0033410B">
        <w:rPr>
          <w:rFonts w:eastAsia="Times New Roman"/>
          <w:b/>
          <w:bCs/>
          <w:snapToGrid w:val="0"/>
          <w:sz w:val="36"/>
          <w:szCs w:val="36"/>
          <w:highlight w:val="green"/>
          <w:lang w:val="en-GB" w:eastAsia="en-US"/>
          <w14:ligatures w14:val="standardContextual"/>
        </w:rPr>
        <w:t xml:space="preserve">Effect </w:t>
      </w:r>
      <w:commentRangeEnd w:id="0"/>
      <w:r w:rsidR="0033410B">
        <w:rPr>
          <w:rStyle w:val="CommentReference"/>
        </w:rPr>
        <w:commentReference w:id="0"/>
      </w:r>
      <w:r w:rsidRPr="00621D36">
        <w:rPr>
          <w:rFonts w:eastAsia="Times New Roman"/>
          <w:b/>
          <w:bCs/>
          <w:snapToGrid w:val="0"/>
          <w:sz w:val="36"/>
          <w:szCs w:val="36"/>
          <w:lang w:val="en-GB" w:eastAsia="en-US"/>
          <w14:ligatures w14:val="standardContextual"/>
        </w:rPr>
        <w:t>of Palletisation and Temperature on Bag-</w:t>
      </w:r>
      <w:r w:rsidR="00827233" w:rsidRPr="00621D36">
        <w:rPr>
          <w:rFonts w:eastAsia="Times New Roman"/>
          <w:b/>
          <w:bCs/>
          <w:snapToGrid w:val="0"/>
          <w:sz w:val="36"/>
          <w:szCs w:val="36"/>
          <w:lang w:val="en-GB" w:eastAsia="en-US"/>
          <w14:ligatures w14:val="standardContextual"/>
        </w:rPr>
        <w:t>in</w:t>
      </w:r>
      <w:r w:rsidRPr="00621D36">
        <w:rPr>
          <w:rFonts w:eastAsia="Times New Roman"/>
          <w:b/>
          <w:bCs/>
          <w:snapToGrid w:val="0"/>
          <w:sz w:val="36"/>
          <w:szCs w:val="36"/>
          <w:lang w:val="en-GB" w:eastAsia="en-US"/>
          <w14:ligatures w14:val="standardContextual"/>
        </w:rPr>
        <w:t>-Box Wine</w:t>
      </w:r>
      <w:r w:rsidR="00D777D0" w:rsidRPr="00621D36">
        <w:rPr>
          <w:rFonts w:eastAsia="Times New Roman"/>
          <w:b/>
          <w:bCs/>
          <w:snapToGrid w:val="0"/>
          <w:sz w:val="36"/>
          <w:szCs w:val="36"/>
          <w:lang w:val="en-GB" w:eastAsia="en-US"/>
          <w14:ligatures w14:val="standardContextual"/>
        </w:rPr>
        <w:t xml:space="preserve"> </w:t>
      </w:r>
      <w:r w:rsidRPr="00621D36">
        <w:rPr>
          <w:b/>
          <w:bCs/>
          <w:snapToGrid w:val="0"/>
          <w:sz w:val="36"/>
          <w:szCs w:val="36"/>
          <w:lang w:val="en-GB" w:eastAsia="en-US"/>
          <w14:ligatures w14:val="standardContextual"/>
        </w:rPr>
        <w:t xml:space="preserve">Packaging </w:t>
      </w:r>
      <w:r w:rsidR="00D777D0" w:rsidRPr="00621D36">
        <w:rPr>
          <w:b/>
          <w:bCs/>
          <w:snapToGrid w:val="0"/>
          <w:sz w:val="36"/>
          <w:szCs w:val="36"/>
          <w:lang w:val="en-GB" w:eastAsia="en-US"/>
          <w14:ligatures w14:val="standardContextual"/>
        </w:rPr>
        <w:t xml:space="preserve">Under </w:t>
      </w:r>
      <w:r w:rsidRPr="00621D36">
        <w:rPr>
          <w:b/>
          <w:bCs/>
          <w:snapToGrid w:val="0"/>
          <w:sz w:val="36"/>
          <w:szCs w:val="36"/>
          <w:lang w:val="en-GB" w:eastAsia="en-US"/>
          <w14:ligatures w14:val="standardContextual"/>
        </w:rPr>
        <w:t>Simulated Export Conditions</w:t>
      </w:r>
    </w:p>
    <w:p w14:paraId="3DC37974" w14:textId="77777777" w:rsidR="0032161A" w:rsidRPr="00621D36" w:rsidRDefault="002551AE" w:rsidP="00D777D0">
      <w:pPr>
        <w:pStyle w:val="MDPI13authornames"/>
        <w:rPr>
          <w:snapToGrid w:val="0"/>
          <w:szCs w:val="20"/>
          <w:vertAlign w:val="superscript"/>
          <w:lang w:val="en-GB"/>
        </w:rPr>
      </w:pPr>
      <w:commentRangeStart w:id="1"/>
      <w:r w:rsidRPr="00621D36">
        <w:rPr>
          <w:snapToGrid w:val="0"/>
          <w:szCs w:val="20"/>
          <w:highlight w:val="yellow"/>
          <w:lang w:val="en-GB"/>
        </w:rPr>
        <w:t xml:space="preserve">Nicola Mercanti </w:t>
      </w:r>
      <w:r w:rsidRPr="00621D36">
        <w:rPr>
          <w:snapToGrid w:val="0"/>
          <w:szCs w:val="20"/>
          <w:highlight w:val="yellow"/>
          <w:vertAlign w:val="superscript"/>
          <w:lang w:val="en-GB"/>
        </w:rPr>
        <w:t>1</w:t>
      </w:r>
      <w:r w:rsidRPr="00621D36">
        <w:rPr>
          <w:snapToGrid w:val="0"/>
          <w:szCs w:val="20"/>
          <w:highlight w:val="yellow"/>
          <w:lang w:val="en-GB"/>
        </w:rPr>
        <w:t>,</w:t>
      </w:r>
      <w:commentRangeEnd w:id="1"/>
      <w:r w:rsidR="00D777D0" w:rsidRPr="00621D36">
        <w:rPr>
          <w:rStyle w:val="CommentReference"/>
          <w:snapToGrid w:val="0"/>
          <w:sz w:val="20"/>
          <w:szCs w:val="20"/>
          <w:lang w:val="en-GB"/>
        </w:rPr>
        <w:commentReference w:id="1"/>
      </w:r>
      <w:r w:rsidRPr="00621D36">
        <w:rPr>
          <w:snapToGrid w:val="0"/>
          <w:szCs w:val="20"/>
          <w:lang w:val="en-GB"/>
        </w:rPr>
        <w:t xml:space="preserve"> Monica Macaluso </w:t>
      </w:r>
      <w:r w:rsidRPr="00621D36">
        <w:rPr>
          <w:snapToGrid w:val="0"/>
          <w:szCs w:val="20"/>
          <w:vertAlign w:val="superscript"/>
          <w:lang w:val="en-GB"/>
        </w:rPr>
        <w:t>1</w:t>
      </w:r>
      <w:r w:rsidR="004445F2" w:rsidRPr="00621D36">
        <w:rPr>
          <w:snapToGrid w:val="0"/>
          <w:szCs w:val="20"/>
          <w:vertAlign w:val="superscript"/>
          <w:lang w:val="en-GB"/>
        </w:rPr>
        <w:t>,</w:t>
      </w:r>
      <w:r w:rsidRPr="00621D36">
        <w:rPr>
          <w:snapToGrid w:val="0"/>
          <w:szCs w:val="20"/>
          <w:lang w:val="en-GB"/>
        </w:rPr>
        <w:t xml:space="preserve">*, </w:t>
      </w:r>
      <w:commentRangeStart w:id="2"/>
      <w:r w:rsidRPr="00621D36">
        <w:rPr>
          <w:snapToGrid w:val="0"/>
          <w:szCs w:val="20"/>
          <w:highlight w:val="yellow"/>
          <w:lang w:val="en-GB"/>
        </w:rPr>
        <w:t>Bruno Casu</w:t>
      </w:r>
      <w:commentRangeEnd w:id="2"/>
      <w:r w:rsidR="00005254" w:rsidRPr="00621D36">
        <w:rPr>
          <w:rStyle w:val="CommentReference"/>
          <w:snapToGrid w:val="0"/>
          <w:sz w:val="20"/>
          <w:szCs w:val="20"/>
          <w:lang w:val="en-GB"/>
        </w:rPr>
        <w:commentReference w:id="2"/>
      </w:r>
      <w:r w:rsidRPr="00621D36">
        <w:rPr>
          <w:snapToGrid w:val="0"/>
          <w:szCs w:val="20"/>
          <w:lang w:val="en-GB"/>
        </w:rPr>
        <w:t xml:space="preserve"> </w:t>
      </w:r>
      <w:r w:rsidRPr="00621D36">
        <w:rPr>
          <w:snapToGrid w:val="0"/>
          <w:szCs w:val="20"/>
          <w:vertAlign w:val="superscript"/>
          <w:lang w:val="en-GB"/>
        </w:rPr>
        <w:t>2</w:t>
      </w:r>
      <w:r w:rsidRPr="00621D36">
        <w:rPr>
          <w:snapToGrid w:val="0"/>
          <w:szCs w:val="20"/>
          <w:lang w:val="en-GB"/>
        </w:rPr>
        <w:t xml:space="preserve">, Kamran Mehravar </w:t>
      </w:r>
      <w:r w:rsidRPr="00621D36">
        <w:rPr>
          <w:snapToGrid w:val="0"/>
          <w:szCs w:val="20"/>
          <w:vertAlign w:val="superscript"/>
          <w:lang w:val="en-GB"/>
        </w:rPr>
        <w:t>2</w:t>
      </w:r>
      <w:r w:rsidRPr="00621D36">
        <w:rPr>
          <w:snapToGrid w:val="0"/>
          <w:szCs w:val="20"/>
          <w:lang w:val="en-GB"/>
        </w:rPr>
        <w:t xml:space="preserve">, Fabrizio Palla </w:t>
      </w:r>
      <w:r w:rsidRPr="00621D36">
        <w:rPr>
          <w:snapToGrid w:val="0"/>
          <w:szCs w:val="20"/>
          <w:vertAlign w:val="superscript"/>
          <w:lang w:val="en-GB"/>
        </w:rPr>
        <w:t>2</w:t>
      </w:r>
      <w:r w:rsidRPr="00621D36">
        <w:rPr>
          <w:snapToGrid w:val="0"/>
          <w:szCs w:val="20"/>
          <w:lang w:val="en-GB"/>
        </w:rPr>
        <w:t xml:space="preserve">, Piero Giorgio Verdini </w:t>
      </w:r>
      <w:r w:rsidRPr="00621D36">
        <w:rPr>
          <w:snapToGrid w:val="0"/>
          <w:szCs w:val="20"/>
          <w:vertAlign w:val="superscript"/>
          <w:lang w:val="en-GB"/>
        </w:rPr>
        <w:t>2,3</w:t>
      </w:r>
      <w:r w:rsidRPr="00621D36">
        <w:rPr>
          <w:snapToGrid w:val="0"/>
          <w:szCs w:val="20"/>
          <w:lang w:val="en-GB"/>
        </w:rPr>
        <w:t xml:space="preserve"> and Angela </w:t>
      </w:r>
      <w:proofErr w:type="spellStart"/>
      <w:r w:rsidRPr="00621D36">
        <w:rPr>
          <w:snapToGrid w:val="0"/>
          <w:szCs w:val="20"/>
          <w:lang w:val="en-GB"/>
        </w:rPr>
        <w:t>Zinnai</w:t>
      </w:r>
      <w:proofErr w:type="spellEnd"/>
      <w:r w:rsidRPr="00621D36">
        <w:rPr>
          <w:snapToGrid w:val="0"/>
          <w:szCs w:val="20"/>
          <w:lang w:val="en-GB"/>
        </w:rPr>
        <w:t xml:space="preserve"> </w:t>
      </w:r>
      <w:r w:rsidRPr="00621D36">
        <w:rPr>
          <w:snapToGrid w:val="0"/>
          <w:szCs w:val="20"/>
          <w:vertAlign w:val="superscript"/>
          <w:lang w:val="en-GB"/>
        </w:rPr>
        <w:t>1,4</w:t>
      </w:r>
    </w:p>
    <w:p w14:paraId="612D068C" w14:textId="0A4383E4" w:rsidR="002551AE" w:rsidRPr="00621D36" w:rsidRDefault="002551AE" w:rsidP="009046A3">
      <w:pPr>
        <w:pStyle w:val="MDPI17abstract"/>
        <w:spacing w:before="0" w:after="0" w:line="200" w:lineRule="atLeast"/>
        <w:ind w:left="2806" w:hanging="198"/>
        <w:jc w:val="left"/>
        <w:rPr>
          <w:snapToGrid w:val="0"/>
          <w:sz w:val="16"/>
          <w:szCs w:val="16"/>
          <w:lang w:val="en-GB"/>
        </w:rPr>
      </w:pPr>
      <w:r w:rsidRPr="00621D36">
        <w:rPr>
          <w:snapToGrid w:val="0"/>
          <w:sz w:val="16"/>
          <w:szCs w:val="16"/>
          <w:vertAlign w:val="superscript"/>
          <w:lang w:val="en-GB"/>
        </w:rPr>
        <w:t>1</w:t>
      </w:r>
      <w:r w:rsidR="009046A3" w:rsidRPr="00621D36">
        <w:rPr>
          <w:snapToGrid w:val="0"/>
          <w:sz w:val="16"/>
          <w:szCs w:val="16"/>
          <w:lang w:val="en-GB"/>
        </w:rPr>
        <w:tab/>
      </w:r>
      <w:r w:rsidRPr="00621D36">
        <w:rPr>
          <w:snapToGrid w:val="0"/>
          <w:sz w:val="16"/>
          <w:szCs w:val="16"/>
          <w:lang w:val="en-GB"/>
        </w:rPr>
        <w:t>Department of Agriculture, Food and Environment, University of Pisa, Via del Borghetto 80, 56124 Pisa, Italy; nicola.mercanti@phd.unipi.it (N.M.); angela.zinnai@unipi.it (A.Z.)</w:t>
      </w:r>
    </w:p>
    <w:p w14:paraId="176105EC" w14:textId="51D77D06" w:rsidR="002551AE" w:rsidRPr="00621D36" w:rsidRDefault="002551AE" w:rsidP="009046A3">
      <w:pPr>
        <w:pStyle w:val="MDPI17abstract"/>
        <w:spacing w:before="0" w:after="0" w:line="200" w:lineRule="atLeast"/>
        <w:ind w:left="2806" w:hanging="198"/>
        <w:jc w:val="left"/>
        <w:rPr>
          <w:snapToGrid w:val="0"/>
          <w:sz w:val="16"/>
          <w:szCs w:val="16"/>
          <w:lang w:val="en-GB"/>
        </w:rPr>
      </w:pPr>
      <w:r w:rsidRPr="00621D36">
        <w:rPr>
          <w:snapToGrid w:val="0"/>
          <w:sz w:val="16"/>
          <w:szCs w:val="16"/>
          <w:vertAlign w:val="superscript"/>
          <w:lang w:val="en-GB"/>
        </w:rPr>
        <w:t>2</w:t>
      </w:r>
      <w:r w:rsidR="009046A3" w:rsidRPr="00621D36">
        <w:rPr>
          <w:snapToGrid w:val="0"/>
          <w:sz w:val="16"/>
          <w:szCs w:val="16"/>
          <w:lang w:val="en-GB"/>
        </w:rPr>
        <w:tab/>
      </w:r>
      <w:r w:rsidRPr="000725BF">
        <w:rPr>
          <w:snapToGrid w:val="0"/>
          <w:sz w:val="16"/>
          <w:szCs w:val="16"/>
          <w:lang w:val="en-GB"/>
        </w:rPr>
        <w:t xml:space="preserve">INFN </w:t>
      </w:r>
      <w:r w:rsidRPr="00621D36">
        <w:rPr>
          <w:snapToGrid w:val="0"/>
          <w:sz w:val="16"/>
          <w:szCs w:val="16"/>
          <w:lang w:val="en-GB"/>
        </w:rPr>
        <w:t>Pisa Section, Largo Bruno Pontecorvo 3, 56127 Pisa, Italy; bruno.casu@cern.ch (B.C</w:t>
      </w:r>
      <w:r w:rsidR="00005254" w:rsidRPr="00621D36">
        <w:rPr>
          <w:snapToGrid w:val="0"/>
          <w:sz w:val="16"/>
          <w:szCs w:val="16"/>
          <w:lang w:val="en-GB"/>
        </w:rPr>
        <w:t>.</w:t>
      </w:r>
      <w:r w:rsidRPr="00621D36">
        <w:rPr>
          <w:snapToGrid w:val="0"/>
          <w:sz w:val="16"/>
          <w:szCs w:val="16"/>
          <w:lang w:val="en-GB"/>
        </w:rPr>
        <w:t>); k.mehravar@studenti.unipi.it (K.M</w:t>
      </w:r>
      <w:r w:rsidR="00005254" w:rsidRPr="00621D36">
        <w:rPr>
          <w:snapToGrid w:val="0"/>
          <w:sz w:val="16"/>
          <w:szCs w:val="16"/>
          <w:lang w:val="en-GB"/>
        </w:rPr>
        <w:t>.</w:t>
      </w:r>
      <w:r w:rsidRPr="00621D36">
        <w:rPr>
          <w:snapToGrid w:val="0"/>
          <w:sz w:val="16"/>
          <w:szCs w:val="16"/>
          <w:lang w:val="en-GB"/>
        </w:rPr>
        <w:t>)</w:t>
      </w:r>
      <w:r w:rsidR="00005254" w:rsidRPr="00621D36">
        <w:rPr>
          <w:snapToGrid w:val="0"/>
          <w:sz w:val="16"/>
          <w:szCs w:val="16"/>
          <w:lang w:val="en-GB"/>
        </w:rPr>
        <w:t>;</w:t>
      </w:r>
      <w:r w:rsidRPr="00621D36">
        <w:rPr>
          <w:snapToGrid w:val="0"/>
          <w:sz w:val="16"/>
          <w:szCs w:val="16"/>
          <w:lang w:val="en-GB"/>
        </w:rPr>
        <w:t xml:space="preserve"> fabrizio.palla@cern.ch (F.P</w:t>
      </w:r>
      <w:r w:rsidR="00005254" w:rsidRPr="00621D36">
        <w:rPr>
          <w:snapToGrid w:val="0"/>
          <w:sz w:val="16"/>
          <w:szCs w:val="16"/>
          <w:lang w:val="en-GB"/>
        </w:rPr>
        <w:t>.</w:t>
      </w:r>
      <w:r w:rsidRPr="00621D36">
        <w:rPr>
          <w:snapToGrid w:val="0"/>
          <w:sz w:val="16"/>
          <w:szCs w:val="16"/>
          <w:lang w:val="en-GB"/>
        </w:rPr>
        <w:t>)</w:t>
      </w:r>
      <w:r w:rsidR="002F50D8" w:rsidRPr="00621D36">
        <w:rPr>
          <w:snapToGrid w:val="0"/>
          <w:sz w:val="16"/>
          <w:szCs w:val="16"/>
          <w:lang w:val="en-GB"/>
        </w:rPr>
        <w:t xml:space="preserve">; </w:t>
      </w:r>
      <w:commentRangeStart w:id="3"/>
      <w:r w:rsidR="002F50D8" w:rsidRPr="00621D36">
        <w:rPr>
          <w:snapToGrid w:val="0"/>
          <w:sz w:val="16"/>
          <w:szCs w:val="16"/>
          <w:highlight w:val="yellow"/>
          <w:lang w:val="en-GB"/>
        </w:rPr>
        <w:t xml:space="preserve">pie-ro.giorgio.verdini@cern.ch </w:t>
      </w:r>
      <w:commentRangeEnd w:id="3"/>
      <w:r w:rsidR="00882628" w:rsidRPr="00621D36">
        <w:rPr>
          <w:rStyle w:val="CommentReference"/>
          <w:snapToGrid w:val="0"/>
          <w:sz w:val="16"/>
          <w:szCs w:val="16"/>
          <w:lang w:val="en-GB"/>
        </w:rPr>
        <w:commentReference w:id="3"/>
      </w:r>
      <w:r w:rsidR="002F50D8" w:rsidRPr="00621D36">
        <w:rPr>
          <w:snapToGrid w:val="0"/>
          <w:sz w:val="16"/>
          <w:szCs w:val="16"/>
          <w:lang w:val="en-GB"/>
        </w:rPr>
        <w:t>(P.G.V.)</w:t>
      </w:r>
    </w:p>
    <w:p w14:paraId="002CF924" w14:textId="0949087E" w:rsidR="002551AE" w:rsidRPr="00621D36" w:rsidRDefault="002551AE" w:rsidP="009046A3">
      <w:pPr>
        <w:pStyle w:val="MDPI17abstract"/>
        <w:spacing w:before="0" w:after="0" w:line="200" w:lineRule="atLeast"/>
        <w:ind w:left="2806" w:hanging="198"/>
        <w:jc w:val="left"/>
        <w:rPr>
          <w:snapToGrid w:val="0"/>
          <w:sz w:val="16"/>
          <w:szCs w:val="16"/>
          <w:lang w:val="en-GB"/>
        </w:rPr>
      </w:pPr>
      <w:r w:rsidRPr="00621D36">
        <w:rPr>
          <w:snapToGrid w:val="0"/>
          <w:sz w:val="16"/>
          <w:szCs w:val="16"/>
          <w:vertAlign w:val="superscript"/>
          <w:lang w:val="en-GB"/>
        </w:rPr>
        <w:t>3</w:t>
      </w:r>
      <w:r w:rsidR="009046A3" w:rsidRPr="00621D36">
        <w:rPr>
          <w:snapToGrid w:val="0"/>
          <w:sz w:val="16"/>
          <w:szCs w:val="16"/>
          <w:lang w:val="en-GB"/>
        </w:rPr>
        <w:tab/>
      </w:r>
      <w:r w:rsidRPr="00621D36">
        <w:rPr>
          <w:snapToGrid w:val="0"/>
          <w:sz w:val="16"/>
          <w:szCs w:val="16"/>
          <w:lang w:val="en-GB"/>
        </w:rPr>
        <w:t xml:space="preserve">European Organization for Nuclear Research </w:t>
      </w:r>
      <w:proofErr w:type="spellStart"/>
      <w:r w:rsidRPr="00621D36">
        <w:rPr>
          <w:snapToGrid w:val="0"/>
          <w:sz w:val="16"/>
          <w:szCs w:val="16"/>
          <w:lang w:val="en-GB"/>
        </w:rPr>
        <w:t>Espl</w:t>
      </w:r>
      <w:proofErr w:type="spellEnd"/>
      <w:r w:rsidRPr="00621D36">
        <w:rPr>
          <w:snapToGrid w:val="0"/>
          <w:sz w:val="16"/>
          <w:szCs w:val="16"/>
          <w:lang w:val="en-GB"/>
        </w:rPr>
        <w:t xml:space="preserve">. des </w:t>
      </w:r>
      <w:proofErr w:type="spellStart"/>
      <w:r w:rsidRPr="00621D36">
        <w:rPr>
          <w:snapToGrid w:val="0"/>
          <w:sz w:val="16"/>
          <w:szCs w:val="16"/>
          <w:lang w:val="en-GB"/>
        </w:rPr>
        <w:t>Particules</w:t>
      </w:r>
      <w:proofErr w:type="spellEnd"/>
      <w:r w:rsidRPr="00621D36">
        <w:rPr>
          <w:snapToGrid w:val="0"/>
          <w:sz w:val="16"/>
          <w:szCs w:val="16"/>
          <w:lang w:val="en-GB"/>
        </w:rPr>
        <w:t xml:space="preserve"> 1, 1211 </w:t>
      </w:r>
      <w:proofErr w:type="spellStart"/>
      <w:r w:rsidRPr="00621D36">
        <w:rPr>
          <w:snapToGrid w:val="0"/>
          <w:sz w:val="16"/>
          <w:szCs w:val="16"/>
          <w:lang w:val="en-GB"/>
        </w:rPr>
        <w:t>Meyrin</w:t>
      </w:r>
      <w:proofErr w:type="spellEnd"/>
      <w:r w:rsidRPr="00621D36">
        <w:rPr>
          <w:snapToGrid w:val="0"/>
          <w:sz w:val="16"/>
          <w:szCs w:val="16"/>
          <w:lang w:val="en-GB"/>
        </w:rPr>
        <w:t>, Switzerland</w:t>
      </w:r>
    </w:p>
    <w:p w14:paraId="585E9BB7" w14:textId="5F92BE45" w:rsidR="002551AE" w:rsidRPr="00621D36" w:rsidRDefault="002551AE" w:rsidP="009046A3">
      <w:pPr>
        <w:pStyle w:val="MDPI17abstract"/>
        <w:spacing w:before="0" w:after="0" w:line="200" w:lineRule="atLeast"/>
        <w:ind w:left="2806" w:hanging="198"/>
        <w:jc w:val="left"/>
        <w:rPr>
          <w:snapToGrid w:val="0"/>
          <w:sz w:val="16"/>
          <w:szCs w:val="16"/>
          <w:lang w:val="en-GB"/>
        </w:rPr>
      </w:pPr>
      <w:r w:rsidRPr="00621D36">
        <w:rPr>
          <w:snapToGrid w:val="0"/>
          <w:sz w:val="16"/>
          <w:szCs w:val="16"/>
          <w:vertAlign w:val="superscript"/>
          <w:lang w:val="en-GB"/>
        </w:rPr>
        <w:t>4</w:t>
      </w:r>
      <w:r w:rsidR="009046A3" w:rsidRPr="00621D36">
        <w:rPr>
          <w:snapToGrid w:val="0"/>
          <w:sz w:val="16"/>
          <w:szCs w:val="16"/>
          <w:lang w:val="en-GB"/>
        </w:rPr>
        <w:tab/>
      </w:r>
      <w:r w:rsidRPr="00621D36">
        <w:rPr>
          <w:snapToGrid w:val="0"/>
          <w:sz w:val="16"/>
          <w:szCs w:val="16"/>
          <w:lang w:val="en-GB"/>
        </w:rPr>
        <w:t xml:space="preserve">Interdepartmental Research Centre “Nutraceuticals and Food for Health”, University of Pisa, Via del </w:t>
      </w:r>
      <w:r w:rsidR="00D97297" w:rsidRPr="00621D36">
        <w:rPr>
          <w:snapToGrid w:val="0"/>
          <w:sz w:val="16"/>
          <w:szCs w:val="16"/>
          <w:lang w:val="en-GB"/>
        </w:rPr>
        <w:br/>
      </w:r>
      <w:proofErr w:type="spellStart"/>
      <w:r w:rsidRPr="00621D36">
        <w:rPr>
          <w:snapToGrid w:val="0"/>
          <w:sz w:val="16"/>
          <w:szCs w:val="16"/>
          <w:lang w:val="en-GB"/>
        </w:rPr>
        <w:t>Bor</w:t>
      </w:r>
      <w:proofErr w:type="spellEnd"/>
      <w:r w:rsidRPr="00621D36">
        <w:rPr>
          <w:snapToGrid w:val="0"/>
          <w:sz w:val="16"/>
          <w:szCs w:val="16"/>
          <w:lang w:val="en-GB"/>
        </w:rPr>
        <w:t>-ghetto 80, 56124 Pisa, Italy</w:t>
      </w:r>
    </w:p>
    <w:p w14:paraId="408899D1" w14:textId="0B6CB343" w:rsidR="002551AE" w:rsidRPr="00621D36" w:rsidRDefault="002551AE" w:rsidP="009046A3">
      <w:pPr>
        <w:pStyle w:val="MDPI16affiliation"/>
        <w:rPr>
          <w:lang w:val="en-GB"/>
        </w:rPr>
      </w:pPr>
      <w:r w:rsidRPr="00621D36">
        <w:rPr>
          <w:b/>
          <w:lang w:val="en-GB"/>
        </w:rPr>
        <w:t>*</w:t>
      </w:r>
      <w:r w:rsidR="009046A3" w:rsidRPr="00621D36">
        <w:rPr>
          <w:lang w:val="en-GB"/>
        </w:rPr>
        <w:tab/>
      </w:r>
      <w:r w:rsidRPr="00621D36">
        <w:rPr>
          <w:lang w:val="en-GB"/>
        </w:rPr>
        <w:t>Correspondence:</w:t>
      </w:r>
      <w:r w:rsidR="000C64CD" w:rsidRPr="00621D36">
        <w:rPr>
          <w:lang w:val="en-GB"/>
        </w:rPr>
        <w:t xml:space="preserve"> </w:t>
      </w:r>
      <w:r w:rsidR="00A73289" w:rsidRPr="00621D36">
        <w:rPr>
          <w:lang w:val="en-GB"/>
        </w:rPr>
        <w:t>monica.macaluso@unipi.it</w:t>
      </w:r>
    </w:p>
    <w:p w14:paraId="5381C316" w14:textId="77777777" w:rsidR="002551AE" w:rsidRPr="00621D36" w:rsidRDefault="002551AE" w:rsidP="009046A3">
      <w:pPr>
        <w:pStyle w:val="MDPI17abstract"/>
        <w:jc w:val="left"/>
        <w:rPr>
          <w:b/>
          <w:snapToGrid w:val="0"/>
          <w:szCs w:val="20"/>
          <w:lang w:val="en-GB"/>
        </w:rPr>
      </w:pPr>
      <w:r w:rsidRPr="00621D36">
        <w:rPr>
          <w:b/>
          <w:snapToGrid w:val="0"/>
          <w:szCs w:val="20"/>
          <w:lang w:val="en-GB"/>
        </w:rPr>
        <w:t>Abstract</w:t>
      </w:r>
    </w:p>
    <w:p w14:paraId="34260CDE" w14:textId="1D0E0C4E" w:rsidR="002551AE" w:rsidRPr="00621D36" w:rsidRDefault="002551AE" w:rsidP="009046A3">
      <w:pPr>
        <w:pStyle w:val="MDPI17abstract"/>
        <w:spacing w:before="0" w:after="0"/>
        <w:rPr>
          <w:snapToGrid w:val="0"/>
          <w:szCs w:val="20"/>
          <w:lang w:val="en-GB"/>
        </w:rPr>
      </w:pPr>
      <w:r w:rsidRPr="00621D36">
        <w:rPr>
          <w:snapToGrid w:val="0"/>
          <w:szCs w:val="20"/>
          <w:lang w:val="en-GB"/>
        </w:rPr>
        <w:t>Bag-in-</w:t>
      </w:r>
      <w:r w:rsidR="005D41F1">
        <w:rPr>
          <w:snapToGrid w:val="0"/>
          <w:szCs w:val="20"/>
          <w:lang w:val="en-GB"/>
        </w:rPr>
        <w:t>b</w:t>
      </w:r>
      <w:r w:rsidR="005D41F1" w:rsidRPr="00621D36">
        <w:rPr>
          <w:snapToGrid w:val="0"/>
          <w:szCs w:val="20"/>
          <w:lang w:val="en-GB"/>
        </w:rPr>
        <w:t xml:space="preserve">ox </w:t>
      </w:r>
      <w:r w:rsidRPr="00621D36">
        <w:rPr>
          <w:snapToGrid w:val="0"/>
          <w:szCs w:val="20"/>
          <w:lang w:val="en-GB"/>
        </w:rPr>
        <w:t>(</w:t>
      </w:r>
      <w:proofErr w:type="spellStart"/>
      <w:r w:rsidRPr="00621D36">
        <w:rPr>
          <w:snapToGrid w:val="0"/>
          <w:szCs w:val="20"/>
          <w:lang w:val="en-GB"/>
        </w:rPr>
        <w:t>BiB</w:t>
      </w:r>
      <w:proofErr w:type="spellEnd"/>
      <w:r w:rsidRPr="00621D36">
        <w:rPr>
          <w:snapToGrid w:val="0"/>
          <w:szCs w:val="20"/>
          <w:lang w:val="en-GB"/>
        </w:rPr>
        <w:t>) wine packaging is increasingly used for export, but conditions inside palletised units are rarely measured directly. We instrumented 3</w:t>
      </w:r>
      <w:r w:rsidR="00B2067C" w:rsidRPr="00B2067C">
        <w:rPr>
          <w:snapToGrid w:val="0"/>
          <w:szCs w:val="20"/>
          <w:lang w:val="en-GB"/>
        </w:rPr>
        <w:t xml:space="preserve"> </w:t>
      </w:r>
      <w:r w:rsidRPr="00621D36">
        <w:rPr>
          <w:snapToGrid w:val="0"/>
          <w:szCs w:val="20"/>
          <w:lang w:val="en-GB"/>
        </w:rPr>
        <w:t xml:space="preserve">L </w:t>
      </w:r>
      <w:proofErr w:type="spellStart"/>
      <w:r w:rsidRPr="00621D36">
        <w:rPr>
          <w:snapToGrid w:val="0"/>
          <w:szCs w:val="20"/>
          <w:lang w:val="en-GB"/>
        </w:rPr>
        <w:t>BiB</w:t>
      </w:r>
      <w:proofErr w:type="spellEnd"/>
      <w:r w:rsidRPr="00621D36">
        <w:rPr>
          <w:snapToGrid w:val="0"/>
          <w:szCs w:val="20"/>
          <w:lang w:val="en-GB"/>
        </w:rPr>
        <w:t xml:space="preserve"> units with in-bag MEMS pressure and temperature sensors during a 20-day static chamber trial using 19 </w:t>
      </w:r>
      <w:r w:rsidR="00BC02DA" w:rsidRPr="00621D36">
        <w:rPr>
          <w:snapToGrid w:val="0"/>
          <w:szCs w:val="20"/>
          <w:lang w:val="en-GB"/>
        </w:rPr>
        <w:t>°C</w:t>
      </w:r>
      <w:r w:rsidRPr="00621D36">
        <w:rPr>
          <w:snapToGrid w:val="0"/>
          <w:szCs w:val="20"/>
          <w:lang w:val="en-GB"/>
        </w:rPr>
        <w:t xml:space="preserve"> and 50 </w:t>
      </w:r>
      <w:r w:rsidR="00BC02DA" w:rsidRPr="00621D36">
        <w:rPr>
          <w:snapToGrid w:val="0"/>
          <w:szCs w:val="20"/>
          <w:lang w:val="en-GB"/>
        </w:rPr>
        <w:t>°C</w:t>
      </w:r>
      <w:r w:rsidRPr="00621D36">
        <w:rPr>
          <w:snapToGrid w:val="0"/>
          <w:szCs w:val="20"/>
          <w:lang w:val="en-GB"/>
        </w:rPr>
        <w:t xml:space="preserve"> set-point chambers, labelled C19 and C50. The set-point labels do not represent measured wine temperatures. A 15-day single-stack verification trial was also run at the C50 set point. In the main trial, </w:t>
      </w:r>
      <w:r w:rsidR="00E34BE6">
        <w:rPr>
          <w:snapToGrid w:val="0"/>
          <w:szCs w:val="20"/>
          <w:lang w:val="en-GB"/>
        </w:rPr>
        <w:t xml:space="preserve">the </w:t>
      </w:r>
      <w:r w:rsidRPr="00621D36">
        <w:rPr>
          <w:snapToGrid w:val="0"/>
          <w:szCs w:val="20"/>
          <w:lang w:val="en-GB"/>
        </w:rPr>
        <w:t xml:space="preserve">measured in-bag temperature differed strongly from </w:t>
      </w:r>
      <w:r w:rsidR="00E34BE6">
        <w:rPr>
          <w:snapToGrid w:val="0"/>
          <w:szCs w:val="20"/>
          <w:lang w:val="en-GB"/>
        </w:rPr>
        <w:t xml:space="preserve">the </w:t>
      </w:r>
      <w:r w:rsidRPr="00621D36">
        <w:rPr>
          <w:snapToGrid w:val="0"/>
          <w:szCs w:val="20"/>
          <w:lang w:val="en-GB"/>
        </w:rPr>
        <w:t xml:space="preserve">chamber set point. C50 packages stabilised at 34.2 ± 0.4 </w:t>
      </w:r>
      <w:r w:rsidR="00BC02DA" w:rsidRPr="00621D36">
        <w:rPr>
          <w:snapToGrid w:val="0"/>
          <w:szCs w:val="20"/>
          <w:lang w:val="en-GB"/>
        </w:rPr>
        <w:t>°C</w:t>
      </w:r>
      <w:r w:rsidRPr="00621D36">
        <w:rPr>
          <w:snapToGrid w:val="0"/>
          <w:szCs w:val="20"/>
          <w:lang w:val="en-GB"/>
        </w:rPr>
        <w:t xml:space="preserve"> in</w:t>
      </w:r>
      <w:r w:rsidR="00E34BE6">
        <w:rPr>
          <w:snapToGrid w:val="0"/>
          <w:szCs w:val="20"/>
          <w:lang w:val="en-GB"/>
        </w:rPr>
        <w:t xml:space="preserve"> the</w:t>
      </w:r>
      <w:r w:rsidRPr="00621D36">
        <w:rPr>
          <w:snapToGrid w:val="0"/>
          <w:szCs w:val="20"/>
          <w:lang w:val="en-GB"/>
        </w:rPr>
        <w:t xml:space="preserve"> top units and 26.1 ± 0.2 </w:t>
      </w:r>
      <w:r w:rsidR="00BC02DA" w:rsidRPr="00621D36">
        <w:rPr>
          <w:snapToGrid w:val="0"/>
          <w:szCs w:val="20"/>
          <w:lang w:val="en-GB"/>
        </w:rPr>
        <w:t>°C</w:t>
      </w:r>
      <w:r w:rsidRPr="00621D36">
        <w:rPr>
          <w:snapToGrid w:val="0"/>
          <w:szCs w:val="20"/>
          <w:lang w:val="en-GB"/>
        </w:rPr>
        <w:t xml:space="preserve"> in</w:t>
      </w:r>
      <w:r w:rsidR="00E34BE6">
        <w:rPr>
          <w:snapToGrid w:val="0"/>
          <w:szCs w:val="20"/>
          <w:lang w:val="en-GB"/>
        </w:rPr>
        <w:t xml:space="preserve"> the</w:t>
      </w:r>
      <w:r w:rsidRPr="00621D36">
        <w:rPr>
          <w:snapToGrid w:val="0"/>
          <w:szCs w:val="20"/>
          <w:lang w:val="en-GB"/>
        </w:rPr>
        <w:t xml:space="preserve"> bottom units, while C19 units remained around 22.8–23.5 </w:t>
      </w:r>
      <w:r w:rsidR="00BC02DA" w:rsidRPr="00621D36">
        <w:rPr>
          <w:snapToGrid w:val="0"/>
          <w:szCs w:val="20"/>
          <w:lang w:val="en-GB"/>
        </w:rPr>
        <w:t>°C</w:t>
      </w:r>
      <w:r w:rsidRPr="00621D36">
        <w:rPr>
          <w:snapToGrid w:val="0"/>
          <w:szCs w:val="20"/>
          <w:lang w:val="en-GB"/>
        </w:rPr>
        <w:t xml:space="preserve">. In the verification trial, individual sensors reached 45.0–48.8 </w:t>
      </w:r>
      <w:r w:rsidR="00BC02DA" w:rsidRPr="00621D36">
        <w:rPr>
          <w:snapToGrid w:val="0"/>
          <w:szCs w:val="20"/>
          <w:lang w:val="en-GB"/>
        </w:rPr>
        <w:t>°C</w:t>
      </w:r>
      <w:r w:rsidRPr="00621D36">
        <w:rPr>
          <w:snapToGrid w:val="0"/>
          <w:szCs w:val="20"/>
          <w:lang w:val="en-GB"/>
        </w:rPr>
        <w:t xml:space="preserve">, but no in-bag sensor reached 50 </w:t>
      </w:r>
      <w:r w:rsidR="00BC02DA" w:rsidRPr="00621D36">
        <w:rPr>
          <w:snapToGrid w:val="0"/>
          <w:szCs w:val="20"/>
          <w:lang w:val="en-GB"/>
        </w:rPr>
        <w:t>°C</w:t>
      </w:r>
      <w:r w:rsidRPr="00621D36">
        <w:rPr>
          <w:snapToGrid w:val="0"/>
          <w:szCs w:val="20"/>
          <w:lang w:val="en-GB"/>
        </w:rPr>
        <w:t>. Internal pressure rose after handling and peaked between day 3 + 13 h and day 5 + 19 h. Bottom-position units showed a larger uncorrected peak ΔP than top-position units (adjusted difference</w:t>
      </w:r>
      <w:r w:rsidR="00E34BE6">
        <w:rPr>
          <w:snapToGrid w:val="0"/>
          <w:szCs w:val="20"/>
          <w:lang w:val="en-GB"/>
        </w:rPr>
        <w:t>:</w:t>
      </w:r>
      <w:r w:rsidRPr="00621D36">
        <w:rPr>
          <w:snapToGrid w:val="0"/>
          <w:szCs w:val="20"/>
          <w:lang w:val="en-GB"/>
        </w:rPr>
        <w:t xml:space="preserve"> 20.4 mbar; F(1,8) = 9.14; </w:t>
      </w:r>
      <w:r w:rsidR="00A50198" w:rsidRPr="00621D36">
        <w:rPr>
          <w:i/>
          <w:snapToGrid w:val="0"/>
          <w:szCs w:val="20"/>
          <w:lang w:val="en-GB"/>
        </w:rPr>
        <w:t>p</w:t>
      </w:r>
      <w:r w:rsidRPr="00621D36">
        <w:rPr>
          <w:snapToGrid w:val="0"/>
          <w:szCs w:val="20"/>
          <w:lang w:val="en-GB"/>
        </w:rPr>
        <w:t xml:space="preserve"> = 0.017). The position result is interpreted as exploratory. The pressure analysis used a small unbalanced sensor-level design, with one missing bottom-position C19 trace, no barometric reference logger, and no retained stack pairings. Bulk wine from C50 showed lower free and total SO</w:t>
      </w:r>
      <w:r w:rsidR="00BC02DA" w:rsidRPr="00621D36">
        <w:rPr>
          <w:snapToGrid w:val="0"/>
          <w:szCs w:val="20"/>
          <w:vertAlign w:val="subscript"/>
          <w:lang w:val="en-GB"/>
        </w:rPr>
        <w:t>2</w:t>
      </w:r>
      <w:r w:rsidRPr="00621D36">
        <w:rPr>
          <w:snapToGrid w:val="0"/>
          <w:szCs w:val="20"/>
          <w:lang w:val="en-GB"/>
        </w:rPr>
        <w:t xml:space="preserve"> and higher volatile acidity than wine from C19. Lactic acid was significantly higher in C50, although the underlying mechanism could not be established and residual microbial activity cannot be excluded. Overall, chamber set points were a poor proxy for actual in-package conditions. Selected sentinel packages can document real thermal and pressure exposure in palletised </w:t>
      </w:r>
      <w:proofErr w:type="spellStart"/>
      <w:r w:rsidRPr="00621D36">
        <w:rPr>
          <w:snapToGrid w:val="0"/>
          <w:szCs w:val="20"/>
          <w:lang w:val="en-GB"/>
        </w:rPr>
        <w:t>BiB</w:t>
      </w:r>
      <w:proofErr w:type="spellEnd"/>
      <w:r w:rsidRPr="00621D36">
        <w:rPr>
          <w:snapToGrid w:val="0"/>
          <w:szCs w:val="20"/>
          <w:lang w:val="en-GB"/>
        </w:rPr>
        <w:t xml:space="preserve"> wine.</w:t>
      </w:r>
    </w:p>
    <w:tbl>
      <w:tblPr>
        <w:tblStyle w:val="MDPItable"/>
        <w:tblpPr w:leftFromText="198" w:rightFromText="198" w:vertAnchor="page" w:horzAnchor="margin" w:tblpY="12581"/>
        <w:tblW w:w="2409" w:type="dxa"/>
        <w:tblLayout w:type="fixed"/>
        <w:tblLook w:val="04A0" w:firstRow="1" w:lastRow="0" w:firstColumn="1" w:lastColumn="0" w:noHBand="0" w:noVBand="1"/>
      </w:tblPr>
      <w:tblGrid>
        <w:gridCol w:w="2409"/>
      </w:tblGrid>
      <w:tr w:rsidR="004E4834" w:rsidRPr="00621D36" w14:paraId="58BC9F9A" w14:textId="77777777" w:rsidTr="00D25AB1">
        <w:trPr>
          <w:cantSplit/>
        </w:trPr>
        <w:tc>
          <w:tcPr>
            <w:tcW w:w="2409" w:type="dxa"/>
          </w:tcPr>
          <w:p w14:paraId="0F6EAD8B" w14:textId="023B74D4" w:rsidR="004E4834" w:rsidRPr="00621D36" w:rsidRDefault="004E4834" w:rsidP="00D25AB1">
            <w:pPr>
              <w:pStyle w:val="MDPI15academiceditor"/>
              <w:spacing w:before="0" w:after="120"/>
              <w:rPr>
                <w:snapToGrid w:val="0"/>
                <w:lang w:val="en-GB"/>
              </w:rPr>
            </w:pPr>
            <w:r w:rsidRPr="00621D36">
              <w:rPr>
                <w:snapToGrid w:val="0"/>
                <w:lang w:val="en-GB"/>
              </w:rPr>
              <w:t xml:space="preserve">Academic Editor: </w:t>
            </w:r>
            <w:proofErr w:type="spellStart"/>
            <w:r w:rsidR="00EE674F" w:rsidRPr="00EE674F">
              <w:rPr>
                <w:snapToGrid w:val="0"/>
                <w:lang w:val="en-US"/>
              </w:rPr>
              <w:t>Hualin</w:t>
            </w:r>
            <w:proofErr w:type="spellEnd"/>
            <w:r w:rsidR="00EE674F" w:rsidRPr="00EE674F">
              <w:rPr>
                <w:snapToGrid w:val="0"/>
                <w:lang w:val="en-US"/>
              </w:rPr>
              <w:t xml:space="preserve"> Wang</w:t>
            </w:r>
          </w:p>
          <w:p w14:paraId="746EFC30" w14:textId="279E796E" w:rsidR="00EE674F" w:rsidRPr="00EE674F" w:rsidRDefault="004E4834" w:rsidP="00EE674F">
            <w:pPr>
              <w:pStyle w:val="MDPI14history"/>
              <w:rPr>
                <w:rFonts w:eastAsiaTheme="minorEastAsia" w:hint="eastAsia"/>
                <w:snapToGrid w:val="0"/>
                <w:lang w:val="en-GB" w:eastAsia="zh-CN"/>
              </w:rPr>
            </w:pPr>
            <w:r w:rsidRPr="00621D36">
              <w:rPr>
                <w:snapToGrid w:val="0"/>
                <w:lang w:val="en-GB"/>
              </w:rPr>
              <w:t xml:space="preserve">Received: </w:t>
            </w:r>
            <w:r w:rsidR="00EE674F" w:rsidRPr="00EE674F">
              <w:rPr>
                <w:snapToGrid w:val="0"/>
                <w:lang w:val="en-GB"/>
              </w:rPr>
              <w:t>23 July 2026</w:t>
            </w:r>
          </w:p>
          <w:p w14:paraId="60CDB3F9" w14:textId="5C46EA7C" w:rsidR="00EE674F" w:rsidRPr="00EE674F" w:rsidRDefault="00EE674F" w:rsidP="00EE674F">
            <w:pPr>
              <w:pStyle w:val="MDPI14history"/>
              <w:rPr>
                <w:rFonts w:eastAsiaTheme="minorEastAsia" w:hint="eastAsia"/>
                <w:snapToGrid w:val="0"/>
                <w:lang w:val="en-GB" w:eastAsia="zh-CN"/>
              </w:rPr>
            </w:pPr>
            <w:r w:rsidRPr="00EE674F">
              <w:rPr>
                <w:snapToGrid w:val="0"/>
                <w:lang w:val="en-GB"/>
              </w:rPr>
              <w:t>Revised: 1 September 2026</w:t>
            </w:r>
          </w:p>
          <w:p w14:paraId="2E4AEDA4" w14:textId="77777777" w:rsidR="00EE674F" w:rsidRDefault="00EE674F" w:rsidP="00EE674F">
            <w:pPr>
              <w:pStyle w:val="MDPI14history"/>
              <w:rPr>
                <w:rFonts w:eastAsiaTheme="minorEastAsia"/>
                <w:snapToGrid w:val="0"/>
                <w:lang w:val="en-GB" w:eastAsia="zh-CN"/>
              </w:rPr>
            </w:pPr>
            <w:r w:rsidRPr="00EE674F">
              <w:rPr>
                <w:snapToGrid w:val="0"/>
                <w:lang w:val="en-GB"/>
              </w:rPr>
              <w:t>Accepted: 1 September 2026</w:t>
            </w:r>
          </w:p>
          <w:p w14:paraId="37496A24" w14:textId="05A53766" w:rsidR="004E4834" w:rsidRPr="00621D36" w:rsidRDefault="004E4834" w:rsidP="00EE674F">
            <w:pPr>
              <w:pStyle w:val="MDPI14history"/>
              <w:spacing w:after="120"/>
              <w:rPr>
                <w:snapToGrid w:val="0"/>
                <w:lang w:val="en-GB"/>
              </w:rPr>
            </w:pPr>
            <w:r w:rsidRPr="00621D36">
              <w:rPr>
                <w:snapToGrid w:val="0"/>
                <w:lang w:val="en-GB"/>
              </w:rPr>
              <w:t>Published: date</w:t>
            </w:r>
          </w:p>
          <w:p w14:paraId="1679C664" w14:textId="77777777" w:rsidR="004E4834" w:rsidRPr="00621D36" w:rsidRDefault="004E4834" w:rsidP="00D25AB1">
            <w:pPr>
              <w:pStyle w:val="MDPI72copyright"/>
            </w:pPr>
            <w:r w:rsidRPr="00621D36">
              <w:rPr>
                <w:b/>
              </w:rPr>
              <w:t>Copyright:</w:t>
            </w:r>
            <w:r w:rsidRPr="00621D36">
              <w:t xml:space="preserve"> © 2026 by the authors. Submitted for possible open access publication under the terms and conditions of the </w:t>
            </w:r>
            <w:hyperlink r:id="rId11" w:history="1">
              <w:r w:rsidRPr="00621D36">
                <w:rPr>
                  <w:rStyle w:val="Hyperlink"/>
                  <w:u w:val="none"/>
                </w:rPr>
                <w:t>Creative Commons Attribution (CC BY) license</w:t>
              </w:r>
            </w:hyperlink>
            <w:r w:rsidRPr="00621D36">
              <w:t>.</w:t>
            </w:r>
          </w:p>
        </w:tc>
      </w:tr>
    </w:tbl>
    <w:p w14:paraId="4E18D5B7" w14:textId="79E7B755" w:rsidR="002551AE" w:rsidRPr="00621D36" w:rsidRDefault="009046A3" w:rsidP="009046A3">
      <w:pPr>
        <w:pStyle w:val="MDPI18keywords"/>
        <w:rPr>
          <w:szCs w:val="20"/>
          <w:lang w:val="en-GB"/>
          <w14:ligatures w14:val="standardContextual"/>
        </w:rPr>
      </w:pPr>
      <w:r w:rsidRPr="00621D36">
        <w:rPr>
          <w:b/>
          <w:szCs w:val="20"/>
          <w:lang w:val="en-GB"/>
          <w14:ligatures w14:val="standardContextual"/>
        </w:rPr>
        <w:t>Keywords:</w:t>
      </w:r>
      <w:r w:rsidR="002551AE" w:rsidRPr="00621D36">
        <w:rPr>
          <w:b/>
          <w:szCs w:val="20"/>
          <w:lang w:val="en-GB"/>
          <w14:ligatures w14:val="standardContextual"/>
        </w:rPr>
        <w:t xml:space="preserve"> </w:t>
      </w:r>
      <w:r w:rsidR="002551AE" w:rsidRPr="00621D36">
        <w:rPr>
          <w:szCs w:val="20"/>
          <w:lang w:val="en-GB"/>
          <w14:ligatures w14:val="standardContextual"/>
        </w:rPr>
        <w:t>wine logistics</w:t>
      </w:r>
      <w:r w:rsidRPr="00621D36">
        <w:rPr>
          <w:szCs w:val="20"/>
          <w:lang w:val="en-GB"/>
          <w14:ligatures w14:val="standardContextual"/>
        </w:rPr>
        <w:t xml:space="preserve">; </w:t>
      </w:r>
      <w:r w:rsidR="002551AE" w:rsidRPr="00621D36">
        <w:rPr>
          <w:szCs w:val="20"/>
          <w:lang w:val="en-GB"/>
          <w14:ligatures w14:val="standardContextual"/>
        </w:rPr>
        <w:t>pressure variation</w:t>
      </w:r>
      <w:r w:rsidRPr="00621D36">
        <w:rPr>
          <w:szCs w:val="20"/>
          <w:lang w:val="en-GB"/>
          <w14:ligatures w14:val="standardContextual"/>
        </w:rPr>
        <w:t xml:space="preserve">; </w:t>
      </w:r>
      <w:r w:rsidR="002551AE" w:rsidRPr="00621D36">
        <w:rPr>
          <w:szCs w:val="20"/>
          <w:lang w:val="en-GB"/>
          <w14:ligatures w14:val="standardContextual"/>
        </w:rPr>
        <w:t>storage stability</w:t>
      </w:r>
      <w:r w:rsidRPr="00621D36">
        <w:rPr>
          <w:szCs w:val="20"/>
          <w:lang w:val="en-GB"/>
          <w14:ligatures w14:val="standardContextual"/>
        </w:rPr>
        <w:t xml:space="preserve">; </w:t>
      </w:r>
      <w:r w:rsidR="002551AE" w:rsidRPr="00621D36">
        <w:rPr>
          <w:szCs w:val="20"/>
          <w:lang w:val="en-GB"/>
          <w14:ligatures w14:val="standardContextual"/>
        </w:rPr>
        <w:t>sensor-based monitoring</w:t>
      </w:r>
    </w:p>
    <w:p w14:paraId="29CB9F27" w14:textId="77777777" w:rsidR="002551AE" w:rsidRPr="00621D36" w:rsidRDefault="002551AE" w:rsidP="009046A3">
      <w:pPr>
        <w:pStyle w:val="MDPI19line"/>
        <w:rPr>
          <w:lang w:val="en-GB"/>
        </w:rPr>
      </w:pPr>
    </w:p>
    <w:p w14:paraId="7D75602C" w14:textId="77777777" w:rsidR="002551AE" w:rsidRPr="00621D36" w:rsidRDefault="002551AE" w:rsidP="009046A3">
      <w:pPr>
        <w:pStyle w:val="MDPI21heading1"/>
        <w:rPr>
          <w:szCs w:val="24"/>
          <w:lang w:val="en-GB"/>
        </w:rPr>
      </w:pPr>
      <w:r w:rsidRPr="00621D36">
        <w:rPr>
          <w:szCs w:val="24"/>
          <w:lang w:val="en-GB"/>
        </w:rPr>
        <w:t>1. Introduction</w:t>
      </w:r>
    </w:p>
    <w:p w14:paraId="1AF76A1A" w14:textId="11840620" w:rsidR="002551AE" w:rsidRPr="00621D36" w:rsidRDefault="002551AE" w:rsidP="009046A3">
      <w:pPr>
        <w:pStyle w:val="MDPI31text"/>
        <w:rPr>
          <w:szCs w:val="20"/>
          <w:lang w:val="en-GB"/>
        </w:rPr>
      </w:pPr>
      <w:r w:rsidRPr="00621D36">
        <w:rPr>
          <w:szCs w:val="20"/>
          <w:lang w:val="en-GB"/>
        </w:rPr>
        <w:t>Wine packaging is increasingly evaluated not only for product protection but also for environmental and logistical performance. Glass remains the dominant format, but export requirements, material use</w:t>
      </w:r>
      <w:r w:rsidR="00FF12A9">
        <w:rPr>
          <w:szCs w:val="20"/>
          <w:lang w:val="en-GB"/>
        </w:rPr>
        <w:t>,</w:t>
      </w:r>
      <w:r w:rsidRPr="00621D36">
        <w:rPr>
          <w:szCs w:val="20"/>
          <w:lang w:val="en-GB"/>
        </w:rPr>
        <w:t xml:space="preserve"> and waste management have encouraged interest in lighter alternatives </w:t>
      </w:r>
      <w:r w:rsidR="00BC02DA" w:rsidRPr="00621D36">
        <w:rPr>
          <w:szCs w:val="20"/>
          <w:lang w:val="en-GB"/>
        </w:rPr>
        <w:t>[1–5</w:t>
      </w:r>
      <w:r w:rsidRPr="00621D36">
        <w:rPr>
          <w:szCs w:val="20"/>
          <w:lang w:val="en-GB"/>
        </w:rPr>
        <w:t>].</w:t>
      </w:r>
    </w:p>
    <w:p w14:paraId="20AE3380" w14:textId="3EFAD94A" w:rsidR="002551AE" w:rsidRPr="00621D36" w:rsidRDefault="002551AE" w:rsidP="009046A3">
      <w:pPr>
        <w:pStyle w:val="MDPI31text"/>
        <w:rPr>
          <w:szCs w:val="20"/>
          <w:lang w:val="en-GB"/>
        </w:rPr>
      </w:pPr>
      <w:r w:rsidRPr="00621D36">
        <w:rPr>
          <w:szCs w:val="20"/>
          <w:lang w:val="en-GB"/>
        </w:rPr>
        <w:lastRenderedPageBreak/>
        <w:t xml:space="preserve">The </w:t>
      </w:r>
      <w:r w:rsidR="0036134F">
        <w:rPr>
          <w:szCs w:val="20"/>
          <w:lang w:val="en-GB"/>
        </w:rPr>
        <w:t xml:space="preserve">bag-in-box </w:t>
      </w:r>
      <w:r w:rsidRPr="00621D36">
        <w:rPr>
          <w:szCs w:val="20"/>
          <w:lang w:val="en-GB"/>
        </w:rPr>
        <w:t>(</w:t>
      </w:r>
      <w:proofErr w:type="spellStart"/>
      <w:r w:rsidRPr="00621D36">
        <w:rPr>
          <w:szCs w:val="20"/>
          <w:lang w:val="en-GB"/>
        </w:rPr>
        <w:t>BiB</w:t>
      </w:r>
      <w:proofErr w:type="spellEnd"/>
      <w:r w:rsidRPr="00621D36">
        <w:rPr>
          <w:szCs w:val="20"/>
          <w:lang w:val="en-GB"/>
        </w:rPr>
        <w:t xml:space="preserve">) format is one such alternative. It combines a corrugated cardboard outer case with a flexible inner bag and dispensing valve, uses less packaging mass per litre than glass, and is available in formats from about 3 to 20 L </w:t>
      </w:r>
      <w:r w:rsidR="00BC02DA" w:rsidRPr="00621D36">
        <w:rPr>
          <w:szCs w:val="20"/>
          <w:lang w:val="en-GB"/>
        </w:rPr>
        <w:t>[6–14</w:t>
      </w:r>
      <w:r w:rsidRPr="00621D36">
        <w:rPr>
          <w:szCs w:val="20"/>
          <w:lang w:val="en-GB"/>
        </w:rPr>
        <w:t xml:space="preserve">]. Its lower transport weight can reduce distribution impacts, but the same flexibility that gives </w:t>
      </w:r>
      <w:proofErr w:type="spellStart"/>
      <w:r w:rsidRPr="00621D36">
        <w:rPr>
          <w:szCs w:val="20"/>
          <w:lang w:val="en-GB"/>
        </w:rPr>
        <w:t>BiB</w:t>
      </w:r>
      <w:proofErr w:type="spellEnd"/>
      <w:r w:rsidRPr="00621D36">
        <w:rPr>
          <w:szCs w:val="20"/>
          <w:lang w:val="en-GB"/>
        </w:rPr>
        <w:t xml:space="preserve"> practical advantages also makes its mechanical response under stacking load important.</w:t>
      </w:r>
    </w:p>
    <w:p w14:paraId="55FA76FC" w14:textId="3A848ADF" w:rsidR="002551AE" w:rsidRPr="00621D36" w:rsidRDefault="002551AE" w:rsidP="009046A3">
      <w:pPr>
        <w:adjustRightInd w:val="0"/>
        <w:snapToGrid w:val="0"/>
        <w:ind w:left="2608" w:firstLine="425"/>
        <w:rPr>
          <w:snapToGrid w:val="0"/>
          <w:lang w:val="en-GB"/>
          <w14:ligatures w14:val="standardContextual"/>
        </w:rPr>
      </w:pPr>
      <w:r w:rsidRPr="00621D36">
        <w:rPr>
          <w:snapToGrid w:val="0"/>
          <w:lang w:val="en-GB"/>
          <w14:ligatures w14:val="standardContextual"/>
        </w:rPr>
        <w:t>During international transport, wine packages may experience temperature fluctuations, vibration, vertical compression</w:t>
      </w:r>
      <w:r w:rsidR="00102DF8">
        <w:rPr>
          <w:snapToGrid w:val="0"/>
          <w:lang w:val="en-GB"/>
          <w14:ligatures w14:val="standardContextual"/>
        </w:rPr>
        <w:t>,</w:t>
      </w:r>
      <w:r w:rsidRPr="00621D36">
        <w:rPr>
          <w:snapToGrid w:val="0"/>
          <w:lang w:val="en-GB"/>
          <w14:ligatures w14:val="standardContextual"/>
        </w:rPr>
        <w:t xml:space="preserve"> and pressure changes for several weeks [15,16]. In </w:t>
      </w:r>
      <w:proofErr w:type="spellStart"/>
      <w:r w:rsidRPr="00621D36">
        <w:rPr>
          <w:snapToGrid w:val="0"/>
          <w:lang w:val="en-GB"/>
          <w14:ligatures w14:val="standardContextual"/>
        </w:rPr>
        <w:t>BiB</w:t>
      </w:r>
      <w:proofErr w:type="spellEnd"/>
      <w:r w:rsidRPr="00621D36">
        <w:rPr>
          <w:snapToGrid w:val="0"/>
          <w:lang w:val="en-GB"/>
          <w14:ligatures w14:val="standardContextual"/>
        </w:rPr>
        <w:t xml:space="preserve"> packaging, the flexible wall can deform and the headspace can compress or exchange gas through the film. The cardboard case also carries part of the pallet load.</w:t>
      </w:r>
    </w:p>
    <w:p w14:paraId="04B39850" w14:textId="386EB444" w:rsidR="002551AE" w:rsidRPr="00621D36" w:rsidRDefault="002551AE" w:rsidP="009046A3">
      <w:pPr>
        <w:pStyle w:val="MDPI31text"/>
        <w:rPr>
          <w:szCs w:val="20"/>
          <w:lang w:val="en-GB"/>
        </w:rPr>
      </w:pPr>
      <w:r w:rsidRPr="00621D36">
        <w:rPr>
          <w:szCs w:val="20"/>
          <w:lang w:val="en-GB"/>
        </w:rPr>
        <w:t>Previous studies have examined storage temperature and packaging effects on wine composition, including sulphur dioxide loss, volatile acidity</w:t>
      </w:r>
      <w:r w:rsidR="0026134B">
        <w:rPr>
          <w:szCs w:val="20"/>
          <w:lang w:val="en-GB"/>
        </w:rPr>
        <w:t>,</w:t>
      </w:r>
      <w:r w:rsidRPr="00621D36">
        <w:rPr>
          <w:szCs w:val="20"/>
          <w:lang w:val="en-GB"/>
        </w:rPr>
        <w:t xml:space="preserve"> and sensory ageing [17–19]. Most of that evidence concerns bottled wines, static storage</w:t>
      </w:r>
      <w:r w:rsidR="0097491F">
        <w:rPr>
          <w:szCs w:val="20"/>
          <w:lang w:val="en-GB"/>
        </w:rPr>
        <w:t>,</w:t>
      </w:r>
      <w:r w:rsidRPr="00621D36">
        <w:rPr>
          <w:szCs w:val="20"/>
          <w:lang w:val="en-GB"/>
        </w:rPr>
        <w:t xml:space="preserve"> or chemical composition alone. Less is known about</w:t>
      </w:r>
      <w:r w:rsidR="00D60805">
        <w:rPr>
          <w:szCs w:val="20"/>
          <w:lang w:val="en-GB"/>
        </w:rPr>
        <w:t xml:space="preserve"> the</w:t>
      </w:r>
      <w:r w:rsidRPr="00621D36">
        <w:rPr>
          <w:szCs w:val="20"/>
          <w:lang w:val="en-GB"/>
        </w:rPr>
        <w:t xml:space="preserve"> pressure inside palletised </w:t>
      </w:r>
      <w:proofErr w:type="spellStart"/>
      <w:r w:rsidRPr="00621D36">
        <w:rPr>
          <w:szCs w:val="20"/>
          <w:lang w:val="en-GB"/>
        </w:rPr>
        <w:t>BiB</w:t>
      </w:r>
      <w:proofErr w:type="spellEnd"/>
      <w:r w:rsidRPr="00621D36">
        <w:rPr>
          <w:szCs w:val="20"/>
          <w:lang w:val="en-GB"/>
        </w:rPr>
        <w:t xml:space="preserve"> units during static chamber storage or about how measured in-package thermal exposure compares with chamber set points.</w:t>
      </w:r>
    </w:p>
    <w:p w14:paraId="78E6E4B7" w14:textId="0A065A04" w:rsidR="002551AE" w:rsidRPr="00621D36" w:rsidRDefault="002551AE" w:rsidP="009046A3">
      <w:pPr>
        <w:pStyle w:val="MDPI31text"/>
        <w:rPr>
          <w:szCs w:val="20"/>
          <w:lang w:val="en-GB"/>
        </w:rPr>
      </w:pPr>
      <w:r w:rsidRPr="00621D36">
        <w:rPr>
          <w:szCs w:val="20"/>
          <w:lang w:val="en-GB"/>
        </w:rPr>
        <w:t>This study tested whether stack position and a severe chamber set point affected internal pressure and selected chemical parameters of commercial 3</w:t>
      </w:r>
      <w:r w:rsidR="00B2067C" w:rsidRPr="00B2067C">
        <w:rPr>
          <w:szCs w:val="20"/>
          <w:lang w:val="en-GB"/>
        </w:rPr>
        <w:t xml:space="preserve"> </w:t>
      </w:r>
      <w:r w:rsidRPr="00621D36">
        <w:rPr>
          <w:szCs w:val="20"/>
          <w:lang w:val="en-GB"/>
        </w:rPr>
        <w:t xml:space="preserve">L </w:t>
      </w:r>
      <w:proofErr w:type="spellStart"/>
      <w:r w:rsidRPr="00621D36">
        <w:rPr>
          <w:szCs w:val="20"/>
          <w:lang w:val="en-GB"/>
        </w:rPr>
        <w:t>BiB</w:t>
      </w:r>
      <w:proofErr w:type="spellEnd"/>
      <w:r w:rsidRPr="00621D36">
        <w:rPr>
          <w:szCs w:val="20"/>
          <w:lang w:val="en-GB"/>
        </w:rPr>
        <w:t xml:space="preserve"> white wine during static chamber storage. The two main-trial chambers are labelled C19 and C50 according to their 19 </w:t>
      </w:r>
      <w:r w:rsidR="00BC02DA" w:rsidRPr="00621D36">
        <w:rPr>
          <w:szCs w:val="20"/>
          <w:lang w:val="en-GB"/>
        </w:rPr>
        <w:t>°C</w:t>
      </w:r>
      <w:r w:rsidRPr="00621D36">
        <w:rPr>
          <w:szCs w:val="20"/>
          <w:lang w:val="en-GB"/>
        </w:rPr>
        <w:t xml:space="preserve"> and 50 </w:t>
      </w:r>
      <w:r w:rsidR="00BC02DA" w:rsidRPr="00621D36">
        <w:rPr>
          <w:szCs w:val="20"/>
          <w:lang w:val="en-GB"/>
        </w:rPr>
        <w:t>°C</w:t>
      </w:r>
      <w:r w:rsidRPr="00621D36">
        <w:rPr>
          <w:szCs w:val="20"/>
          <w:lang w:val="en-GB"/>
        </w:rPr>
        <w:t xml:space="preserve"> set points. These labels refer to chamber settings, not measured wine temperatures. The original intention was to compare a reference condition with a high-temperature condition. Because the main trial did not achieve 50 </w:t>
      </w:r>
      <w:r w:rsidR="00BC02DA" w:rsidRPr="00621D36">
        <w:rPr>
          <w:szCs w:val="20"/>
          <w:lang w:val="en-GB"/>
        </w:rPr>
        <w:t>°C</w:t>
      </w:r>
      <w:r w:rsidRPr="00621D36">
        <w:rPr>
          <w:szCs w:val="20"/>
          <w:lang w:val="en-GB"/>
        </w:rPr>
        <w:t xml:space="preserve"> in-bag exposure, the realised comparison is between set-point groups and measured package temperatures, with support from a single-stack verification trial at the C50 set point.</w:t>
      </w:r>
    </w:p>
    <w:p w14:paraId="4CE12E66" w14:textId="77777777" w:rsidR="002551AE" w:rsidRPr="00621D36" w:rsidRDefault="002551AE" w:rsidP="009046A3">
      <w:pPr>
        <w:pStyle w:val="MDPI21heading1"/>
        <w:rPr>
          <w:szCs w:val="24"/>
          <w:lang w:val="en-GB"/>
        </w:rPr>
      </w:pPr>
      <w:r w:rsidRPr="00621D36">
        <w:rPr>
          <w:szCs w:val="24"/>
          <w:lang w:val="en-GB" w:eastAsia="zh-CN"/>
        </w:rPr>
        <w:t xml:space="preserve">2. </w:t>
      </w:r>
      <w:commentRangeStart w:id="4"/>
      <w:r w:rsidRPr="006D008C">
        <w:rPr>
          <w:szCs w:val="24"/>
          <w:highlight w:val="green"/>
          <w:lang w:val="en-GB"/>
        </w:rPr>
        <w:t>Materials and Methods</w:t>
      </w:r>
      <w:commentRangeEnd w:id="4"/>
      <w:r w:rsidR="006D008C">
        <w:rPr>
          <w:rStyle w:val="CommentReference"/>
          <w:rFonts w:eastAsia="宋体"/>
          <w:b w:val="0"/>
          <w:snapToGrid/>
          <w:lang w:eastAsia="zh-CN" w:bidi="ar-SA"/>
          <w14:ligatures w14:val="none"/>
        </w:rPr>
        <w:commentReference w:id="4"/>
      </w:r>
    </w:p>
    <w:p w14:paraId="75BDEAE0" w14:textId="30B7FF9B" w:rsidR="002551AE" w:rsidRPr="00621D36" w:rsidRDefault="002551AE" w:rsidP="009046A3">
      <w:pPr>
        <w:pStyle w:val="MDPI31text"/>
        <w:rPr>
          <w:szCs w:val="20"/>
          <w:lang w:val="en-GB"/>
        </w:rPr>
      </w:pPr>
      <w:r w:rsidRPr="00621D36">
        <w:rPr>
          <w:szCs w:val="20"/>
          <w:lang w:val="en-GB"/>
        </w:rPr>
        <w:t xml:space="preserve">The </w:t>
      </w:r>
      <w:r w:rsidR="004C2A09">
        <w:rPr>
          <w:szCs w:val="20"/>
          <w:lang w:val="en-GB"/>
        </w:rPr>
        <w:t>study</w:t>
      </w:r>
      <w:r w:rsidR="004C2A09" w:rsidRPr="00621D36">
        <w:rPr>
          <w:szCs w:val="20"/>
          <w:lang w:val="en-GB"/>
        </w:rPr>
        <w:t xml:space="preserve"> </w:t>
      </w:r>
      <w:r w:rsidRPr="00621D36">
        <w:rPr>
          <w:szCs w:val="20"/>
          <w:lang w:val="en-GB"/>
        </w:rPr>
        <w:t>investigated selected storage stresses that wine packages may encounter during export logistics under static chamber conditions. It did not reproduce vibration, humidity, diurnal thermal cycling</w:t>
      </w:r>
      <w:r w:rsidR="000A5B83">
        <w:rPr>
          <w:szCs w:val="20"/>
          <w:lang w:val="en-GB"/>
        </w:rPr>
        <w:t>,</w:t>
      </w:r>
      <w:r w:rsidRPr="00621D36">
        <w:rPr>
          <w:szCs w:val="20"/>
          <w:lang w:val="en-GB"/>
        </w:rPr>
        <w:t xml:space="preserve"> or a full container thermal profile. The main trial lasted 20 days. Palletised units were stored in parallel in two temperature-controlled chambers labelled by set point:</w:t>
      </w:r>
    </w:p>
    <w:p w14:paraId="11E87BD4" w14:textId="475CDD4F" w:rsidR="002551AE" w:rsidRPr="00621D36" w:rsidRDefault="002551AE" w:rsidP="009046A3">
      <w:pPr>
        <w:pStyle w:val="MDPI38bullet"/>
        <w:spacing w:before="60"/>
        <w:rPr>
          <w:lang w:val="en-GB"/>
        </w:rPr>
      </w:pPr>
      <w:r w:rsidRPr="00621D36">
        <w:rPr>
          <w:lang w:val="en-GB"/>
        </w:rPr>
        <w:t xml:space="preserve">C19: 19 </w:t>
      </w:r>
      <w:r w:rsidR="00BC02DA" w:rsidRPr="00621D36">
        <w:rPr>
          <w:lang w:val="en-GB"/>
        </w:rPr>
        <w:t>°C</w:t>
      </w:r>
      <w:r w:rsidRPr="00621D36">
        <w:rPr>
          <w:lang w:val="en-GB"/>
        </w:rPr>
        <w:t xml:space="preserve"> chamber set point, used as the reference condition.</w:t>
      </w:r>
    </w:p>
    <w:p w14:paraId="1EE32F96" w14:textId="179C7130" w:rsidR="002551AE" w:rsidRPr="00621D36" w:rsidRDefault="002551AE" w:rsidP="009046A3">
      <w:pPr>
        <w:pStyle w:val="MDPI38bullet"/>
        <w:rPr>
          <w:lang w:val="en-GB"/>
        </w:rPr>
      </w:pPr>
      <w:r w:rsidRPr="00621D36">
        <w:rPr>
          <w:lang w:val="en-GB"/>
        </w:rPr>
        <w:t xml:space="preserve">C50: 50 </w:t>
      </w:r>
      <w:r w:rsidR="00BC02DA" w:rsidRPr="00621D36">
        <w:rPr>
          <w:lang w:val="en-GB"/>
        </w:rPr>
        <w:t>°C</w:t>
      </w:r>
      <w:r w:rsidRPr="00621D36">
        <w:rPr>
          <w:lang w:val="en-GB"/>
        </w:rPr>
        <w:t xml:space="preserve"> chamber set point, selected as a deliberately severe set point relevant to worst-case non-refrigerated storage scenarios rather than routine shipment temperature [15].</w:t>
      </w:r>
    </w:p>
    <w:p w14:paraId="0CA5507B" w14:textId="77777777" w:rsidR="002551AE" w:rsidRPr="00621D36" w:rsidRDefault="002551AE" w:rsidP="009046A3">
      <w:pPr>
        <w:pStyle w:val="MDPI38bullet"/>
        <w:spacing w:after="60"/>
        <w:rPr>
          <w:lang w:val="en-GB"/>
        </w:rPr>
      </w:pPr>
      <w:r w:rsidRPr="00621D36">
        <w:rPr>
          <w:lang w:val="en-GB"/>
        </w:rPr>
        <w:t>The labels C19 and C50 refer only to chamber set points; measured in-bag temperatures are reported separately. A 15-day verification trial was also carried out at the C50 set point with a single three-box stack (Section 2.3). The two trials are summarised in Table 1.</w:t>
      </w:r>
    </w:p>
    <w:p w14:paraId="3D0D40FF" w14:textId="6CC7F812" w:rsidR="002551AE" w:rsidRPr="00621D36" w:rsidRDefault="002551AE" w:rsidP="009046A3">
      <w:pPr>
        <w:pStyle w:val="MDPI31text"/>
        <w:rPr>
          <w:szCs w:val="20"/>
          <w:lang w:val="en-GB"/>
        </w:rPr>
      </w:pPr>
      <w:r w:rsidRPr="00621D36">
        <w:rPr>
          <w:szCs w:val="20"/>
          <w:lang w:val="en-GB"/>
        </w:rPr>
        <w:t>The wine used in this study was commercial white wine supplied by Castellani S.p.A. and packaged in standard 3</w:t>
      </w:r>
      <w:r w:rsidR="00B2067C" w:rsidRPr="00B2067C">
        <w:rPr>
          <w:szCs w:val="20"/>
          <w:lang w:val="en-GB"/>
        </w:rPr>
        <w:t xml:space="preserve"> </w:t>
      </w:r>
      <w:r w:rsidRPr="00621D36">
        <w:rPr>
          <w:szCs w:val="20"/>
          <w:lang w:val="en-GB"/>
        </w:rPr>
        <w:t xml:space="preserve">L </w:t>
      </w:r>
      <w:r w:rsidR="000A5B83">
        <w:rPr>
          <w:szCs w:val="20"/>
          <w:lang w:val="en-GB"/>
        </w:rPr>
        <w:t xml:space="preserve">bag-in-box </w:t>
      </w:r>
      <w:r w:rsidRPr="00621D36">
        <w:rPr>
          <w:szCs w:val="20"/>
          <w:lang w:val="en-GB"/>
        </w:rPr>
        <w:t>units representative of those used for commercial export (</w:t>
      </w:r>
      <w:r w:rsidR="00E30B9E" w:rsidRPr="00621D36">
        <w:rPr>
          <w:szCs w:val="20"/>
          <w:lang w:val="en-GB"/>
        </w:rPr>
        <w:t>Figure 1</w:t>
      </w:r>
      <w:r w:rsidRPr="00621D36">
        <w:rPr>
          <w:szCs w:val="20"/>
          <w:lang w:val="en-GB"/>
        </w:rPr>
        <w:t>). The supplier did not provide grape variety or vintage information. The main compositional parameters measured after the reference condition are reported in Table 2. The inner bag consisted of a flexible multilayer film with an oxygen-barrier layer and an integrated dispensing valve, housed in a corrugated cardboard case that provided mechanical protection during palletisation.</w:t>
      </w:r>
    </w:p>
    <w:p w14:paraId="408346F6" w14:textId="4E84C353" w:rsidR="002551AE" w:rsidRPr="00621D36" w:rsidRDefault="002551AE" w:rsidP="009046A3">
      <w:pPr>
        <w:pStyle w:val="MDPI31text"/>
        <w:rPr>
          <w:szCs w:val="20"/>
          <w:lang w:val="en-GB"/>
        </w:rPr>
      </w:pPr>
      <w:r w:rsidRPr="00621D36">
        <w:rPr>
          <w:szCs w:val="20"/>
          <w:lang w:val="en-GB"/>
        </w:rPr>
        <w:t>For each set-point group, three stacks were tested simultaneously: one stack of four boxes (128 cm) and two stacks of three boxes (97 cm) per chamber (</w:t>
      </w:r>
      <w:r w:rsidR="00E30B9E" w:rsidRPr="00621D36">
        <w:rPr>
          <w:szCs w:val="20"/>
          <w:lang w:val="en-GB"/>
        </w:rPr>
        <w:t>Figure 2</w:t>
      </w:r>
      <w:r w:rsidRPr="00621D36">
        <w:rPr>
          <w:szCs w:val="20"/>
          <w:lang w:val="en-GB"/>
        </w:rPr>
        <w:t xml:space="preserve">; </w:t>
      </w:r>
      <w:r w:rsidR="00E30B9E" w:rsidRPr="00621D36">
        <w:rPr>
          <w:szCs w:val="20"/>
          <w:lang w:val="en-GB"/>
        </w:rPr>
        <w:t>Table 1</w:t>
      </w:r>
      <w:r w:rsidRPr="00621D36">
        <w:rPr>
          <w:szCs w:val="20"/>
          <w:lang w:val="en-GB"/>
        </w:rPr>
        <w:t xml:space="preserve">). MEMS pressure sensors were positioned in the uppermost and lowermost </w:t>
      </w:r>
      <w:proofErr w:type="spellStart"/>
      <w:r w:rsidRPr="00621D36">
        <w:rPr>
          <w:szCs w:val="20"/>
          <w:lang w:val="en-GB"/>
        </w:rPr>
        <w:t>BiB</w:t>
      </w:r>
      <w:proofErr w:type="spellEnd"/>
      <w:r w:rsidRPr="00621D36">
        <w:rPr>
          <w:szCs w:val="20"/>
          <w:lang w:val="en-GB"/>
        </w:rPr>
        <w:t xml:space="preserve"> of every stack, giving six intended traces per chamber and twelve in total. One bottom-position sensor in C19 did not return a complete record, leaving eleven usable pressure traces. The </w:t>
      </w:r>
      <w:r w:rsidRPr="00621D36">
        <w:rPr>
          <w:szCs w:val="20"/>
          <w:lang w:val="en-GB"/>
        </w:rPr>
        <w:lastRenderedPageBreak/>
        <w:t xml:space="preserve">pressure comparison therefore had cells of </w:t>
      </w:r>
      <w:commentRangeStart w:id="5"/>
      <w:r w:rsidRPr="00621D36">
        <w:rPr>
          <w:szCs w:val="20"/>
          <w:highlight w:val="yellow"/>
          <w:lang w:val="en-GB"/>
        </w:rPr>
        <w:t>n</w:t>
      </w:r>
      <w:commentRangeEnd w:id="5"/>
      <w:r w:rsidR="0090383E" w:rsidRPr="00621D36">
        <w:rPr>
          <w:rStyle w:val="CommentReference"/>
          <w:sz w:val="20"/>
          <w:szCs w:val="20"/>
          <w:lang w:val="en-GB"/>
        </w:rPr>
        <w:commentReference w:id="5"/>
      </w:r>
      <w:r w:rsidRPr="00621D36">
        <w:rPr>
          <w:szCs w:val="20"/>
          <w:lang w:val="en-GB"/>
        </w:rPr>
        <w:t xml:space="preserve"> = 3, 3, 3</w:t>
      </w:r>
      <w:r w:rsidR="00CA5FEB">
        <w:rPr>
          <w:szCs w:val="20"/>
          <w:lang w:val="en-GB"/>
        </w:rPr>
        <w:t>,</w:t>
      </w:r>
      <w:r w:rsidRPr="00621D36">
        <w:rPr>
          <w:szCs w:val="20"/>
          <w:lang w:val="en-GB"/>
        </w:rPr>
        <w:t xml:space="preserve"> and 2. The top and bottom observations came from different </w:t>
      </w:r>
      <w:proofErr w:type="spellStart"/>
      <w:r w:rsidRPr="00621D36">
        <w:rPr>
          <w:szCs w:val="20"/>
          <w:lang w:val="en-GB"/>
        </w:rPr>
        <w:t>BiBs</w:t>
      </w:r>
      <w:proofErr w:type="spellEnd"/>
      <w:r w:rsidRPr="00621D36">
        <w:rPr>
          <w:szCs w:val="20"/>
          <w:lang w:val="en-GB"/>
        </w:rPr>
        <w:t xml:space="preserve"> within the same stacks, so they represent instrumented package positions within stacks rather than repeated measurements of the same bag. The 20-day window was chosen to approximate the duration of transoceanic shipment, </w:t>
      </w:r>
      <w:r w:rsidR="00EA78F2">
        <w:rPr>
          <w:szCs w:val="20"/>
          <w:lang w:val="en-GB"/>
        </w:rPr>
        <w:t xml:space="preserve">which is </w:t>
      </w:r>
      <w:r w:rsidRPr="00621D36">
        <w:rPr>
          <w:szCs w:val="20"/>
          <w:lang w:val="en-GB"/>
        </w:rPr>
        <w:t xml:space="preserve">commonly </w:t>
      </w:r>
      <w:r w:rsidR="00CA5FEB">
        <w:rPr>
          <w:szCs w:val="20"/>
          <w:lang w:val="en-GB"/>
        </w:rPr>
        <w:t>within</w:t>
      </w:r>
      <w:r w:rsidRPr="00621D36">
        <w:rPr>
          <w:szCs w:val="20"/>
          <w:lang w:val="en-GB"/>
        </w:rPr>
        <w:t xml:space="preserve"> two to four weeks [15].</w:t>
      </w:r>
    </w:p>
    <w:p w14:paraId="07461A6C" w14:textId="7E614633" w:rsidR="002551AE" w:rsidRPr="00621D36" w:rsidRDefault="002551AE" w:rsidP="009046A3">
      <w:pPr>
        <w:pStyle w:val="MDPI31text"/>
        <w:rPr>
          <w:szCs w:val="20"/>
          <w:lang w:val="en-GB"/>
        </w:rPr>
      </w:pPr>
      <w:r w:rsidRPr="00621D36">
        <w:rPr>
          <w:szCs w:val="20"/>
          <w:lang w:val="en-GB"/>
        </w:rPr>
        <w:t xml:space="preserve">The records did not include </w:t>
      </w:r>
      <w:r w:rsidR="00877113">
        <w:rPr>
          <w:szCs w:val="20"/>
          <w:lang w:val="en-GB"/>
        </w:rPr>
        <w:t xml:space="preserve">the </w:t>
      </w:r>
      <w:r w:rsidRPr="00621D36">
        <w:rPr>
          <w:szCs w:val="20"/>
          <w:lang w:val="en-GB"/>
        </w:rPr>
        <w:t>chamber model, volume, fan power, airflow rate</w:t>
      </w:r>
      <w:r w:rsidR="00877113">
        <w:rPr>
          <w:szCs w:val="20"/>
          <w:lang w:val="en-GB"/>
        </w:rPr>
        <w:t>,</w:t>
      </w:r>
      <w:r w:rsidRPr="00621D36">
        <w:rPr>
          <w:szCs w:val="20"/>
          <w:lang w:val="en-GB"/>
        </w:rPr>
        <w:t xml:space="preserve"> or formal pallet occupancy. These missing details limit</w:t>
      </w:r>
      <w:r w:rsidR="00877113">
        <w:rPr>
          <w:szCs w:val="20"/>
          <w:lang w:val="en-GB"/>
        </w:rPr>
        <w:t xml:space="preserve"> the</w:t>
      </w:r>
      <w:r w:rsidRPr="00621D36">
        <w:rPr>
          <w:szCs w:val="20"/>
          <w:lang w:val="en-GB"/>
        </w:rPr>
        <w:t xml:space="preserve"> interpretation of the thermal mismatch and vertical temperature gradient in the main trial.</w:t>
      </w:r>
    </w:p>
    <w:p w14:paraId="194F543C" w14:textId="77777777" w:rsidR="002551AE" w:rsidRPr="00621D36" w:rsidRDefault="002551AE" w:rsidP="009046A3">
      <w:pPr>
        <w:pStyle w:val="MDPI52figure"/>
        <w:ind w:left="2608"/>
        <w:jc w:val="left"/>
        <w:rPr>
          <w:lang w:val="en-GB"/>
        </w:rPr>
      </w:pPr>
      <w:r w:rsidRPr="00621D36">
        <w:rPr>
          <w:noProof/>
          <w:lang w:val="en-GB"/>
        </w:rPr>
        <w:drawing>
          <wp:inline distT="0" distB="0" distL="0" distR="0" wp14:anchorId="066D0709" wp14:editId="283D4139">
            <wp:extent cx="3081611" cy="1299779"/>
            <wp:effectExtent l="0" t="0" r="5080" b="0"/>
            <wp:docPr id="1" name="Picture 1" descr="A close-up of a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bag&#10;&#10;AI-generated content may be incorrect."/>
                    <pic:cNvPicPr>
                      <a:picLocks noChangeAspect="1" noChangeArrowheads="1"/>
                    </pic:cNvPicPr>
                  </pic:nvPicPr>
                  <pic:blipFill rotWithShape="1">
                    <a:blip r:embed="rId12"/>
                    <a:srcRect l="4418" t="15919" b="15723"/>
                    <a:stretch>
                      <a:fillRect/>
                    </a:stretch>
                  </pic:blipFill>
                  <pic:spPr bwMode="auto">
                    <a:xfrm>
                      <a:off x="0" y="0"/>
                      <a:ext cx="3083284" cy="1300485"/>
                    </a:xfrm>
                    <a:prstGeom prst="rect">
                      <a:avLst/>
                    </a:prstGeom>
                    <a:ln>
                      <a:noFill/>
                    </a:ln>
                    <a:extLst>
                      <a:ext uri="{53640926-AAD7-44D8-BBD7-CCE9431645EC}">
                        <a14:shadowObscured xmlns:a14="http://schemas.microsoft.com/office/drawing/2010/main"/>
                      </a:ext>
                    </a:extLst>
                  </pic:spPr>
                </pic:pic>
              </a:graphicData>
            </a:graphic>
          </wp:inline>
        </w:drawing>
      </w:r>
    </w:p>
    <w:p w14:paraId="135F4071" w14:textId="5A4D0EE0" w:rsidR="002551AE" w:rsidRPr="00621D36" w:rsidRDefault="002551AE" w:rsidP="009046A3">
      <w:pPr>
        <w:pStyle w:val="MDPI51figurecaption"/>
        <w:jc w:val="both"/>
        <w:rPr>
          <w:snapToGrid w:val="0"/>
          <w:szCs w:val="18"/>
          <w:lang w:val="en-GB"/>
        </w:rPr>
      </w:pPr>
      <w:commentRangeStart w:id="6"/>
      <w:commentRangeStart w:id="7"/>
      <w:r w:rsidRPr="008D5686">
        <w:rPr>
          <w:b/>
          <w:bCs/>
          <w:snapToGrid w:val="0"/>
          <w:szCs w:val="18"/>
          <w:highlight w:val="yellow"/>
          <w:lang w:val="en-GB"/>
        </w:rPr>
        <w:t xml:space="preserve">Figure </w:t>
      </w:r>
      <w:commentRangeEnd w:id="6"/>
      <w:r w:rsidR="00FF2197" w:rsidRPr="008D5686">
        <w:rPr>
          <w:rStyle w:val="CommentReference"/>
          <w:b/>
          <w:bCs/>
          <w:snapToGrid w:val="0"/>
          <w:sz w:val="18"/>
          <w:szCs w:val="18"/>
          <w:highlight w:val="yellow"/>
          <w:lang w:val="en-GB"/>
        </w:rPr>
        <w:commentReference w:id="6"/>
      </w:r>
      <w:commentRangeEnd w:id="7"/>
      <w:r w:rsidR="008D5686">
        <w:rPr>
          <w:rStyle w:val="CommentReference"/>
          <w:rFonts w:eastAsia="宋体"/>
          <w:lang w:eastAsia="zh-CN" w:bidi="ar-SA"/>
          <w14:ligatures w14:val="none"/>
        </w:rPr>
        <w:commentReference w:id="7"/>
      </w:r>
      <w:r w:rsidRPr="00621D36">
        <w:rPr>
          <w:b/>
          <w:bCs/>
          <w:snapToGrid w:val="0"/>
          <w:szCs w:val="18"/>
          <w:lang w:val="en-GB"/>
        </w:rPr>
        <w:t>1.</w:t>
      </w:r>
      <w:r w:rsidRPr="00621D36">
        <w:rPr>
          <w:b/>
          <w:snapToGrid w:val="0"/>
          <w:szCs w:val="18"/>
          <w:lang w:val="en-GB"/>
        </w:rPr>
        <w:t xml:space="preserve"> </w:t>
      </w:r>
      <w:r w:rsidRPr="00621D36">
        <w:rPr>
          <w:snapToGrid w:val="0"/>
          <w:szCs w:val="18"/>
          <w:lang w:val="en-GB"/>
        </w:rPr>
        <w:t xml:space="preserve">Principal components of </w:t>
      </w:r>
      <w:r w:rsidR="00877113">
        <w:rPr>
          <w:snapToGrid w:val="0"/>
          <w:szCs w:val="18"/>
          <w:lang w:val="en-GB"/>
        </w:rPr>
        <w:t>bag-in-box</w:t>
      </w:r>
      <w:r w:rsidRPr="00621D36">
        <w:rPr>
          <w:snapToGrid w:val="0"/>
          <w:szCs w:val="18"/>
          <w:lang w:val="en-GB"/>
        </w:rPr>
        <w:t xml:space="preserve"> (</w:t>
      </w:r>
      <w:proofErr w:type="spellStart"/>
      <w:r w:rsidRPr="00621D36">
        <w:rPr>
          <w:snapToGrid w:val="0"/>
          <w:szCs w:val="18"/>
          <w:lang w:val="en-GB"/>
        </w:rPr>
        <w:t>BiB</w:t>
      </w:r>
      <w:proofErr w:type="spellEnd"/>
      <w:r w:rsidRPr="00621D36">
        <w:rPr>
          <w:snapToGrid w:val="0"/>
          <w:szCs w:val="18"/>
          <w:lang w:val="en-GB"/>
        </w:rPr>
        <w:t>) packaging system: dispensing tap, flexible multilayer wine bag with valve, and external corrugated cardboard container used for mechanical protection and pallet stability.</w:t>
      </w:r>
    </w:p>
    <w:p w14:paraId="4837DCD5" w14:textId="77777777" w:rsidR="002551AE" w:rsidRPr="00621D36" w:rsidRDefault="002551AE" w:rsidP="009046A3">
      <w:pPr>
        <w:pStyle w:val="MDPI52figure"/>
        <w:ind w:left="2608"/>
        <w:jc w:val="left"/>
        <w:rPr>
          <w:sz w:val="18"/>
          <w:szCs w:val="18"/>
          <w:lang w:val="en-GB"/>
        </w:rPr>
      </w:pPr>
      <w:r w:rsidRPr="00621D36">
        <w:rPr>
          <w:noProof/>
          <w:lang w:val="en-GB"/>
        </w:rPr>
        <w:drawing>
          <wp:inline distT="0" distB="0" distL="0" distR="0" wp14:anchorId="49CE152B" wp14:editId="727B15D6">
            <wp:extent cx="2369127" cy="1584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3"/>
                    <a:srcRect l="12302" t="22803" r="10981" b="3773"/>
                    <a:stretch>
                      <a:fillRect/>
                    </a:stretch>
                  </pic:blipFill>
                  <pic:spPr bwMode="auto">
                    <a:xfrm>
                      <a:off x="0" y="0"/>
                      <a:ext cx="2369998" cy="1585543"/>
                    </a:xfrm>
                    <a:prstGeom prst="rect">
                      <a:avLst/>
                    </a:prstGeom>
                    <a:ln>
                      <a:noFill/>
                    </a:ln>
                    <a:extLst>
                      <a:ext uri="{53640926-AAD7-44D8-BBD7-CCE9431645EC}">
                        <a14:shadowObscured xmlns:a14="http://schemas.microsoft.com/office/drawing/2010/main"/>
                      </a:ext>
                    </a:extLst>
                  </pic:spPr>
                </pic:pic>
              </a:graphicData>
            </a:graphic>
          </wp:inline>
        </w:drawing>
      </w:r>
    </w:p>
    <w:p w14:paraId="221FB08C" w14:textId="6CBFB7EE" w:rsidR="002551AE" w:rsidRPr="00621D36" w:rsidRDefault="002551AE" w:rsidP="009046A3">
      <w:pPr>
        <w:pStyle w:val="MDPI51figurecaption"/>
        <w:jc w:val="both"/>
        <w:rPr>
          <w:snapToGrid w:val="0"/>
          <w:szCs w:val="18"/>
          <w:lang w:val="en-GB"/>
        </w:rPr>
      </w:pPr>
      <w:r w:rsidRPr="00621D36">
        <w:rPr>
          <w:b/>
          <w:bCs/>
          <w:snapToGrid w:val="0"/>
          <w:szCs w:val="18"/>
          <w:lang w:val="en-GB"/>
        </w:rPr>
        <w:t>Figure 2.</w:t>
      </w:r>
      <w:r w:rsidRPr="00621D36">
        <w:rPr>
          <w:b/>
          <w:snapToGrid w:val="0"/>
          <w:szCs w:val="18"/>
          <w:lang w:val="en-GB"/>
        </w:rPr>
        <w:t xml:space="preserve"> </w:t>
      </w:r>
      <w:r w:rsidRPr="00621D36">
        <w:rPr>
          <w:snapToGrid w:val="0"/>
          <w:szCs w:val="18"/>
          <w:lang w:val="en-GB"/>
        </w:rPr>
        <w:t>Experimental configuration used for pressure monitoring in palletised 3</w:t>
      </w:r>
      <w:r w:rsidR="00B2067C" w:rsidRPr="00B2067C">
        <w:rPr>
          <w:snapToGrid w:val="0"/>
          <w:szCs w:val="18"/>
          <w:lang w:val="en-GB"/>
        </w:rPr>
        <w:t xml:space="preserve"> </w:t>
      </w:r>
      <w:r w:rsidRPr="00621D36">
        <w:rPr>
          <w:snapToGrid w:val="0"/>
          <w:szCs w:val="18"/>
          <w:lang w:val="en-GB"/>
        </w:rPr>
        <w:t xml:space="preserve">L </w:t>
      </w:r>
      <w:r w:rsidR="00877113">
        <w:rPr>
          <w:snapToGrid w:val="0"/>
          <w:szCs w:val="18"/>
          <w:lang w:val="en-GB"/>
        </w:rPr>
        <w:t xml:space="preserve">bag-in-box </w:t>
      </w:r>
      <w:r w:rsidRPr="00621D36">
        <w:rPr>
          <w:snapToGrid w:val="0"/>
          <w:szCs w:val="18"/>
          <w:lang w:val="en-GB"/>
        </w:rPr>
        <w:t>(</w:t>
      </w:r>
      <w:proofErr w:type="spellStart"/>
      <w:r w:rsidRPr="00621D36">
        <w:rPr>
          <w:snapToGrid w:val="0"/>
          <w:szCs w:val="18"/>
          <w:lang w:val="en-GB"/>
        </w:rPr>
        <w:t>BiB</w:t>
      </w:r>
      <w:proofErr w:type="spellEnd"/>
      <w:r w:rsidRPr="00621D36">
        <w:rPr>
          <w:snapToGrid w:val="0"/>
          <w:szCs w:val="18"/>
          <w:lang w:val="en-GB"/>
        </w:rPr>
        <w:t xml:space="preserve">) units. </w:t>
      </w:r>
      <w:r w:rsidR="00877113">
        <w:rPr>
          <w:snapToGrid w:val="0"/>
          <w:szCs w:val="18"/>
          <w:lang w:val="en-GB"/>
        </w:rPr>
        <w:t>M</w:t>
      </w:r>
      <w:r w:rsidRPr="00621D36">
        <w:rPr>
          <w:snapToGrid w:val="0"/>
          <w:szCs w:val="18"/>
          <w:lang w:val="en-GB"/>
        </w:rPr>
        <w:t xml:space="preserve">ain trial included one 4-box stack (128 cm) and two 3-box stacks (97 cm) in each set-point chamber, C19 and C50. MEMS pressure sensors were positioned in uppermost and lowermost </w:t>
      </w:r>
      <w:proofErr w:type="spellStart"/>
      <w:r w:rsidRPr="00621D36">
        <w:rPr>
          <w:snapToGrid w:val="0"/>
          <w:szCs w:val="18"/>
          <w:lang w:val="en-GB"/>
        </w:rPr>
        <w:t>BiBs</w:t>
      </w:r>
      <w:proofErr w:type="spellEnd"/>
      <w:r w:rsidRPr="00621D36">
        <w:rPr>
          <w:snapToGrid w:val="0"/>
          <w:szCs w:val="18"/>
          <w:lang w:val="en-GB"/>
        </w:rPr>
        <w:t xml:space="preserve"> of each stack to compare package position under tested stacking configuration. Stack height was not analysed as independent factor because only one 4-box stack was present per chamber.</w:t>
      </w:r>
    </w:p>
    <w:p w14:paraId="34C4A42E" w14:textId="2781613C" w:rsidR="002551AE" w:rsidRPr="00621D36" w:rsidRDefault="002551AE" w:rsidP="009046A3">
      <w:pPr>
        <w:pStyle w:val="MDPI41tablecaption"/>
        <w:rPr>
          <w:rFonts w:cs="Times New Roman"/>
          <w:snapToGrid w:val="0"/>
          <w:szCs w:val="18"/>
          <w:lang w:val="en-GB"/>
        </w:rPr>
      </w:pPr>
      <w:r w:rsidRPr="00621D36">
        <w:rPr>
          <w:rFonts w:cs="Times New Roman"/>
          <w:b/>
          <w:snapToGrid w:val="0"/>
          <w:szCs w:val="18"/>
          <w:lang w:val="en-GB"/>
        </w:rPr>
        <w:t xml:space="preserve">Table 1. </w:t>
      </w:r>
      <w:r w:rsidRPr="00621D36">
        <w:rPr>
          <w:rFonts w:cs="Times New Roman"/>
          <w:snapToGrid w:val="0"/>
          <w:szCs w:val="18"/>
          <w:lang w:val="en-GB"/>
        </w:rPr>
        <w:t>Structure of experimental samples and placement of pressure sensors.</w:t>
      </w:r>
    </w:p>
    <w:tbl>
      <w:tblPr>
        <w:tblStyle w:val="TableGrid"/>
        <w:tblW w:w="10465" w:type="dxa"/>
        <w:jc w:val="center"/>
        <w:tblLayout w:type="fixed"/>
        <w:tblCellMar>
          <w:left w:w="0" w:type="dxa"/>
          <w:right w:w="0" w:type="dxa"/>
        </w:tblCellMar>
        <w:tblLook w:val="04A0" w:firstRow="1" w:lastRow="0" w:firstColumn="1" w:lastColumn="0" w:noHBand="0" w:noVBand="1"/>
      </w:tblPr>
      <w:tblGrid>
        <w:gridCol w:w="1418"/>
        <w:gridCol w:w="1701"/>
        <w:gridCol w:w="1134"/>
        <w:gridCol w:w="1276"/>
        <w:gridCol w:w="2409"/>
        <w:gridCol w:w="2527"/>
      </w:tblGrid>
      <w:tr w:rsidR="002551AE" w:rsidRPr="00621D36" w14:paraId="31553BD5" w14:textId="77777777" w:rsidTr="00D25BCE">
        <w:trPr>
          <w:jc w:val="center"/>
        </w:trPr>
        <w:tc>
          <w:tcPr>
            <w:tcW w:w="1418" w:type="dxa"/>
            <w:tcBorders>
              <w:top w:val="single" w:sz="8" w:space="0" w:color="auto"/>
              <w:left w:val="nil"/>
              <w:right w:val="nil"/>
            </w:tcBorders>
            <w:vAlign w:val="center"/>
          </w:tcPr>
          <w:p w14:paraId="76DB50D3" w14:textId="77777777" w:rsidR="002551AE" w:rsidRPr="00621D36" w:rsidRDefault="002551AE" w:rsidP="009046A3">
            <w:pPr>
              <w:pStyle w:val="MDPI42tablebody"/>
              <w:spacing w:line="240" w:lineRule="auto"/>
              <w:rPr>
                <w:b/>
                <w:highlight w:val="yellow"/>
                <w:lang w:val="en-GB"/>
              </w:rPr>
            </w:pPr>
            <w:commentRangeStart w:id="8"/>
            <w:r w:rsidRPr="00621D36">
              <w:rPr>
                <w:b/>
                <w:highlight w:val="yellow"/>
                <w:lang w:val="en-GB"/>
              </w:rPr>
              <w:t>Trial</w:t>
            </w:r>
            <w:commentRangeEnd w:id="8"/>
            <w:r w:rsidR="00D25BCE" w:rsidRPr="00621D36">
              <w:rPr>
                <w:rStyle w:val="CommentReference"/>
                <w:b/>
                <w:sz w:val="20"/>
                <w:szCs w:val="20"/>
                <w:highlight w:val="yellow"/>
                <w:lang w:val="en-GB"/>
              </w:rPr>
              <w:commentReference w:id="8"/>
            </w:r>
          </w:p>
        </w:tc>
        <w:tc>
          <w:tcPr>
            <w:tcW w:w="1701" w:type="dxa"/>
            <w:tcBorders>
              <w:top w:val="single" w:sz="8" w:space="0" w:color="auto"/>
              <w:left w:val="nil"/>
              <w:right w:val="nil"/>
            </w:tcBorders>
            <w:vAlign w:val="center"/>
          </w:tcPr>
          <w:p w14:paraId="56B89FDE" w14:textId="6CA0AE0D" w:rsidR="002551AE" w:rsidRPr="00621D36" w:rsidRDefault="002551AE" w:rsidP="009046A3">
            <w:pPr>
              <w:adjustRightInd w:val="0"/>
              <w:snapToGrid w:val="0"/>
              <w:spacing w:line="240" w:lineRule="auto"/>
              <w:jc w:val="center"/>
              <w:rPr>
                <w:b/>
                <w:lang w:val="en-GB"/>
              </w:rPr>
            </w:pPr>
            <w:r w:rsidRPr="00621D36">
              <w:rPr>
                <w:b/>
                <w:lang w:val="en-GB"/>
              </w:rPr>
              <w:t>Set-</w:t>
            </w:r>
            <w:r w:rsidR="009046A3" w:rsidRPr="00621D36">
              <w:rPr>
                <w:b/>
                <w:lang w:val="en-GB"/>
              </w:rPr>
              <w:t>Point Label</w:t>
            </w:r>
          </w:p>
        </w:tc>
        <w:tc>
          <w:tcPr>
            <w:tcW w:w="1134" w:type="dxa"/>
            <w:tcBorders>
              <w:top w:val="single" w:sz="8" w:space="0" w:color="auto"/>
              <w:left w:val="nil"/>
              <w:right w:val="nil"/>
            </w:tcBorders>
            <w:vAlign w:val="center"/>
          </w:tcPr>
          <w:p w14:paraId="03D9F32D" w14:textId="77777777" w:rsidR="002551AE" w:rsidRPr="00621D36" w:rsidRDefault="002551AE" w:rsidP="009046A3">
            <w:pPr>
              <w:pStyle w:val="MDPI42tablebody"/>
              <w:spacing w:line="240" w:lineRule="auto"/>
              <w:rPr>
                <w:b/>
                <w:lang w:val="en-GB"/>
              </w:rPr>
            </w:pPr>
            <w:r w:rsidRPr="00621D36">
              <w:rPr>
                <w:b/>
                <w:lang w:val="en-GB"/>
              </w:rPr>
              <w:t>Duration</w:t>
            </w:r>
          </w:p>
        </w:tc>
        <w:tc>
          <w:tcPr>
            <w:tcW w:w="1276" w:type="dxa"/>
            <w:tcBorders>
              <w:top w:val="single" w:sz="8" w:space="0" w:color="auto"/>
              <w:left w:val="nil"/>
              <w:right w:val="nil"/>
            </w:tcBorders>
            <w:vAlign w:val="center"/>
          </w:tcPr>
          <w:p w14:paraId="5B52AB8F" w14:textId="77777777" w:rsidR="002551AE" w:rsidRPr="00621D36" w:rsidRDefault="002551AE" w:rsidP="009046A3">
            <w:pPr>
              <w:pStyle w:val="MDPI42tablebody"/>
              <w:spacing w:line="240" w:lineRule="auto"/>
              <w:rPr>
                <w:b/>
                <w:lang w:val="en-GB"/>
              </w:rPr>
            </w:pPr>
            <w:r w:rsidRPr="00621D36">
              <w:rPr>
                <w:b/>
                <w:lang w:val="en-GB"/>
              </w:rPr>
              <w:t>Stack</w:t>
            </w:r>
          </w:p>
        </w:tc>
        <w:tc>
          <w:tcPr>
            <w:tcW w:w="2409" w:type="dxa"/>
            <w:tcBorders>
              <w:top w:val="single" w:sz="8" w:space="0" w:color="auto"/>
              <w:left w:val="nil"/>
              <w:right w:val="nil"/>
            </w:tcBorders>
            <w:vAlign w:val="center"/>
          </w:tcPr>
          <w:p w14:paraId="0D8C7F38" w14:textId="7E73FB9C" w:rsidR="002551AE" w:rsidRPr="00621D36" w:rsidRDefault="002551AE" w:rsidP="009046A3">
            <w:pPr>
              <w:pStyle w:val="MDPI42tablebody"/>
              <w:spacing w:line="240" w:lineRule="auto"/>
              <w:rPr>
                <w:b/>
                <w:lang w:val="en-GB"/>
              </w:rPr>
            </w:pPr>
            <w:r w:rsidRPr="00621D36">
              <w:rPr>
                <w:b/>
                <w:lang w:val="en-GB"/>
              </w:rPr>
              <w:t xml:space="preserve">Boxes in </w:t>
            </w:r>
            <w:r w:rsidR="009046A3" w:rsidRPr="00621D36">
              <w:rPr>
                <w:b/>
                <w:lang w:val="en-GB"/>
              </w:rPr>
              <w:t xml:space="preserve">Stack </w:t>
            </w:r>
            <w:r w:rsidRPr="00621D36">
              <w:rPr>
                <w:b/>
                <w:lang w:val="en-GB"/>
              </w:rPr>
              <w:t>(</w:t>
            </w:r>
            <w:r w:rsidR="009046A3" w:rsidRPr="00621D36">
              <w:rPr>
                <w:b/>
                <w:lang w:val="en-GB"/>
              </w:rPr>
              <w:t>Height</w:t>
            </w:r>
            <w:r w:rsidRPr="00621D36">
              <w:rPr>
                <w:b/>
                <w:lang w:val="en-GB"/>
              </w:rPr>
              <w:t>)</w:t>
            </w:r>
          </w:p>
        </w:tc>
        <w:tc>
          <w:tcPr>
            <w:tcW w:w="2527" w:type="dxa"/>
            <w:tcBorders>
              <w:top w:val="single" w:sz="8" w:space="0" w:color="auto"/>
              <w:left w:val="nil"/>
              <w:right w:val="nil"/>
            </w:tcBorders>
            <w:vAlign w:val="center"/>
          </w:tcPr>
          <w:p w14:paraId="61F93AE5" w14:textId="0ADF2EDB" w:rsidR="002551AE" w:rsidRPr="00621D36" w:rsidRDefault="002551AE" w:rsidP="009046A3">
            <w:pPr>
              <w:pStyle w:val="MDPI42tablebody"/>
              <w:spacing w:line="240" w:lineRule="auto"/>
              <w:rPr>
                <w:b/>
                <w:lang w:val="en-GB"/>
              </w:rPr>
            </w:pPr>
            <w:r w:rsidRPr="00621D36">
              <w:rPr>
                <w:b/>
                <w:lang w:val="en-GB"/>
              </w:rPr>
              <w:t xml:space="preserve">MEMS </w:t>
            </w:r>
            <w:r w:rsidR="009046A3" w:rsidRPr="00621D36">
              <w:rPr>
                <w:b/>
                <w:lang w:val="en-GB"/>
              </w:rPr>
              <w:t>Sensors</w:t>
            </w:r>
          </w:p>
        </w:tc>
      </w:tr>
      <w:tr w:rsidR="002551AE" w:rsidRPr="00621D36" w14:paraId="4EC8D84B" w14:textId="77777777" w:rsidTr="00D25BCE">
        <w:trPr>
          <w:jc w:val="center"/>
        </w:trPr>
        <w:tc>
          <w:tcPr>
            <w:tcW w:w="1418" w:type="dxa"/>
            <w:tcBorders>
              <w:left w:val="nil"/>
              <w:bottom w:val="nil"/>
              <w:right w:val="nil"/>
            </w:tcBorders>
            <w:vAlign w:val="center"/>
          </w:tcPr>
          <w:p w14:paraId="2DE52FA6" w14:textId="77777777" w:rsidR="002551AE" w:rsidRPr="00621D36" w:rsidRDefault="002551AE" w:rsidP="009046A3">
            <w:pPr>
              <w:pStyle w:val="MDPI42tablebody"/>
              <w:spacing w:line="240" w:lineRule="auto"/>
              <w:rPr>
                <w:lang w:val="en-GB"/>
              </w:rPr>
            </w:pPr>
            <w:r w:rsidRPr="00621D36">
              <w:rPr>
                <w:lang w:val="en-GB"/>
              </w:rPr>
              <w:t>Main</w:t>
            </w:r>
          </w:p>
        </w:tc>
        <w:tc>
          <w:tcPr>
            <w:tcW w:w="1701" w:type="dxa"/>
            <w:tcBorders>
              <w:left w:val="nil"/>
              <w:bottom w:val="nil"/>
              <w:right w:val="nil"/>
            </w:tcBorders>
            <w:vAlign w:val="center"/>
          </w:tcPr>
          <w:p w14:paraId="4C61C1E7" w14:textId="3D66B0F9" w:rsidR="002551AE" w:rsidRPr="00621D36" w:rsidRDefault="002551AE" w:rsidP="009046A3">
            <w:pPr>
              <w:adjustRightInd w:val="0"/>
              <w:snapToGrid w:val="0"/>
              <w:spacing w:line="240" w:lineRule="auto"/>
              <w:jc w:val="center"/>
              <w:rPr>
                <w:lang w:val="en-GB"/>
              </w:rPr>
            </w:pPr>
            <w:r w:rsidRPr="00621D36">
              <w:rPr>
                <w:lang w:val="en-GB"/>
              </w:rPr>
              <w:t xml:space="preserve">C19 (19 </w:t>
            </w:r>
            <w:r w:rsidR="00BC02DA" w:rsidRPr="00621D36">
              <w:rPr>
                <w:lang w:val="en-GB"/>
              </w:rPr>
              <w:t>°C</w:t>
            </w:r>
            <w:r w:rsidRPr="00621D36">
              <w:rPr>
                <w:lang w:val="en-GB"/>
              </w:rPr>
              <w:t>)</w:t>
            </w:r>
          </w:p>
        </w:tc>
        <w:tc>
          <w:tcPr>
            <w:tcW w:w="1134" w:type="dxa"/>
            <w:tcBorders>
              <w:left w:val="nil"/>
              <w:bottom w:val="nil"/>
              <w:right w:val="nil"/>
            </w:tcBorders>
            <w:vAlign w:val="center"/>
          </w:tcPr>
          <w:p w14:paraId="5D58A983" w14:textId="77777777" w:rsidR="002551AE" w:rsidRPr="00621D36" w:rsidRDefault="002551AE" w:rsidP="009046A3">
            <w:pPr>
              <w:pStyle w:val="MDPI42tablebody"/>
              <w:spacing w:line="240" w:lineRule="auto"/>
              <w:rPr>
                <w:lang w:val="en-GB"/>
              </w:rPr>
            </w:pPr>
            <w:r w:rsidRPr="00621D36">
              <w:rPr>
                <w:lang w:val="en-GB"/>
              </w:rPr>
              <w:t>20 days</w:t>
            </w:r>
          </w:p>
        </w:tc>
        <w:tc>
          <w:tcPr>
            <w:tcW w:w="1276" w:type="dxa"/>
            <w:tcBorders>
              <w:left w:val="nil"/>
              <w:bottom w:val="nil"/>
              <w:right w:val="nil"/>
            </w:tcBorders>
            <w:vAlign w:val="center"/>
          </w:tcPr>
          <w:p w14:paraId="2D6BE454" w14:textId="77777777" w:rsidR="002551AE" w:rsidRPr="00621D36" w:rsidRDefault="002551AE" w:rsidP="009046A3">
            <w:pPr>
              <w:pStyle w:val="MDPI42tablebody"/>
              <w:spacing w:line="240" w:lineRule="auto"/>
              <w:rPr>
                <w:lang w:val="en-GB"/>
              </w:rPr>
            </w:pPr>
            <w:r w:rsidRPr="00621D36">
              <w:rPr>
                <w:lang w:val="en-GB"/>
              </w:rPr>
              <w:t>Stack 1</w:t>
            </w:r>
          </w:p>
        </w:tc>
        <w:tc>
          <w:tcPr>
            <w:tcW w:w="2409" w:type="dxa"/>
            <w:tcBorders>
              <w:left w:val="nil"/>
              <w:bottom w:val="nil"/>
              <w:right w:val="nil"/>
            </w:tcBorders>
            <w:vAlign w:val="center"/>
          </w:tcPr>
          <w:p w14:paraId="1F2326E9" w14:textId="77777777" w:rsidR="002551AE" w:rsidRPr="00621D36" w:rsidRDefault="002551AE" w:rsidP="009046A3">
            <w:pPr>
              <w:pStyle w:val="MDPI42tablebody"/>
              <w:spacing w:line="240" w:lineRule="auto"/>
              <w:rPr>
                <w:lang w:val="en-GB"/>
              </w:rPr>
            </w:pPr>
            <w:r w:rsidRPr="00621D36">
              <w:rPr>
                <w:lang w:val="en-GB"/>
              </w:rPr>
              <w:t>4 (128 cm)</w:t>
            </w:r>
          </w:p>
        </w:tc>
        <w:tc>
          <w:tcPr>
            <w:tcW w:w="2527" w:type="dxa"/>
            <w:tcBorders>
              <w:left w:val="nil"/>
              <w:bottom w:val="nil"/>
              <w:right w:val="nil"/>
            </w:tcBorders>
            <w:vAlign w:val="center"/>
          </w:tcPr>
          <w:p w14:paraId="22987B8F" w14:textId="77777777" w:rsidR="002551AE" w:rsidRPr="00621D36" w:rsidRDefault="002551AE" w:rsidP="009046A3">
            <w:pPr>
              <w:pStyle w:val="MDPI42tablebody"/>
              <w:spacing w:line="240" w:lineRule="auto"/>
              <w:rPr>
                <w:lang w:val="en-GB"/>
              </w:rPr>
            </w:pPr>
            <w:r w:rsidRPr="00621D36">
              <w:rPr>
                <w:lang w:val="en-GB"/>
              </w:rPr>
              <w:t xml:space="preserve">Top + bottom </w:t>
            </w:r>
            <w:proofErr w:type="spellStart"/>
            <w:r w:rsidRPr="00621D36">
              <w:rPr>
                <w:lang w:val="en-GB"/>
              </w:rPr>
              <w:t>BiB</w:t>
            </w:r>
            <w:proofErr w:type="spellEnd"/>
          </w:p>
        </w:tc>
      </w:tr>
      <w:tr w:rsidR="002551AE" w:rsidRPr="00621D36" w14:paraId="411B4E92" w14:textId="77777777" w:rsidTr="00D25BCE">
        <w:trPr>
          <w:jc w:val="center"/>
        </w:trPr>
        <w:tc>
          <w:tcPr>
            <w:tcW w:w="1418" w:type="dxa"/>
            <w:tcBorders>
              <w:top w:val="nil"/>
              <w:left w:val="nil"/>
              <w:bottom w:val="nil"/>
              <w:right w:val="nil"/>
            </w:tcBorders>
            <w:vAlign w:val="center"/>
          </w:tcPr>
          <w:p w14:paraId="0A1E89B2" w14:textId="77777777" w:rsidR="002551AE" w:rsidRPr="00621D36" w:rsidRDefault="002551AE" w:rsidP="009046A3">
            <w:pPr>
              <w:pStyle w:val="MDPI42tablebody"/>
              <w:spacing w:line="240" w:lineRule="auto"/>
              <w:rPr>
                <w:lang w:val="en-GB"/>
              </w:rPr>
            </w:pPr>
            <w:r w:rsidRPr="00621D36">
              <w:rPr>
                <w:lang w:val="en-GB"/>
              </w:rPr>
              <w:t>Main</w:t>
            </w:r>
          </w:p>
        </w:tc>
        <w:tc>
          <w:tcPr>
            <w:tcW w:w="1701" w:type="dxa"/>
            <w:tcBorders>
              <w:top w:val="nil"/>
              <w:left w:val="nil"/>
              <w:bottom w:val="nil"/>
              <w:right w:val="nil"/>
            </w:tcBorders>
            <w:vAlign w:val="center"/>
          </w:tcPr>
          <w:p w14:paraId="509519FA" w14:textId="4479A325" w:rsidR="002551AE" w:rsidRPr="00621D36" w:rsidRDefault="002551AE" w:rsidP="009046A3">
            <w:pPr>
              <w:adjustRightInd w:val="0"/>
              <w:snapToGrid w:val="0"/>
              <w:spacing w:line="240" w:lineRule="auto"/>
              <w:jc w:val="center"/>
              <w:rPr>
                <w:lang w:val="en-GB"/>
              </w:rPr>
            </w:pPr>
            <w:r w:rsidRPr="00621D36">
              <w:rPr>
                <w:lang w:val="en-GB"/>
              </w:rPr>
              <w:t xml:space="preserve">C19 (19 </w:t>
            </w:r>
            <w:r w:rsidR="00BC02DA" w:rsidRPr="00621D36">
              <w:rPr>
                <w:lang w:val="en-GB"/>
              </w:rPr>
              <w:t>°C</w:t>
            </w:r>
            <w:r w:rsidRPr="00621D36">
              <w:rPr>
                <w:lang w:val="en-GB"/>
              </w:rPr>
              <w:t>)</w:t>
            </w:r>
          </w:p>
        </w:tc>
        <w:tc>
          <w:tcPr>
            <w:tcW w:w="1134" w:type="dxa"/>
            <w:tcBorders>
              <w:top w:val="nil"/>
              <w:left w:val="nil"/>
              <w:bottom w:val="nil"/>
              <w:right w:val="nil"/>
            </w:tcBorders>
            <w:vAlign w:val="center"/>
          </w:tcPr>
          <w:p w14:paraId="03125B06" w14:textId="77777777" w:rsidR="002551AE" w:rsidRPr="00621D36" w:rsidRDefault="002551AE" w:rsidP="009046A3">
            <w:pPr>
              <w:pStyle w:val="MDPI42tablebody"/>
              <w:spacing w:line="240" w:lineRule="auto"/>
              <w:rPr>
                <w:lang w:val="en-GB"/>
              </w:rPr>
            </w:pPr>
            <w:r w:rsidRPr="00621D36">
              <w:rPr>
                <w:lang w:val="en-GB"/>
              </w:rPr>
              <w:t>20 days</w:t>
            </w:r>
          </w:p>
        </w:tc>
        <w:tc>
          <w:tcPr>
            <w:tcW w:w="1276" w:type="dxa"/>
            <w:tcBorders>
              <w:top w:val="nil"/>
              <w:left w:val="nil"/>
              <w:bottom w:val="nil"/>
              <w:right w:val="nil"/>
            </w:tcBorders>
            <w:vAlign w:val="center"/>
          </w:tcPr>
          <w:p w14:paraId="723AA86E" w14:textId="77777777" w:rsidR="002551AE" w:rsidRPr="00621D36" w:rsidRDefault="002551AE" w:rsidP="009046A3">
            <w:pPr>
              <w:pStyle w:val="MDPI42tablebody"/>
              <w:spacing w:line="240" w:lineRule="auto"/>
              <w:rPr>
                <w:lang w:val="en-GB"/>
              </w:rPr>
            </w:pPr>
            <w:r w:rsidRPr="00621D36">
              <w:rPr>
                <w:lang w:val="en-GB"/>
              </w:rPr>
              <w:t>Stack 2</w:t>
            </w:r>
          </w:p>
        </w:tc>
        <w:tc>
          <w:tcPr>
            <w:tcW w:w="2409" w:type="dxa"/>
            <w:tcBorders>
              <w:top w:val="nil"/>
              <w:left w:val="nil"/>
              <w:bottom w:val="nil"/>
              <w:right w:val="nil"/>
            </w:tcBorders>
            <w:vAlign w:val="center"/>
          </w:tcPr>
          <w:p w14:paraId="4F5C6718" w14:textId="77777777" w:rsidR="002551AE" w:rsidRPr="00621D36" w:rsidRDefault="002551AE" w:rsidP="009046A3">
            <w:pPr>
              <w:pStyle w:val="MDPI42tablebody"/>
              <w:spacing w:line="240" w:lineRule="auto"/>
              <w:rPr>
                <w:lang w:val="en-GB"/>
              </w:rPr>
            </w:pPr>
            <w:r w:rsidRPr="00621D36">
              <w:rPr>
                <w:lang w:val="en-GB"/>
              </w:rPr>
              <w:t>3 (97 cm)</w:t>
            </w:r>
          </w:p>
        </w:tc>
        <w:tc>
          <w:tcPr>
            <w:tcW w:w="2527" w:type="dxa"/>
            <w:tcBorders>
              <w:top w:val="nil"/>
              <w:left w:val="nil"/>
              <w:bottom w:val="nil"/>
              <w:right w:val="nil"/>
            </w:tcBorders>
            <w:vAlign w:val="center"/>
          </w:tcPr>
          <w:p w14:paraId="26EBDA1D" w14:textId="77777777" w:rsidR="002551AE" w:rsidRPr="00621D36" w:rsidRDefault="002551AE" w:rsidP="009046A3">
            <w:pPr>
              <w:pStyle w:val="MDPI42tablebody"/>
              <w:spacing w:line="240" w:lineRule="auto"/>
              <w:rPr>
                <w:lang w:val="en-GB"/>
              </w:rPr>
            </w:pPr>
            <w:r w:rsidRPr="00621D36">
              <w:rPr>
                <w:lang w:val="en-GB"/>
              </w:rPr>
              <w:t xml:space="preserve">Top + bottom </w:t>
            </w:r>
            <w:proofErr w:type="spellStart"/>
            <w:r w:rsidRPr="00621D36">
              <w:rPr>
                <w:lang w:val="en-GB"/>
              </w:rPr>
              <w:t>BiB</w:t>
            </w:r>
            <w:proofErr w:type="spellEnd"/>
          </w:p>
        </w:tc>
      </w:tr>
      <w:tr w:rsidR="002551AE" w:rsidRPr="00621D36" w14:paraId="62578706" w14:textId="77777777" w:rsidTr="00D25BCE">
        <w:trPr>
          <w:jc w:val="center"/>
        </w:trPr>
        <w:tc>
          <w:tcPr>
            <w:tcW w:w="1418" w:type="dxa"/>
            <w:tcBorders>
              <w:top w:val="nil"/>
              <w:left w:val="nil"/>
              <w:bottom w:val="nil"/>
              <w:right w:val="nil"/>
            </w:tcBorders>
            <w:vAlign w:val="center"/>
          </w:tcPr>
          <w:p w14:paraId="4FA20E2E" w14:textId="77777777" w:rsidR="002551AE" w:rsidRPr="00621D36" w:rsidRDefault="002551AE" w:rsidP="009046A3">
            <w:pPr>
              <w:pStyle w:val="MDPI42tablebody"/>
              <w:spacing w:line="240" w:lineRule="auto"/>
              <w:rPr>
                <w:lang w:val="en-GB"/>
              </w:rPr>
            </w:pPr>
            <w:r w:rsidRPr="00621D36">
              <w:rPr>
                <w:lang w:val="en-GB"/>
              </w:rPr>
              <w:t>Main</w:t>
            </w:r>
          </w:p>
        </w:tc>
        <w:tc>
          <w:tcPr>
            <w:tcW w:w="1701" w:type="dxa"/>
            <w:tcBorders>
              <w:top w:val="nil"/>
              <w:left w:val="nil"/>
              <w:bottom w:val="nil"/>
              <w:right w:val="nil"/>
            </w:tcBorders>
            <w:vAlign w:val="center"/>
          </w:tcPr>
          <w:p w14:paraId="1706DE12" w14:textId="57072592" w:rsidR="002551AE" w:rsidRPr="00621D36" w:rsidRDefault="002551AE" w:rsidP="009046A3">
            <w:pPr>
              <w:adjustRightInd w:val="0"/>
              <w:snapToGrid w:val="0"/>
              <w:spacing w:line="240" w:lineRule="auto"/>
              <w:jc w:val="center"/>
              <w:rPr>
                <w:lang w:val="en-GB"/>
              </w:rPr>
            </w:pPr>
            <w:r w:rsidRPr="00621D36">
              <w:rPr>
                <w:lang w:val="en-GB"/>
              </w:rPr>
              <w:t xml:space="preserve">C19 (19 </w:t>
            </w:r>
            <w:r w:rsidR="00BC02DA" w:rsidRPr="00621D36">
              <w:rPr>
                <w:lang w:val="en-GB"/>
              </w:rPr>
              <w:t>°C</w:t>
            </w:r>
            <w:r w:rsidRPr="00621D36">
              <w:rPr>
                <w:lang w:val="en-GB"/>
              </w:rPr>
              <w:t>)</w:t>
            </w:r>
          </w:p>
        </w:tc>
        <w:tc>
          <w:tcPr>
            <w:tcW w:w="1134" w:type="dxa"/>
            <w:tcBorders>
              <w:top w:val="nil"/>
              <w:left w:val="nil"/>
              <w:bottom w:val="nil"/>
              <w:right w:val="nil"/>
            </w:tcBorders>
            <w:vAlign w:val="center"/>
          </w:tcPr>
          <w:p w14:paraId="7D820677" w14:textId="77777777" w:rsidR="002551AE" w:rsidRPr="00621D36" w:rsidRDefault="002551AE" w:rsidP="009046A3">
            <w:pPr>
              <w:pStyle w:val="MDPI42tablebody"/>
              <w:spacing w:line="240" w:lineRule="auto"/>
              <w:rPr>
                <w:lang w:val="en-GB"/>
              </w:rPr>
            </w:pPr>
            <w:r w:rsidRPr="00621D36">
              <w:rPr>
                <w:lang w:val="en-GB"/>
              </w:rPr>
              <w:t>20 days</w:t>
            </w:r>
          </w:p>
        </w:tc>
        <w:tc>
          <w:tcPr>
            <w:tcW w:w="1276" w:type="dxa"/>
            <w:tcBorders>
              <w:top w:val="nil"/>
              <w:left w:val="nil"/>
              <w:bottom w:val="nil"/>
              <w:right w:val="nil"/>
            </w:tcBorders>
            <w:vAlign w:val="center"/>
          </w:tcPr>
          <w:p w14:paraId="003F10B3" w14:textId="77777777" w:rsidR="002551AE" w:rsidRPr="00621D36" w:rsidRDefault="002551AE" w:rsidP="009046A3">
            <w:pPr>
              <w:pStyle w:val="MDPI42tablebody"/>
              <w:spacing w:line="240" w:lineRule="auto"/>
              <w:rPr>
                <w:lang w:val="en-GB"/>
              </w:rPr>
            </w:pPr>
            <w:r w:rsidRPr="00621D36">
              <w:rPr>
                <w:lang w:val="en-GB"/>
              </w:rPr>
              <w:t>Stack 3</w:t>
            </w:r>
          </w:p>
        </w:tc>
        <w:tc>
          <w:tcPr>
            <w:tcW w:w="2409" w:type="dxa"/>
            <w:tcBorders>
              <w:top w:val="nil"/>
              <w:left w:val="nil"/>
              <w:bottom w:val="nil"/>
              <w:right w:val="nil"/>
            </w:tcBorders>
            <w:vAlign w:val="center"/>
          </w:tcPr>
          <w:p w14:paraId="0E70541C" w14:textId="77777777" w:rsidR="002551AE" w:rsidRPr="00621D36" w:rsidRDefault="002551AE" w:rsidP="009046A3">
            <w:pPr>
              <w:pStyle w:val="MDPI42tablebody"/>
              <w:spacing w:line="240" w:lineRule="auto"/>
              <w:rPr>
                <w:lang w:val="en-GB"/>
              </w:rPr>
            </w:pPr>
            <w:r w:rsidRPr="00621D36">
              <w:rPr>
                <w:lang w:val="en-GB"/>
              </w:rPr>
              <w:t>3 (97 cm)</w:t>
            </w:r>
          </w:p>
        </w:tc>
        <w:tc>
          <w:tcPr>
            <w:tcW w:w="2527" w:type="dxa"/>
            <w:tcBorders>
              <w:top w:val="nil"/>
              <w:left w:val="nil"/>
              <w:bottom w:val="nil"/>
              <w:right w:val="nil"/>
            </w:tcBorders>
            <w:vAlign w:val="center"/>
          </w:tcPr>
          <w:p w14:paraId="065768AE" w14:textId="77777777" w:rsidR="002551AE" w:rsidRPr="00621D36" w:rsidRDefault="002551AE" w:rsidP="009046A3">
            <w:pPr>
              <w:pStyle w:val="MDPI42tablebody"/>
              <w:spacing w:line="240" w:lineRule="auto"/>
              <w:rPr>
                <w:lang w:val="en-GB"/>
              </w:rPr>
            </w:pPr>
            <w:r w:rsidRPr="00621D36">
              <w:rPr>
                <w:lang w:val="en-GB"/>
              </w:rPr>
              <w:t xml:space="preserve">Top + bottom </w:t>
            </w:r>
            <w:proofErr w:type="spellStart"/>
            <w:r w:rsidRPr="00621D36">
              <w:rPr>
                <w:lang w:val="en-GB"/>
              </w:rPr>
              <w:t>BiB</w:t>
            </w:r>
            <w:proofErr w:type="spellEnd"/>
            <w:r w:rsidRPr="00621D36">
              <w:rPr>
                <w:lang w:val="en-GB"/>
              </w:rPr>
              <w:t xml:space="preserve"> </w:t>
            </w:r>
            <w:r w:rsidRPr="00DB0887">
              <w:rPr>
                <w:lang w:val="en-GB"/>
              </w:rPr>
              <w:t>*</w:t>
            </w:r>
          </w:p>
        </w:tc>
      </w:tr>
      <w:tr w:rsidR="002551AE" w:rsidRPr="00621D36" w14:paraId="6F3DF12E" w14:textId="77777777" w:rsidTr="00D25BCE">
        <w:trPr>
          <w:jc w:val="center"/>
        </w:trPr>
        <w:tc>
          <w:tcPr>
            <w:tcW w:w="1418" w:type="dxa"/>
            <w:tcBorders>
              <w:top w:val="nil"/>
              <w:left w:val="nil"/>
              <w:bottom w:val="nil"/>
              <w:right w:val="nil"/>
            </w:tcBorders>
            <w:vAlign w:val="center"/>
          </w:tcPr>
          <w:p w14:paraId="52E3DCD5" w14:textId="77777777" w:rsidR="002551AE" w:rsidRPr="00621D36" w:rsidRDefault="002551AE" w:rsidP="009046A3">
            <w:pPr>
              <w:pStyle w:val="MDPI42tablebody"/>
              <w:spacing w:line="240" w:lineRule="auto"/>
              <w:rPr>
                <w:lang w:val="en-GB"/>
              </w:rPr>
            </w:pPr>
            <w:r w:rsidRPr="00621D36">
              <w:rPr>
                <w:lang w:val="en-GB"/>
              </w:rPr>
              <w:t>Main</w:t>
            </w:r>
          </w:p>
        </w:tc>
        <w:tc>
          <w:tcPr>
            <w:tcW w:w="1701" w:type="dxa"/>
            <w:tcBorders>
              <w:top w:val="nil"/>
              <w:left w:val="nil"/>
              <w:bottom w:val="nil"/>
              <w:right w:val="nil"/>
            </w:tcBorders>
            <w:vAlign w:val="center"/>
          </w:tcPr>
          <w:p w14:paraId="0A9BB9C3" w14:textId="58547A5E" w:rsidR="002551AE" w:rsidRPr="00621D36" w:rsidRDefault="002551AE" w:rsidP="009046A3">
            <w:pPr>
              <w:adjustRightInd w:val="0"/>
              <w:snapToGrid w:val="0"/>
              <w:spacing w:line="240" w:lineRule="auto"/>
              <w:jc w:val="center"/>
              <w:rPr>
                <w:lang w:val="en-GB"/>
              </w:rPr>
            </w:pPr>
            <w:r w:rsidRPr="00621D36">
              <w:rPr>
                <w:lang w:val="en-GB"/>
              </w:rPr>
              <w:t xml:space="preserve">C50 (50 </w:t>
            </w:r>
            <w:r w:rsidR="00BC02DA" w:rsidRPr="00621D36">
              <w:rPr>
                <w:lang w:val="en-GB"/>
              </w:rPr>
              <w:t>°C</w:t>
            </w:r>
            <w:r w:rsidRPr="00621D36">
              <w:rPr>
                <w:lang w:val="en-GB"/>
              </w:rPr>
              <w:t>)</w:t>
            </w:r>
          </w:p>
        </w:tc>
        <w:tc>
          <w:tcPr>
            <w:tcW w:w="1134" w:type="dxa"/>
            <w:tcBorders>
              <w:top w:val="nil"/>
              <w:left w:val="nil"/>
              <w:bottom w:val="nil"/>
              <w:right w:val="nil"/>
            </w:tcBorders>
            <w:vAlign w:val="center"/>
          </w:tcPr>
          <w:p w14:paraId="13323447" w14:textId="77777777" w:rsidR="002551AE" w:rsidRPr="00621D36" w:rsidRDefault="002551AE" w:rsidP="009046A3">
            <w:pPr>
              <w:pStyle w:val="MDPI42tablebody"/>
              <w:spacing w:line="240" w:lineRule="auto"/>
              <w:rPr>
                <w:lang w:val="en-GB"/>
              </w:rPr>
            </w:pPr>
            <w:r w:rsidRPr="00621D36">
              <w:rPr>
                <w:lang w:val="en-GB"/>
              </w:rPr>
              <w:t>20 days</w:t>
            </w:r>
          </w:p>
        </w:tc>
        <w:tc>
          <w:tcPr>
            <w:tcW w:w="1276" w:type="dxa"/>
            <w:tcBorders>
              <w:top w:val="nil"/>
              <w:left w:val="nil"/>
              <w:bottom w:val="nil"/>
              <w:right w:val="nil"/>
            </w:tcBorders>
            <w:vAlign w:val="center"/>
          </w:tcPr>
          <w:p w14:paraId="080C3162" w14:textId="77777777" w:rsidR="002551AE" w:rsidRPr="00621D36" w:rsidRDefault="002551AE" w:rsidP="009046A3">
            <w:pPr>
              <w:pStyle w:val="MDPI42tablebody"/>
              <w:spacing w:line="240" w:lineRule="auto"/>
              <w:rPr>
                <w:lang w:val="en-GB"/>
              </w:rPr>
            </w:pPr>
            <w:r w:rsidRPr="00621D36">
              <w:rPr>
                <w:lang w:val="en-GB"/>
              </w:rPr>
              <w:t>Stack 1</w:t>
            </w:r>
          </w:p>
        </w:tc>
        <w:tc>
          <w:tcPr>
            <w:tcW w:w="2409" w:type="dxa"/>
            <w:tcBorders>
              <w:top w:val="nil"/>
              <w:left w:val="nil"/>
              <w:bottom w:val="nil"/>
              <w:right w:val="nil"/>
            </w:tcBorders>
            <w:vAlign w:val="center"/>
          </w:tcPr>
          <w:p w14:paraId="56CF28CF" w14:textId="77777777" w:rsidR="002551AE" w:rsidRPr="00621D36" w:rsidRDefault="002551AE" w:rsidP="009046A3">
            <w:pPr>
              <w:pStyle w:val="MDPI42tablebody"/>
              <w:spacing w:line="240" w:lineRule="auto"/>
              <w:rPr>
                <w:lang w:val="en-GB"/>
              </w:rPr>
            </w:pPr>
            <w:r w:rsidRPr="00621D36">
              <w:rPr>
                <w:lang w:val="en-GB"/>
              </w:rPr>
              <w:t>4 (128 cm)</w:t>
            </w:r>
          </w:p>
        </w:tc>
        <w:tc>
          <w:tcPr>
            <w:tcW w:w="2527" w:type="dxa"/>
            <w:tcBorders>
              <w:top w:val="nil"/>
              <w:left w:val="nil"/>
              <w:bottom w:val="nil"/>
              <w:right w:val="nil"/>
            </w:tcBorders>
            <w:vAlign w:val="center"/>
          </w:tcPr>
          <w:p w14:paraId="645D6D7B" w14:textId="77777777" w:rsidR="002551AE" w:rsidRPr="00621D36" w:rsidRDefault="002551AE" w:rsidP="009046A3">
            <w:pPr>
              <w:pStyle w:val="MDPI42tablebody"/>
              <w:spacing w:line="240" w:lineRule="auto"/>
              <w:rPr>
                <w:lang w:val="en-GB"/>
              </w:rPr>
            </w:pPr>
            <w:r w:rsidRPr="00621D36">
              <w:rPr>
                <w:lang w:val="en-GB"/>
              </w:rPr>
              <w:t xml:space="preserve">Top + bottom </w:t>
            </w:r>
            <w:proofErr w:type="spellStart"/>
            <w:r w:rsidRPr="00621D36">
              <w:rPr>
                <w:lang w:val="en-GB"/>
              </w:rPr>
              <w:t>BiB</w:t>
            </w:r>
            <w:proofErr w:type="spellEnd"/>
          </w:p>
        </w:tc>
      </w:tr>
      <w:tr w:rsidR="002551AE" w:rsidRPr="00621D36" w14:paraId="5BCE773B" w14:textId="77777777" w:rsidTr="00D25BCE">
        <w:trPr>
          <w:jc w:val="center"/>
        </w:trPr>
        <w:tc>
          <w:tcPr>
            <w:tcW w:w="1418" w:type="dxa"/>
            <w:tcBorders>
              <w:top w:val="nil"/>
              <w:left w:val="nil"/>
              <w:bottom w:val="nil"/>
              <w:right w:val="nil"/>
            </w:tcBorders>
            <w:vAlign w:val="center"/>
          </w:tcPr>
          <w:p w14:paraId="365A6853" w14:textId="77777777" w:rsidR="002551AE" w:rsidRPr="00621D36" w:rsidRDefault="002551AE" w:rsidP="009046A3">
            <w:pPr>
              <w:pStyle w:val="MDPI42tablebody"/>
              <w:spacing w:line="240" w:lineRule="auto"/>
              <w:rPr>
                <w:lang w:val="en-GB"/>
              </w:rPr>
            </w:pPr>
            <w:r w:rsidRPr="00621D36">
              <w:rPr>
                <w:lang w:val="en-GB"/>
              </w:rPr>
              <w:t>Main</w:t>
            </w:r>
          </w:p>
        </w:tc>
        <w:tc>
          <w:tcPr>
            <w:tcW w:w="1701" w:type="dxa"/>
            <w:tcBorders>
              <w:top w:val="nil"/>
              <w:left w:val="nil"/>
              <w:bottom w:val="nil"/>
              <w:right w:val="nil"/>
            </w:tcBorders>
            <w:vAlign w:val="center"/>
          </w:tcPr>
          <w:p w14:paraId="4561004F" w14:textId="3625672E" w:rsidR="002551AE" w:rsidRPr="00621D36" w:rsidRDefault="002551AE" w:rsidP="009046A3">
            <w:pPr>
              <w:adjustRightInd w:val="0"/>
              <w:snapToGrid w:val="0"/>
              <w:spacing w:line="240" w:lineRule="auto"/>
              <w:jc w:val="center"/>
              <w:rPr>
                <w:lang w:val="en-GB"/>
              </w:rPr>
            </w:pPr>
            <w:r w:rsidRPr="00621D36">
              <w:rPr>
                <w:lang w:val="en-GB"/>
              </w:rPr>
              <w:t xml:space="preserve">C50 (50 </w:t>
            </w:r>
            <w:r w:rsidR="00BC02DA" w:rsidRPr="00621D36">
              <w:rPr>
                <w:lang w:val="en-GB"/>
              </w:rPr>
              <w:t>°C</w:t>
            </w:r>
            <w:r w:rsidRPr="00621D36">
              <w:rPr>
                <w:lang w:val="en-GB"/>
              </w:rPr>
              <w:t>)</w:t>
            </w:r>
          </w:p>
        </w:tc>
        <w:tc>
          <w:tcPr>
            <w:tcW w:w="1134" w:type="dxa"/>
            <w:tcBorders>
              <w:top w:val="nil"/>
              <w:left w:val="nil"/>
              <w:bottom w:val="nil"/>
              <w:right w:val="nil"/>
            </w:tcBorders>
            <w:vAlign w:val="center"/>
          </w:tcPr>
          <w:p w14:paraId="3555AD78" w14:textId="77777777" w:rsidR="002551AE" w:rsidRPr="00621D36" w:rsidRDefault="002551AE" w:rsidP="009046A3">
            <w:pPr>
              <w:pStyle w:val="MDPI42tablebody"/>
              <w:spacing w:line="240" w:lineRule="auto"/>
              <w:rPr>
                <w:lang w:val="en-GB"/>
              </w:rPr>
            </w:pPr>
            <w:r w:rsidRPr="00621D36">
              <w:rPr>
                <w:lang w:val="en-GB"/>
              </w:rPr>
              <w:t>20 days</w:t>
            </w:r>
          </w:p>
        </w:tc>
        <w:tc>
          <w:tcPr>
            <w:tcW w:w="1276" w:type="dxa"/>
            <w:tcBorders>
              <w:top w:val="nil"/>
              <w:left w:val="nil"/>
              <w:bottom w:val="nil"/>
              <w:right w:val="nil"/>
            </w:tcBorders>
            <w:vAlign w:val="center"/>
          </w:tcPr>
          <w:p w14:paraId="32EC951C" w14:textId="77777777" w:rsidR="002551AE" w:rsidRPr="00621D36" w:rsidRDefault="002551AE" w:rsidP="009046A3">
            <w:pPr>
              <w:pStyle w:val="MDPI42tablebody"/>
              <w:spacing w:line="240" w:lineRule="auto"/>
              <w:rPr>
                <w:lang w:val="en-GB"/>
              </w:rPr>
            </w:pPr>
            <w:r w:rsidRPr="00621D36">
              <w:rPr>
                <w:lang w:val="en-GB"/>
              </w:rPr>
              <w:t>Stack 2</w:t>
            </w:r>
          </w:p>
        </w:tc>
        <w:tc>
          <w:tcPr>
            <w:tcW w:w="2409" w:type="dxa"/>
            <w:tcBorders>
              <w:top w:val="nil"/>
              <w:left w:val="nil"/>
              <w:bottom w:val="nil"/>
              <w:right w:val="nil"/>
            </w:tcBorders>
            <w:vAlign w:val="center"/>
          </w:tcPr>
          <w:p w14:paraId="392115B5" w14:textId="77777777" w:rsidR="002551AE" w:rsidRPr="00621D36" w:rsidRDefault="002551AE" w:rsidP="009046A3">
            <w:pPr>
              <w:pStyle w:val="MDPI42tablebody"/>
              <w:spacing w:line="240" w:lineRule="auto"/>
              <w:rPr>
                <w:lang w:val="en-GB"/>
              </w:rPr>
            </w:pPr>
            <w:r w:rsidRPr="00621D36">
              <w:rPr>
                <w:lang w:val="en-GB"/>
              </w:rPr>
              <w:t>3 (97 cm)</w:t>
            </w:r>
          </w:p>
        </w:tc>
        <w:tc>
          <w:tcPr>
            <w:tcW w:w="2527" w:type="dxa"/>
            <w:tcBorders>
              <w:top w:val="nil"/>
              <w:left w:val="nil"/>
              <w:bottom w:val="nil"/>
              <w:right w:val="nil"/>
            </w:tcBorders>
            <w:vAlign w:val="center"/>
          </w:tcPr>
          <w:p w14:paraId="454AA5FB" w14:textId="77777777" w:rsidR="002551AE" w:rsidRPr="00621D36" w:rsidRDefault="002551AE" w:rsidP="009046A3">
            <w:pPr>
              <w:pStyle w:val="MDPI42tablebody"/>
              <w:spacing w:line="240" w:lineRule="auto"/>
              <w:rPr>
                <w:lang w:val="en-GB"/>
              </w:rPr>
            </w:pPr>
            <w:r w:rsidRPr="00621D36">
              <w:rPr>
                <w:lang w:val="en-GB"/>
              </w:rPr>
              <w:t xml:space="preserve">Top + bottom </w:t>
            </w:r>
            <w:proofErr w:type="spellStart"/>
            <w:r w:rsidRPr="00621D36">
              <w:rPr>
                <w:lang w:val="en-GB"/>
              </w:rPr>
              <w:t>BiB</w:t>
            </w:r>
            <w:proofErr w:type="spellEnd"/>
          </w:p>
        </w:tc>
      </w:tr>
      <w:tr w:rsidR="002551AE" w:rsidRPr="00621D36" w14:paraId="15B8BF3C" w14:textId="77777777" w:rsidTr="00D25BCE">
        <w:trPr>
          <w:jc w:val="center"/>
        </w:trPr>
        <w:tc>
          <w:tcPr>
            <w:tcW w:w="1418" w:type="dxa"/>
            <w:tcBorders>
              <w:top w:val="nil"/>
              <w:left w:val="nil"/>
              <w:bottom w:val="nil"/>
              <w:right w:val="nil"/>
            </w:tcBorders>
            <w:vAlign w:val="center"/>
          </w:tcPr>
          <w:p w14:paraId="1AC1059A" w14:textId="77777777" w:rsidR="002551AE" w:rsidRPr="00621D36" w:rsidRDefault="002551AE" w:rsidP="009046A3">
            <w:pPr>
              <w:pStyle w:val="MDPI42tablebody"/>
              <w:spacing w:line="240" w:lineRule="auto"/>
              <w:rPr>
                <w:lang w:val="en-GB"/>
              </w:rPr>
            </w:pPr>
            <w:r w:rsidRPr="00621D36">
              <w:rPr>
                <w:lang w:val="en-GB"/>
              </w:rPr>
              <w:t>Main</w:t>
            </w:r>
          </w:p>
        </w:tc>
        <w:tc>
          <w:tcPr>
            <w:tcW w:w="1701" w:type="dxa"/>
            <w:tcBorders>
              <w:top w:val="nil"/>
              <w:left w:val="nil"/>
              <w:bottom w:val="nil"/>
              <w:right w:val="nil"/>
            </w:tcBorders>
            <w:vAlign w:val="center"/>
          </w:tcPr>
          <w:p w14:paraId="7A009F63" w14:textId="58A5DAFF" w:rsidR="002551AE" w:rsidRPr="00621D36" w:rsidRDefault="002551AE" w:rsidP="009046A3">
            <w:pPr>
              <w:adjustRightInd w:val="0"/>
              <w:snapToGrid w:val="0"/>
              <w:spacing w:line="240" w:lineRule="auto"/>
              <w:jc w:val="center"/>
              <w:rPr>
                <w:lang w:val="en-GB"/>
              </w:rPr>
            </w:pPr>
            <w:r w:rsidRPr="00621D36">
              <w:rPr>
                <w:lang w:val="en-GB"/>
              </w:rPr>
              <w:t xml:space="preserve">C50 (50 </w:t>
            </w:r>
            <w:r w:rsidR="00BC02DA" w:rsidRPr="00621D36">
              <w:rPr>
                <w:lang w:val="en-GB"/>
              </w:rPr>
              <w:t>°C</w:t>
            </w:r>
            <w:r w:rsidRPr="00621D36">
              <w:rPr>
                <w:lang w:val="en-GB"/>
              </w:rPr>
              <w:t>)</w:t>
            </w:r>
          </w:p>
        </w:tc>
        <w:tc>
          <w:tcPr>
            <w:tcW w:w="1134" w:type="dxa"/>
            <w:tcBorders>
              <w:top w:val="nil"/>
              <w:left w:val="nil"/>
              <w:bottom w:val="nil"/>
              <w:right w:val="nil"/>
            </w:tcBorders>
            <w:vAlign w:val="center"/>
          </w:tcPr>
          <w:p w14:paraId="04EF8CE2" w14:textId="77777777" w:rsidR="002551AE" w:rsidRPr="00621D36" w:rsidRDefault="002551AE" w:rsidP="009046A3">
            <w:pPr>
              <w:pStyle w:val="MDPI42tablebody"/>
              <w:spacing w:line="240" w:lineRule="auto"/>
              <w:rPr>
                <w:lang w:val="en-GB"/>
              </w:rPr>
            </w:pPr>
            <w:r w:rsidRPr="00621D36">
              <w:rPr>
                <w:lang w:val="en-GB"/>
              </w:rPr>
              <w:t>20 days</w:t>
            </w:r>
          </w:p>
        </w:tc>
        <w:tc>
          <w:tcPr>
            <w:tcW w:w="1276" w:type="dxa"/>
            <w:tcBorders>
              <w:top w:val="nil"/>
              <w:left w:val="nil"/>
              <w:bottom w:val="nil"/>
              <w:right w:val="nil"/>
            </w:tcBorders>
            <w:vAlign w:val="center"/>
          </w:tcPr>
          <w:p w14:paraId="74FC6D93" w14:textId="77777777" w:rsidR="002551AE" w:rsidRPr="00621D36" w:rsidRDefault="002551AE" w:rsidP="009046A3">
            <w:pPr>
              <w:pStyle w:val="MDPI42tablebody"/>
              <w:spacing w:line="240" w:lineRule="auto"/>
              <w:rPr>
                <w:lang w:val="en-GB"/>
              </w:rPr>
            </w:pPr>
            <w:r w:rsidRPr="00621D36">
              <w:rPr>
                <w:lang w:val="en-GB"/>
              </w:rPr>
              <w:t>Stack 3</w:t>
            </w:r>
          </w:p>
        </w:tc>
        <w:tc>
          <w:tcPr>
            <w:tcW w:w="2409" w:type="dxa"/>
            <w:tcBorders>
              <w:top w:val="nil"/>
              <w:left w:val="nil"/>
              <w:bottom w:val="nil"/>
              <w:right w:val="nil"/>
            </w:tcBorders>
            <w:vAlign w:val="center"/>
          </w:tcPr>
          <w:p w14:paraId="13049871" w14:textId="77777777" w:rsidR="002551AE" w:rsidRPr="00621D36" w:rsidRDefault="002551AE" w:rsidP="009046A3">
            <w:pPr>
              <w:pStyle w:val="MDPI42tablebody"/>
              <w:spacing w:line="240" w:lineRule="auto"/>
              <w:rPr>
                <w:lang w:val="en-GB"/>
              </w:rPr>
            </w:pPr>
            <w:r w:rsidRPr="00621D36">
              <w:rPr>
                <w:lang w:val="en-GB"/>
              </w:rPr>
              <w:t>3 (97 cm)</w:t>
            </w:r>
          </w:p>
        </w:tc>
        <w:tc>
          <w:tcPr>
            <w:tcW w:w="2527" w:type="dxa"/>
            <w:tcBorders>
              <w:top w:val="nil"/>
              <w:left w:val="nil"/>
              <w:bottom w:val="nil"/>
              <w:right w:val="nil"/>
            </w:tcBorders>
            <w:vAlign w:val="center"/>
          </w:tcPr>
          <w:p w14:paraId="3258DA3A" w14:textId="77777777" w:rsidR="002551AE" w:rsidRPr="00621D36" w:rsidRDefault="002551AE" w:rsidP="009046A3">
            <w:pPr>
              <w:pStyle w:val="MDPI42tablebody"/>
              <w:spacing w:line="240" w:lineRule="auto"/>
              <w:rPr>
                <w:lang w:val="en-GB"/>
              </w:rPr>
            </w:pPr>
            <w:r w:rsidRPr="00621D36">
              <w:rPr>
                <w:lang w:val="en-GB"/>
              </w:rPr>
              <w:t xml:space="preserve">Top + bottom </w:t>
            </w:r>
            <w:proofErr w:type="spellStart"/>
            <w:r w:rsidRPr="00621D36">
              <w:rPr>
                <w:lang w:val="en-GB"/>
              </w:rPr>
              <w:t>BiB</w:t>
            </w:r>
            <w:proofErr w:type="spellEnd"/>
          </w:p>
        </w:tc>
      </w:tr>
      <w:tr w:rsidR="002551AE" w:rsidRPr="00621D36" w14:paraId="00C98424" w14:textId="77777777" w:rsidTr="00D25BCE">
        <w:trPr>
          <w:jc w:val="center"/>
        </w:trPr>
        <w:tc>
          <w:tcPr>
            <w:tcW w:w="1418" w:type="dxa"/>
            <w:tcBorders>
              <w:top w:val="nil"/>
              <w:left w:val="nil"/>
              <w:bottom w:val="single" w:sz="8" w:space="0" w:color="auto"/>
              <w:right w:val="nil"/>
            </w:tcBorders>
            <w:vAlign w:val="center"/>
          </w:tcPr>
          <w:p w14:paraId="6B8D244E" w14:textId="77777777" w:rsidR="002551AE" w:rsidRPr="00621D36" w:rsidRDefault="002551AE" w:rsidP="009046A3">
            <w:pPr>
              <w:pStyle w:val="MDPI42tablebody"/>
              <w:spacing w:line="240" w:lineRule="auto"/>
              <w:rPr>
                <w:lang w:val="en-GB"/>
              </w:rPr>
            </w:pPr>
            <w:r w:rsidRPr="00621D36">
              <w:rPr>
                <w:lang w:val="en-GB"/>
              </w:rPr>
              <w:t>Verification</w:t>
            </w:r>
          </w:p>
        </w:tc>
        <w:tc>
          <w:tcPr>
            <w:tcW w:w="1701" w:type="dxa"/>
            <w:tcBorders>
              <w:top w:val="nil"/>
              <w:left w:val="nil"/>
              <w:bottom w:val="single" w:sz="8" w:space="0" w:color="auto"/>
              <w:right w:val="nil"/>
            </w:tcBorders>
            <w:vAlign w:val="center"/>
          </w:tcPr>
          <w:p w14:paraId="20B6B76E" w14:textId="4677AE7D" w:rsidR="002551AE" w:rsidRPr="00621D36" w:rsidRDefault="002551AE" w:rsidP="009046A3">
            <w:pPr>
              <w:adjustRightInd w:val="0"/>
              <w:snapToGrid w:val="0"/>
              <w:spacing w:line="240" w:lineRule="auto"/>
              <w:jc w:val="center"/>
              <w:rPr>
                <w:lang w:val="en-GB"/>
              </w:rPr>
            </w:pPr>
            <w:r w:rsidRPr="00621D36">
              <w:rPr>
                <w:lang w:val="en-GB"/>
              </w:rPr>
              <w:t xml:space="preserve">C50 (50 </w:t>
            </w:r>
            <w:r w:rsidR="00BC02DA" w:rsidRPr="00621D36">
              <w:rPr>
                <w:lang w:val="en-GB"/>
              </w:rPr>
              <w:t>°C</w:t>
            </w:r>
            <w:r w:rsidRPr="00621D36">
              <w:rPr>
                <w:lang w:val="en-GB"/>
              </w:rPr>
              <w:t>)</w:t>
            </w:r>
          </w:p>
        </w:tc>
        <w:tc>
          <w:tcPr>
            <w:tcW w:w="1134" w:type="dxa"/>
            <w:tcBorders>
              <w:top w:val="nil"/>
              <w:left w:val="nil"/>
              <w:bottom w:val="single" w:sz="8" w:space="0" w:color="auto"/>
              <w:right w:val="nil"/>
            </w:tcBorders>
            <w:vAlign w:val="center"/>
          </w:tcPr>
          <w:p w14:paraId="1CA7AA70" w14:textId="77777777" w:rsidR="002551AE" w:rsidRPr="00621D36" w:rsidRDefault="002551AE" w:rsidP="009046A3">
            <w:pPr>
              <w:pStyle w:val="MDPI42tablebody"/>
              <w:spacing w:line="240" w:lineRule="auto"/>
              <w:rPr>
                <w:lang w:val="en-GB"/>
              </w:rPr>
            </w:pPr>
            <w:r w:rsidRPr="00621D36">
              <w:rPr>
                <w:lang w:val="en-GB"/>
              </w:rPr>
              <w:t>15 days</w:t>
            </w:r>
          </w:p>
        </w:tc>
        <w:tc>
          <w:tcPr>
            <w:tcW w:w="1276" w:type="dxa"/>
            <w:tcBorders>
              <w:top w:val="nil"/>
              <w:left w:val="nil"/>
              <w:bottom w:val="single" w:sz="8" w:space="0" w:color="auto"/>
              <w:right w:val="nil"/>
            </w:tcBorders>
            <w:vAlign w:val="center"/>
          </w:tcPr>
          <w:p w14:paraId="67425C5B" w14:textId="77777777" w:rsidR="002551AE" w:rsidRPr="00621D36" w:rsidRDefault="002551AE" w:rsidP="009046A3">
            <w:pPr>
              <w:pStyle w:val="MDPI42tablebody"/>
              <w:spacing w:line="240" w:lineRule="auto"/>
              <w:rPr>
                <w:lang w:val="en-GB"/>
              </w:rPr>
            </w:pPr>
            <w:r w:rsidRPr="00621D36">
              <w:rPr>
                <w:lang w:val="en-GB"/>
              </w:rPr>
              <w:t>Stack 1</w:t>
            </w:r>
          </w:p>
        </w:tc>
        <w:tc>
          <w:tcPr>
            <w:tcW w:w="2409" w:type="dxa"/>
            <w:tcBorders>
              <w:top w:val="nil"/>
              <w:left w:val="nil"/>
              <w:bottom w:val="single" w:sz="8" w:space="0" w:color="auto"/>
              <w:right w:val="nil"/>
            </w:tcBorders>
            <w:vAlign w:val="center"/>
          </w:tcPr>
          <w:p w14:paraId="77DE0ECF" w14:textId="77777777" w:rsidR="002551AE" w:rsidRPr="00621D36" w:rsidRDefault="002551AE" w:rsidP="009046A3">
            <w:pPr>
              <w:pStyle w:val="MDPI42tablebody"/>
              <w:spacing w:line="240" w:lineRule="auto"/>
              <w:rPr>
                <w:lang w:val="en-GB"/>
              </w:rPr>
            </w:pPr>
            <w:r w:rsidRPr="00621D36">
              <w:rPr>
                <w:lang w:val="en-GB"/>
              </w:rPr>
              <w:t>3 (97 cm)</w:t>
            </w:r>
          </w:p>
        </w:tc>
        <w:tc>
          <w:tcPr>
            <w:tcW w:w="2527" w:type="dxa"/>
            <w:tcBorders>
              <w:top w:val="nil"/>
              <w:left w:val="nil"/>
              <w:bottom w:val="single" w:sz="8" w:space="0" w:color="auto"/>
              <w:right w:val="nil"/>
            </w:tcBorders>
            <w:vAlign w:val="center"/>
          </w:tcPr>
          <w:p w14:paraId="1CEB0FCA" w14:textId="77777777" w:rsidR="002551AE" w:rsidRPr="00621D36" w:rsidRDefault="002551AE" w:rsidP="009046A3">
            <w:pPr>
              <w:pStyle w:val="MDPI42tablebody"/>
              <w:spacing w:line="240" w:lineRule="auto"/>
              <w:rPr>
                <w:lang w:val="en-GB"/>
              </w:rPr>
            </w:pPr>
            <w:r w:rsidRPr="00621D36">
              <w:rPr>
                <w:lang w:val="en-GB"/>
              </w:rPr>
              <w:t xml:space="preserve">2 top + 2 bottom </w:t>
            </w:r>
            <w:proofErr w:type="spellStart"/>
            <w:r w:rsidRPr="00621D36">
              <w:rPr>
                <w:lang w:val="en-GB"/>
              </w:rPr>
              <w:t>BiB</w:t>
            </w:r>
            <w:proofErr w:type="spellEnd"/>
          </w:p>
        </w:tc>
      </w:tr>
    </w:tbl>
    <w:p w14:paraId="4DDEFEB1" w14:textId="297C0846" w:rsidR="002551AE" w:rsidRPr="00DB0887" w:rsidRDefault="002551AE" w:rsidP="00DB0887">
      <w:pPr>
        <w:pStyle w:val="MDPI31text"/>
        <w:spacing w:after="240"/>
        <w:ind w:firstLine="0"/>
        <w:rPr>
          <w:sz w:val="18"/>
          <w:szCs w:val="18"/>
          <w:lang w:val="en-GB"/>
        </w:rPr>
      </w:pPr>
      <w:r w:rsidRPr="00DB0887">
        <w:rPr>
          <w:sz w:val="18"/>
          <w:szCs w:val="18"/>
          <w:lang w:val="en-GB"/>
        </w:rPr>
        <w:t xml:space="preserve">Main trial: </w:t>
      </w:r>
      <w:r w:rsidR="00877113" w:rsidRPr="00DB0887">
        <w:rPr>
          <w:sz w:val="18"/>
          <w:szCs w:val="18"/>
          <w:lang w:val="en-GB"/>
        </w:rPr>
        <w:t xml:space="preserve">This used twelve </w:t>
      </w:r>
      <w:r w:rsidRPr="00DB0887">
        <w:rPr>
          <w:sz w:val="18"/>
          <w:szCs w:val="18"/>
          <w:lang w:val="en-GB"/>
        </w:rPr>
        <w:t>MEMS pressure sensors in total</w:t>
      </w:r>
      <w:r w:rsidR="00E30B9E" w:rsidRPr="00DB0887">
        <w:rPr>
          <w:sz w:val="18"/>
          <w:szCs w:val="18"/>
          <w:lang w:val="en-GB"/>
        </w:rPr>
        <w:t>—</w:t>
      </w:r>
      <w:r w:rsidRPr="00DB0887">
        <w:rPr>
          <w:sz w:val="18"/>
          <w:szCs w:val="18"/>
          <w:lang w:val="en-GB"/>
        </w:rPr>
        <w:t xml:space="preserve">one in the top and one in the bottom </w:t>
      </w:r>
      <w:proofErr w:type="spellStart"/>
      <w:r w:rsidRPr="00DB0887">
        <w:rPr>
          <w:sz w:val="18"/>
          <w:szCs w:val="18"/>
          <w:lang w:val="en-GB"/>
        </w:rPr>
        <w:t>BiB</w:t>
      </w:r>
      <w:proofErr w:type="spellEnd"/>
      <w:r w:rsidRPr="00DB0887">
        <w:rPr>
          <w:sz w:val="18"/>
          <w:szCs w:val="18"/>
          <w:lang w:val="en-GB"/>
        </w:rPr>
        <w:t xml:space="preserve"> of each of three stacks in each set-point chamber. C19 and C50 were applied in parallel in separate climate-controlled chambers. * The bottom sensor of one C19 stack did not return a complete record, leaving eleven usable traces for pressure analysis.</w:t>
      </w:r>
    </w:p>
    <w:p w14:paraId="780BFAF3" w14:textId="77777777" w:rsidR="00FD2F49" w:rsidRPr="00621D36" w:rsidRDefault="00FD2F49" w:rsidP="00FD2F49">
      <w:pPr>
        <w:pStyle w:val="MDPI41tablecaption"/>
        <w:jc w:val="both"/>
        <w:rPr>
          <w:rFonts w:cs="Times New Roman"/>
          <w:snapToGrid w:val="0"/>
          <w:szCs w:val="18"/>
          <w:lang w:val="en-GB"/>
        </w:rPr>
      </w:pPr>
      <w:commentRangeStart w:id="9"/>
      <w:r w:rsidRPr="00621D36">
        <w:rPr>
          <w:rFonts w:cs="Times New Roman"/>
          <w:b/>
          <w:bCs/>
          <w:snapToGrid w:val="0"/>
          <w:szCs w:val="18"/>
          <w:highlight w:val="yellow"/>
          <w:lang w:val="en-GB"/>
        </w:rPr>
        <w:lastRenderedPageBreak/>
        <w:t xml:space="preserve">Table </w:t>
      </w:r>
      <w:commentRangeEnd w:id="9"/>
      <w:r w:rsidRPr="00621D36">
        <w:rPr>
          <w:rStyle w:val="CommentReference"/>
          <w:rFonts w:cs="Times New Roman"/>
          <w:b/>
          <w:bCs/>
          <w:snapToGrid w:val="0"/>
          <w:sz w:val="18"/>
          <w:szCs w:val="18"/>
          <w:lang w:val="en-GB"/>
        </w:rPr>
        <w:commentReference w:id="9"/>
      </w:r>
      <w:r w:rsidRPr="00621D36">
        <w:rPr>
          <w:rFonts w:cs="Times New Roman"/>
          <w:b/>
          <w:bCs/>
          <w:snapToGrid w:val="0"/>
          <w:szCs w:val="18"/>
          <w:lang w:val="en-GB"/>
        </w:rPr>
        <w:t>2.</w:t>
      </w:r>
      <w:r w:rsidRPr="00621D36">
        <w:rPr>
          <w:rFonts w:cs="Times New Roman"/>
          <w:b/>
          <w:snapToGrid w:val="0"/>
          <w:szCs w:val="18"/>
          <w:lang w:val="en-GB"/>
        </w:rPr>
        <w:t xml:space="preserve"> </w:t>
      </w:r>
      <w:r w:rsidRPr="00621D36">
        <w:rPr>
          <w:rFonts w:cs="Times New Roman"/>
          <w:snapToGrid w:val="0"/>
          <w:szCs w:val="18"/>
          <w:lang w:val="en-GB"/>
        </w:rPr>
        <w:t>Chemical parameters after 20 days in C19 and C50 set-point chambers. C19 and C50 identify chamber set points, not measured in-bag wine temperatures. Values are mean ± standard deviation (</w:t>
      </w:r>
      <w:r w:rsidRPr="00621D36">
        <w:rPr>
          <w:rFonts w:cs="Times New Roman"/>
          <w:snapToGrid w:val="0"/>
          <w:szCs w:val="18"/>
          <w:highlight w:val="yellow"/>
          <w:lang w:val="en-GB"/>
        </w:rPr>
        <w:t>n</w:t>
      </w:r>
      <w:r w:rsidRPr="00621D36">
        <w:rPr>
          <w:rFonts w:cs="Times New Roman"/>
          <w:snapToGrid w:val="0"/>
          <w:szCs w:val="18"/>
          <w:lang w:val="en-GB"/>
        </w:rPr>
        <w:t xml:space="preserve"> = 3).</w:t>
      </w:r>
    </w:p>
    <w:tbl>
      <w:tblPr>
        <w:tblStyle w:val="TableGrid2"/>
        <w:tblW w:w="10465" w:type="dxa"/>
        <w:jc w:val="center"/>
        <w:tblLayout w:type="fixed"/>
        <w:tblCellMar>
          <w:left w:w="0" w:type="dxa"/>
          <w:right w:w="0" w:type="dxa"/>
        </w:tblCellMar>
        <w:tblLook w:val="04A0" w:firstRow="1" w:lastRow="0" w:firstColumn="1" w:lastColumn="0" w:noHBand="0" w:noVBand="1"/>
      </w:tblPr>
      <w:tblGrid>
        <w:gridCol w:w="993"/>
        <w:gridCol w:w="992"/>
        <w:gridCol w:w="992"/>
        <w:gridCol w:w="851"/>
        <w:gridCol w:w="1218"/>
        <w:gridCol w:w="1050"/>
        <w:gridCol w:w="1134"/>
        <w:gridCol w:w="992"/>
        <w:gridCol w:w="1134"/>
        <w:gridCol w:w="1109"/>
      </w:tblGrid>
      <w:tr w:rsidR="00FD2F49" w:rsidRPr="00621D36" w14:paraId="6169B520" w14:textId="77777777" w:rsidTr="005F2CB2">
        <w:trPr>
          <w:jc w:val="center"/>
        </w:trPr>
        <w:tc>
          <w:tcPr>
            <w:tcW w:w="993" w:type="dxa"/>
            <w:tcBorders>
              <w:top w:val="single" w:sz="8" w:space="0" w:color="auto"/>
              <w:left w:val="nil"/>
              <w:right w:val="nil"/>
            </w:tcBorders>
            <w:vAlign w:val="center"/>
          </w:tcPr>
          <w:p w14:paraId="7EA731C3" w14:textId="77777777" w:rsidR="00FD2F49" w:rsidRPr="00621D36" w:rsidRDefault="00FD2F49" w:rsidP="00881452">
            <w:pPr>
              <w:suppressAutoHyphens w:val="0"/>
              <w:adjustRightInd w:val="0"/>
              <w:snapToGrid w:val="0"/>
              <w:spacing w:line="240" w:lineRule="auto"/>
              <w:jc w:val="center"/>
              <w:rPr>
                <w:b/>
                <w:sz w:val="16"/>
                <w:szCs w:val="16"/>
                <w:highlight w:val="yellow"/>
              </w:rPr>
            </w:pPr>
            <w:commentRangeStart w:id="10"/>
            <w:r w:rsidRPr="00621D36">
              <w:rPr>
                <w:b/>
                <w:sz w:val="16"/>
                <w:szCs w:val="16"/>
                <w:highlight w:val="yellow"/>
              </w:rPr>
              <w:t>Sample</w:t>
            </w:r>
            <w:commentRangeEnd w:id="10"/>
            <w:r w:rsidR="005F2CB2" w:rsidRPr="00621D36">
              <w:rPr>
                <w:rStyle w:val="CommentReference"/>
                <w:b/>
                <w:sz w:val="16"/>
                <w:szCs w:val="16"/>
                <w:highlight w:val="yellow"/>
              </w:rPr>
              <w:commentReference w:id="10"/>
            </w:r>
          </w:p>
        </w:tc>
        <w:tc>
          <w:tcPr>
            <w:tcW w:w="992" w:type="dxa"/>
            <w:tcBorders>
              <w:top w:val="single" w:sz="8" w:space="0" w:color="auto"/>
              <w:left w:val="nil"/>
              <w:right w:val="nil"/>
            </w:tcBorders>
            <w:vAlign w:val="center"/>
          </w:tcPr>
          <w:p w14:paraId="6F2CFED9" w14:textId="74D30DD3" w:rsidR="00FD2F49" w:rsidRPr="00621D36" w:rsidRDefault="00FD2F49" w:rsidP="00881452">
            <w:pPr>
              <w:suppressAutoHyphens w:val="0"/>
              <w:adjustRightInd w:val="0"/>
              <w:snapToGrid w:val="0"/>
              <w:spacing w:line="240" w:lineRule="auto"/>
              <w:jc w:val="center"/>
              <w:rPr>
                <w:b/>
                <w:sz w:val="16"/>
                <w:szCs w:val="16"/>
              </w:rPr>
            </w:pPr>
            <w:r w:rsidRPr="00621D36">
              <w:rPr>
                <w:b/>
                <w:sz w:val="16"/>
                <w:szCs w:val="16"/>
              </w:rPr>
              <w:t>Lacti</w:t>
            </w:r>
            <w:commentRangeStart w:id="11"/>
            <w:r w:rsidRPr="00621D36">
              <w:rPr>
                <w:b/>
                <w:sz w:val="16"/>
                <w:szCs w:val="16"/>
                <w:highlight w:val="yellow"/>
              </w:rPr>
              <w:t>c</w:t>
            </w:r>
            <w:r w:rsidR="00C3788C" w:rsidRPr="00621D36">
              <w:rPr>
                <w:b/>
                <w:sz w:val="16"/>
                <w:szCs w:val="16"/>
                <w:highlight w:val="yellow"/>
              </w:rPr>
              <w:t xml:space="preserve"> </w:t>
            </w:r>
            <w:r w:rsidRPr="00621D36">
              <w:rPr>
                <w:b/>
                <w:sz w:val="16"/>
                <w:szCs w:val="16"/>
                <w:highlight w:val="yellow"/>
              </w:rPr>
              <w:t>A</w:t>
            </w:r>
            <w:commentRangeEnd w:id="11"/>
            <w:r w:rsidR="005F2CB2" w:rsidRPr="00621D36">
              <w:rPr>
                <w:rStyle w:val="CommentReference"/>
                <w:b/>
                <w:sz w:val="16"/>
                <w:szCs w:val="16"/>
              </w:rPr>
              <w:commentReference w:id="11"/>
            </w:r>
            <w:r w:rsidRPr="00621D36">
              <w:rPr>
                <w:b/>
                <w:sz w:val="16"/>
                <w:szCs w:val="16"/>
              </w:rPr>
              <w:t>cid (g/L)</w:t>
            </w:r>
          </w:p>
        </w:tc>
        <w:tc>
          <w:tcPr>
            <w:tcW w:w="992" w:type="dxa"/>
            <w:tcBorders>
              <w:top w:val="single" w:sz="8" w:space="0" w:color="auto"/>
              <w:left w:val="nil"/>
              <w:right w:val="nil"/>
            </w:tcBorders>
            <w:vAlign w:val="center"/>
          </w:tcPr>
          <w:p w14:paraId="2C39B229" w14:textId="5FC63B3B" w:rsidR="00FD2F49" w:rsidRPr="00621D36" w:rsidRDefault="00FD2F49" w:rsidP="00881452">
            <w:pPr>
              <w:suppressAutoHyphens w:val="0"/>
              <w:adjustRightInd w:val="0"/>
              <w:snapToGrid w:val="0"/>
              <w:spacing w:line="240" w:lineRule="auto"/>
              <w:jc w:val="center"/>
              <w:rPr>
                <w:b/>
                <w:sz w:val="16"/>
                <w:szCs w:val="16"/>
              </w:rPr>
            </w:pPr>
            <w:r w:rsidRPr="00621D36">
              <w:rPr>
                <w:b/>
                <w:sz w:val="16"/>
                <w:szCs w:val="16"/>
              </w:rPr>
              <w:t>Mali</w:t>
            </w:r>
            <w:r w:rsidRPr="00621D36">
              <w:rPr>
                <w:b/>
                <w:sz w:val="16"/>
                <w:szCs w:val="16"/>
                <w:highlight w:val="yellow"/>
              </w:rPr>
              <w:t>c</w:t>
            </w:r>
            <w:r w:rsidR="00C3788C" w:rsidRPr="00621D36">
              <w:rPr>
                <w:b/>
                <w:sz w:val="16"/>
                <w:szCs w:val="16"/>
                <w:highlight w:val="yellow"/>
              </w:rPr>
              <w:t xml:space="preserve"> </w:t>
            </w:r>
            <w:r w:rsidRPr="00621D36">
              <w:rPr>
                <w:b/>
                <w:sz w:val="16"/>
                <w:szCs w:val="16"/>
                <w:highlight w:val="yellow"/>
              </w:rPr>
              <w:t>A</w:t>
            </w:r>
            <w:r w:rsidRPr="00621D36">
              <w:rPr>
                <w:b/>
                <w:sz w:val="16"/>
                <w:szCs w:val="16"/>
              </w:rPr>
              <w:t>cid (g/L)</w:t>
            </w:r>
          </w:p>
        </w:tc>
        <w:tc>
          <w:tcPr>
            <w:tcW w:w="851" w:type="dxa"/>
            <w:tcBorders>
              <w:top w:val="single" w:sz="8" w:space="0" w:color="auto"/>
              <w:left w:val="nil"/>
              <w:right w:val="nil"/>
            </w:tcBorders>
            <w:vAlign w:val="center"/>
          </w:tcPr>
          <w:p w14:paraId="3C7494F4" w14:textId="77777777" w:rsidR="00FD2F49" w:rsidRPr="00621D36" w:rsidRDefault="00FD2F49" w:rsidP="00881452">
            <w:pPr>
              <w:suppressAutoHyphens w:val="0"/>
              <w:adjustRightInd w:val="0"/>
              <w:snapToGrid w:val="0"/>
              <w:spacing w:line="240" w:lineRule="auto"/>
              <w:jc w:val="center"/>
              <w:rPr>
                <w:b/>
                <w:sz w:val="16"/>
                <w:szCs w:val="16"/>
              </w:rPr>
            </w:pPr>
            <w:r w:rsidRPr="00621D36">
              <w:rPr>
                <w:b/>
                <w:sz w:val="16"/>
                <w:szCs w:val="16"/>
              </w:rPr>
              <w:t>pH</w:t>
            </w:r>
          </w:p>
        </w:tc>
        <w:tc>
          <w:tcPr>
            <w:tcW w:w="1218" w:type="dxa"/>
            <w:tcBorders>
              <w:top w:val="single" w:sz="8" w:space="0" w:color="auto"/>
              <w:left w:val="nil"/>
              <w:right w:val="nil"/>
            </w:tcBorders>
            <w:vAlign w:val="center"/>
          </w:tcPr>
          <w:p w14:paraId="5F83281C" w14:textId="3C040466" w:rsidR="00FD2F49" w:rsidRPr="00621D36" w:rsidRDefault="00FD2F49" w:rsidP="00881452">
            <w:pPr>
              <w:suppressAutoHyphens w:val="0"/>
              <w:adjustRightInd w:val="0"/>
              <w:snapToGrid w:val="0"/>
              <w:spacing w:line="240" w:lineRule="auto"/>
              <w:jc w:val="center"/>
              <w:rPr>
                <w:b/>
                <w:sz w:val="16"/>
                <w:szCs w:val="16"/>
              </w:rPr>
            </w:pPr>
            <w:r w:rsidRPr="00621D36">
              <w:rPr>
                <w:b/>
                <w:sz w:val="16"/>
                <w:szCs w:val="16"/>
              </w:rPr>
              <w:t xml:space="preserve">Titratable </w:t>
            </w:r>
            <w:r w:rsidR="006A4809" w:rsidRPr="00621D36">
              <w:rPr>
                <w:b/>
                <w:sz w:val="16"/>
                <w:szCs w:val="16"/>
              </w:rPr>
              <w:t xml:space="preserve">Acidity </w:t>
            </w:r>
            <w:r w:rsidRPr="00621D36">
              <w:rPr>
                <w:b/>
                <w:sz w:val="16"/>
                <w:szCs w:val="16"/>
              </w:rPr>
              <w:t xml:space="preserve">(g/L of </w:t>
            </w:r>
            <w:r w:rsidR="006A4809" w:rsidRPr="00621D36">
              <w:rPr>
                <w:b/>
                <w:sz w:val="16"/>
                <w:szCs w:val="16"/>
              </w:rPr>
              <w:t>Tartaric Acid</w:t>
            </w:r>
            <w:r w:rsidRPr="00621D36">
              <w:rPr>
                <w:b/>
                <w:sz w:val="16"/>
                <w:szCs w:val="16"/>
              </w:rPr>
              <w:t>)</w:t>
            </w:r>
          </w:p>
        </w:tc>
        <w:tc>
          <w:tcPr>
            <w:tcW w:w="1050" w:type="dxa"/>
            <w:tcBorders>
              <w:top w:val="single" w:sz="8" w:space="0" w:color="auto"/>
              <w:left w:val="nil"/>
              <w:right w:val="nil"/>
            </w:tcBorders>
            <w:vAlign w:val="center"/>
          </w:tcPr>
          <w:p w14:paraId="45A6A159" w14:textId="0C12E797" w:rsidR="00FD2F49" w:rsidRPr="00621D36" w:rsidRDefault="00FD2F49" w:rsidP="00881452">
            <w:pPr>
              <w:suppressAutoHyphens w:val="0"/>
              <w:adjustRightInd w:val="0"/>
              <w:snapToGrid w:val="0"/>
              <w:spacing w:line="240" w:lineRule="auto"/>
              <w:jc w:val="center"/>
              <w:rPr>
                <w:b/>
                <w:sz w:val="16"/>
                <w:szCs w:val="16"/>
              </w:rPr>
            </w:pPr>
            <w:r w:rsidRPr="00621D36">
              <w:rPr>
                <w:b/>
                <w:sz w:val="16"/>
                <w:szCs w:val="16"/>
              </w:rPr>
              <w:t xml:space="preserve">Volatile </w:t>
            </w:r>
            <w:r w:rsidR="006A4809" w:rsidRPr="00621D36">
              <w:rPr>
                <w:b/>
                <w:sz w:val="16"/>
                <w:szCs w:val="16"/>
              </w:rPr>
              <w:t xml:space="preserve">Acidity </w:t>
            </w:r>
            <w:r w:rsidRPr="00621D36">
              <w:rPr>
                <w:b/>
                <w:sz w:val="16"/>
                <w:szCs w:val="16"/>
              </w:rPr>
              <w:t xml:space="preserve">(g/L of </w:t>
            </w:r>
            <w:r w:rsidR="006A4809" w:rsidRPr="00621D36">
              <w:rPr>
                <w:b/>
                <w:sz w:val="16"/>
                <w:szCs w:val="16"/>
              </w:rPr>
              <w:t>Acetic Acid</w:t>
            </w:r>
            <w:r w:rsidRPr="00621D36">
              <w:rPr>
                <w:b/>
                <w:sz w:val="16"/>
                <w:szCs w:val="16"/>
              </w:rPr>
              <w:t>)</w:t>
            </w:r>
          </w:p>
        </w:tc>
        <w:tc>
          <w:tcPr>
            <w:tcW w:w="1134" w:type="dxa"/>
            <w:tcBorders>
              <w:top w:val="single" w:sz="8" w:space="0" w:color="auto"/>
              <w:left w:val="nil"/>
              <w:right w:val="nil"/>
            </w:tcBorders>
            <w:vAlign w:val="center"/>
          </w:tcPr>
          <w:p w14:paraId="2488B1BE" w14:textId="2D65F1D9" w:rsidR="00FD2F49" w:rsidRPr="00621D36" w:rsidRDefault="00FD2F49" w:rsidP="00881452">
            <w:pPr>
              <w:suppressAutoHyphens w:val="0"/>
              <w:adjustRightInd w:val="0"/>
              <w:snapToGrid w:val="0"/>
              <w:spacing w:line="240" w:lineRule="auto"/>
              <w:jc w:val="center"/>
              <w:rPr>
                <w:b/>
                <w:sz w:val="16"/>
                <w:szCs w:val="16"/>
              </w:rPr>
            </w:pPr>
            <w:r w:rsidRPr="00621D36">
              <w:rPr>
                <w:b/>
                <w:sz w:val="16"/>
                <w:szCs w:val="16"/>
              </w:rPr>
              <w:t xml:space="preserve">Total </w:t>
            </w:r>
            <w:r w:rsidR="006A4809" w:rsidRPr="00621D36">
              <w:rPr>
                <w:b/>
                <w:sz w:val="16"/>
                <w:szCs w:val="16"/>
              </w:rPr>
              <w:t xml:space="preserve">Phenols </w:t>
            </w:r>
            <w:r w:rsidRPr="00621D36">
              <w:rPr>
                <w:b/>
                <w:sz w:val="16"/>
                <w:szCs w:val="16"/>
              </w:rPr>
              <w:t xml:space="preserve">(g/L of </w:t>
            </w:r>
            <w:r w:rsidR="006A4809" w:rsidRPr="00621D36">
              <w:rPr>
                <w:b/>
                <w:sz w:val="16"/>
                <w:szCs w:val="16"/>
              </w:rPr>
              <w:t>Catechins</w:t>
            </w:r>
            <w:r w:rsidRPr="00621D36">
              <w:rPr>
                <w:b/>
                <w:sz w:val="16"/>
                <w:szCs w:val="16"/>
              </w:rPr>
              <w:t>)</w:t>
            </w:r>
          </w:p>
        </w:tc>
        <w:tc>
          <w:tcPr>
            <w:tcW w:w="992" w:type="dxa"/>
            <w:tcBorders>
              <w:top w:val="single" w:sz="8" w:space="0" w:color="auto"/>
              <w:left w:val="nil"/>
              <w:right w:val="nil"/>
            </w:tcBorders>
            <w:vAlign w:val="center"/>
          </w:tcPr>
          <w:p w14:paraId="2B179AC5" w14:textId="6A7C3A76" w:rsidR="00FD2F49" w:rsidRPr="00621D36" w:rsidRDefault="00FD2F49" w:rsidP="00881452">
            <w:pPr>
              <w:suppressAutoHyphens w:val="0"/>
              <w:adjustRightInd w:val="0"/>
              <w:snapToGrid w:val="0"/>
              <w:spacing w:line="240" w:lineRule="auto"/>
              <w:jc w:val="center"/>
              <w:rPr>
                <w:b/>
                <w:sz w:val="16"/>
                <w:szCs w:val="16"/>
              </w:rPr>
            </w:pPr>
            <w:r w:rsidRPr="00621D36">
              <w:rPr>
                <w:b/>
                <w:sz w:val="16"/>
                <w:szCs w:val="16"/>
              </w:rPr>
              <w:t xml:space="preserve">Ethanol </w:t>
            </w:r>
            <w:r w:rsidR="006A4809" w:rsidRPr="00621D36">
              <w:rPr>
                <w:b/>
                <w:sz w:val="16"/>
                <w:szCs w:val="16"/>
              </w:rPr>
              <w:t xml:space="preserve">Content </w:t>
            </w:r>
            <w:r w:rsidRPr="00621D36">
              <w:rPr>
                <w:b/>
                <w:sz w:val="16"/>
                <w:szCs w:val="16"/>
              </w:rPr>
              <w:t>(%</w:t>
            </w:r>
            <w:r w:rsidRPr="00621D36">
              <w:rPr>
                <w:b/>
                <w:i/>
                <w:iCs/>
                <w:sz w:val="16"/>
                <w:szCs w:val="16"/>
              </w:rPr>
              <w:t>v</w:t>
            </w:r>
            <w:r w:rsidRPr="00621D36">
              <w:rPr>
                <w:b/>
                <w:sz w:val="16"/>
                <w:szCs w:val="16"/>
              </w:rPr>
              <w:t>/</w:t>
            </w:r>
            <w:r w:rsidRPr="00621D36">
              <w:rPr>
                <w:b/>
                <w:i/>
                <w:iCs/>
                <w:sz w:val="16"/>
                <w:szCs w:val="16"/>
              </w:rPr>
              <w:t>v</w:t>
            </w:r>
            <w:r w:rsidRPr="00621D36">
              <w:rPr>
                <w:b/>
                <w:sz w:val="16"/>
                <w:szCs w:val="16"/>
              </w:rPr>
              <w:t>)</w:t>
            </w:r>
          </w:p>
        </w:tc>
        <w:tc>
          <w:tcPr>
            <w:tcW w:w="1134" w:type="dxa"/>
            <w:tcBorders>
              <w:top w:val="single" w:sz="8" w:space="0" w:color="auto"/>
              <w:left w:val="nil"/>
              <w:right w:val="nil"/>
            </w:tcBorders>
            <w:vAlign w:val="center"/>
          </w:tcPr>
          <w:p w14:paraId="43993BC0" w14:textId="1799AE9B" w:rsidR="00FD2F49" w:rsidRPr="00621D36" w:rsidRDefault="00FD2F49" w:rsidP="00881452">
            <w:pPr>
              <w:suppressAutoHyphens w:val="0"/>
              <w:adjustRightInd w:val="0"/>
              <w:snapToGrid w:val="0"/>
              <w:spacing w:line="240" w:lineRule="auto"/>
              <w:jc w:val="center"/>
              <w:rPr>
                <w:b/>
                <w:sz w:val="16"/>
                <w:szCs w:val="16"/>
              </w:rPr>
            </w:pPr>
            <w:r w:rsidRPr="00621D36">
              <w:rPr>
                <w:b/>
                <w:sz w:val="16"/>
                <w:szCs w:val="16"/>
              </w:rPr>
              <w:t xml:space="preserve">Total Sulphur dioxide </w:t>
            </w:r>
            <w:r w:rsidR="006A4809" w:rsidRPr="00621D36">
              <w:rPr>
                <w:b/>
                <w:sz w:val="16"/>
                <w:szCs w:val="16"/>
              </w:rPr>
              <w:t>Content</w:t>
            </w:r>
            <w:r w:rsidRPr="00621D36">
              <w:rPr>
                <w:b/>
                <w:sz w:val="16"/>
                <w:szCs w:val="16"/>
              </w:rPr>
              <w:br/>
              <w:t>(mg/L)</w:t>
            </w:r>
          </w:p>
        </w:tc>
        <w:tc>
          <w:tcPr>
            <w:tcW w:w="1109" w:type="dxa"/>
            <w:tcBorders>
              <w:top w:val="single" w:sz="8" w:space="0" w:color="auto"/>
              <w:left w:val="nil"/>
              <w:right w:val="nil"/>
            </w:tcBorders>
            <w:vAlign w:val="center"/>
          </w:tcPr>
          <w:p w14:paraId="689619D3" w14:textId="44A00E61" w:rsidR="00FD2F49" w:rsidRPr="00621D36" w:rsidRDefault="00FD2F49" w:rsidP="00881452">
            <w:pPr>
              <w:suppressAutoHyphens w:val="0"/>
              <w:adjustRightInd w:val="0"/>
              <w:snapToGrid w:val="0"/>
              <w:spacing w:line="240" w:lineRule="auto"/>
              <w:jc w:val="center"/>
              <w:rPr>
                <w:b/>
                <w:sz w:val="16"/>
                <w:szCs w:val="16"/>
              </w:rPr>
            </w:pPr>
            <w:r w:rsidRPr="00621D36">
              <w:rPr>
                <w:b/>
                <w:sz w:val="16"/>
                <w:szCs w:val="16"/>
              </w:rPr>
              <w:t xml:space="preserve">Free Sulphur </w:t>
            </w:r>
            <w:r w:rsidR="006A4809" w:rsidRPr="00621D36">
              <w:rPr>
                <w:b/>
                <w:sz w:val="16"/>
                <w:szCs w:val="16"/>
              </w:rPr>
              <w:t>Dioxide Content</w:t>
            </w:r>
            <w:r w:rsidRPr="00621D36">
              <w:rPr>
                <w:b/>
                <w:sz w:val="16"/>
                <w:szCs w:val="16"/>
              </w:rPr>
              <w:br/>
              <w:t>(mg/L)</w:t>
            </w:r>
          </w:p>
        </w:tc>
      </w:tr>
      <w:tr w:rsidR="00FD2F49" w:rsidRPr="00621D36" w14:paraId="4BDA0965" w14:textId="77777777" w:rsidTr="005F2CB2">
        <w:trPr>
          <w:jc w:val="center"/>
        </w:trPr>
        <w:tc>
          <w:tcPr>
            <w:tcW w:w="993" w:type="dxa"/>
            <w:tcBorders>
              <w:left w:val="nil"/>
              <w:bottom w:val="nil"/>
              <w:right w:val="nil"/>
            </w:tcBorders>
            <w:vAlign w:val="center"/>
          </w:tcPr>
          <w:p w14:paraId="2F568809"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C19 chamber set point</w:t>
            </w:r>
          </w:p>
        </w:tc>
        <w:tc>
          <w:tcPr>
            <w:tcW w:w="992" w:type="dxa"/>
            <w:tcBorders>
              <w:left w:val="nil"/>
              <w:bottom w:val="nil"/>
              <w:right w:val="nil"/>
            </w:tcBorders>
            <w:vAlign w:val="center"/>
          </w:tcPr>
          <w:p w14:paraId="25AD7AF7"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0.16 ± 0.05 </w:t>
            </w:r>
            <w:r w:rsidRPr="00621D36">
              <w:rPr>
                <w:sz w:val="16"/>
                <w:szCs w:val="16"/>
                <w:vertAlign w:val="superscript"/>
              </w:rPr>
              <w:t>B</w:t>
            </w:r>
          </w:p>
        </w:tc>
        <w:tc>
          <w:tcPr>
            <w:tcW w:w="992" w:type="dxa"/>
            <w:tcBorders>
              <w:left w:val="nil"/>
              <w:bottom w:val="nil"/>
              <w:right w:val="nil"/>
            </w:tcBorders>
            <w:vAlign w:val="center"/>
          </w:tcPr>
          <w:p w14:paraId="0B532A54"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1.1 ± 0.23 </w:t>
            </w:r>
            <w:r w:rsidRPr="00621D36">
              <w:rPr>
                <w:sz w:val="16"/>
                <w:szCs w:val="16"/>
                <w:vertAlign w:val="superscript"/>
              </w:rPr>
              <w:t>A</w:t>
            </w:r>
          </w:p>
        </w:tc>
        <w:tc>
          <w:tcPr>
            <w:tcW w:w="851" w:type="dxa"/>
            <w:tcBorders>
              <w:left w:val="nil"/>
              <w:bottom w:val="nil"/>
              <w:right w:val="nil"/>
            </w:tcBorders>
            <w:vAlign w:val="center"/>
          </w:tcPr>
          <w:p w14:paraId="108B8EC4"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3.4 ± 0.1 </w:t>
            </w:r>
            <w:r w:rsidRPr="00621D36">
              <w:rPr>
                <w:sz w:val="16"/>
                <w:szCs w:val="16"/>
                <w:vertAlign w:val="superscript"/>
              </w:rPr>
              <w:t>A</w:t>
            </w:r>
          </w:p>
        </w:tc>
        <w:tc>
          <w:tcPr>
            <w:tcW w:w="1218" w:type="dxa"/>
            <w:tcBorders>
              <w:left w:val="nil"/>
              <w:bottom w:val="nil"/>
              <w:right w:val="nil"/>
            </w:tcBorders>
            <w:vAlign w:val="center"/>
          </w:tcPr>
          <w:p w14:paraId="54F0BC29"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6.6 ± 0.04 </w:t>
            </w:r>
            <w:r w:rsidRPr="00621D36">
              <w:rPr>
                <w:sz w:val="16"/>
                <w:szCs w:val="16"/>
                <w:vertAlign w:val="superscript"/>
              </w:rPr>
              <w:t>A</w:t>
            </w:r>
          </w:p>
        </w:tc>
        <w:tc>
          <w:tcPr>
            <w:tcW w:w="1050" w:type="dxa"/>
            <w:tcBorders>
              <w:left w:val="nil"/>
              <w:bottom w:val="nil"/>
              <w:right w:val="nil"/>
            </w:tcBorders>
            <w:vAlign w:val="center"/>
          </w:tcPr>
          <w:p w14:paraId="326F4B42"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0.30 ± 0.02 </w:t>
            </w:r>
            <w:r w:rsidRPr="00621D36">
              <w:rPr>
                <w:sz w:val="16"/>
                <w:szCs w:val="16"/>
                <w:vertAlign w:val="superscript"/>
              </w:rPr>
              <w:t>B</w:t>
            </w:r>
          </w:p>
        </w:tc>
        <w:tc>
          <w:tcPr>
            <w:tcW w:w="1134" w:type="dxa"/>
            <w:tcBorders>
              <w:left w:val="nil"/>
              <w:bottom w:val="nil"/>
              <w:right w:val="nil"/>
            </w:tcBorders>
            <w:vAlign w:val="center"/>
          </w:tcPr>
          <w:p w14:paraId="72A6FF10"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1.02 ± 0.12 </w:t>
            </w:r>
            <w:r w:rsidRPr="00621D36">
              <w:rPr>
                <w:sz w:val="16"/>
                <w:szCs w:val="16"/>
                <w:vertAlign w:val="superscript"/>
              </w:rPr>
              <w:t>A</w:t>
            </w:r>
          </w:p>
        </w:tc>
        <w:tc>
          <w:tcPr>
            <w:tcW w:w="992" w:type="dxa"/>
            <w:tcBorders>
              <w:left w:val="nil"/>
              <w:bottom w:val="nil"/>
              <w:right w:val="nil"/>
            </w:tcBorders>
            <w:vAlign w:val="center"/>
          </w:tcPr>
          <w:p w14:paraId="0B93EBB9"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11.6 ± 0.6 </w:t>
            </w:r>
            <w:r w:rsidRPr="00621D36">
              <w:rPr>
                <w:sz w:val="16"/>
                <w:szCs w:val="16"/>
                <w:vertAlign w:val="superscript"/>
              </w:rPr>
              <w:t>A</w:t>
            </w:r>
          </w:p>
        </w:tc>
        <w:tc>
          <w:tcPr>
            <w:tcW w:w="1134" w:type="dxa"/>
            <w:tcBorders>
              <w:left w:val="nil"/>
              <w:bottom w:val="nil"/>
              <w:right w:val="nil"/>
            </w:tcBorders>
            <w:vAlign w:val="center"/>
          </w:tcPr>
          <w:p w14:paraId="44C6C2B1"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50 ± 5.5 </w:t>
            </w:r>
            <w:r w:rsidRPr="00621D36">
              <w:rPr>
                <w:sz w:val="16"/>
                <w:szCs w:val="16"/>
                <w:vertAlign w:val="superscript"/>
              </w:rPr>
              <w:t>A</w:t>
            </w:r>
          </w:p>
        </w:tc>
        <w:tc>
          <w:tcPr>
            <w:tcW w:w="1109" w:type="dxa"/>
            <w:tcBorders>
              <w:left w:val="nil"/>
              <w:bottom w:val="nil"/>
              <w:right w:val="nil"/>
            </w:tcBorders>
            <w:vAlign w:val="center"/>
          </w:tcPr>
          <w:p w14:paraId="1827D9C5"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31 ± 2.5 </w:t>
            </w:r>
            <w:r w:rsidRPr="00621D36">
              <w:rPr>
                <w:sz w:val="16"/>
                <w:szCs w:val="16"/>
                <w:vertAlign w:val="superscript"/>
              </w:rPr>
              <w:t>A</w:t>
            </w:r>
          </w:p>
        </w:tc>
      </w:tr>
      <w:tr w:rsidR="00FD2F49" w:rsidRPr="00621D36" w14:paraId="24703857" w14:textId="77777777" w:rsidTr="005F2CB2">
        <w:trPr>
          <w:jc w:val="center"/>
        </w:trPr>
        <w:tc>
          <w:tcPr>
            <w:tcW w:w="993" w:type="dxa"/>
            <w:tcBorders>
              <w:top w:val="nil"/>
              <w:left w:val="nil"/>
              <w:bottom w:val="single" w:sz="8" w:space="0" w:color="auto"/>
              <w:right w:val="nil"/>
            </w:tcBorders>
            <w:vAlign w:val="center"/>
          </w:tcPr>
          <w:p w14:paraId="06A755B1"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C50 chamber set point</w:t>
            </w:r>
          </w:p>
        </w:tc>
        <w:tc>
          <w:tcPr>
            <w:tcW w:w="992" w:type="dxa"/>
            <w:tcBorders>
              <w:top w:val="nil"/>
              <w:left w:val="nil"/>
              <w:bottom w:val="single" w:sz="8" w:space="0" w:color="auto"/>
              <w:right w:val="nil"/>
            </w:tcBorders>
            <w:vAlign w:val="center"/>
          </w:tcPr>
          <w:p w14:paraId="5C8F0D4A"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0.29 ± 0.02 </w:t>
            </w:r>
            <w:r w:rsidRPr="00621D36">
              <w:rPr>
                <w:sz w:val="16"/>
                <w:szCs w:val="16"/>
                <w:vertAlign w:val="superscript"/>
              </w:rPr>
              <w:t>A</w:t>
            </w:r>
          </w:p>
        </w:tc>
        <w:tc>
          <w:tcPr>
            <w:tcW w:w="992" w:type="dxa"/>
            <w:tcBorders>
              <w:top w:val="nil"/>
              <w:left w:val="nil"/>
              <w:bottom w:val="single" w:sz="8" w:space="0" w:color="auto"/>
              <w:right w:val="nil"/>
            </w:tcBorders>
            <w:vAlign w:val="center"/>
          </w:tcPr>
          <w:p w14:paraId="76FDAD3E"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1.0 ± 0.16 </w:t>
            </w:r>
            <w:r w:rsidRPr="00621D36">
              <w:rPr>
                <w:sz w:val="16"/>
                <w:szCs w:val="16"/>
                <w:vertAlign w:val="superscript"/>
              </w:rPr>
              <w:t>A</w:t>
            </w:r>
          </w:p>
        </w:tc>
        <w:tc>
          <w:tcPr>
            <w:tcW w:w="851" w:type="dxa"/>
            <w:tcBorders>
              <w:top w:val="nil"/>
              <w:left w:val="nil"/>
              <w:bottom w:val="single" w:sz="8" w:space="0" w:color="auto"/>
              <w:right w:val="nil"/>
            </w:tcBorders>
            <w:vAlign w:val="center"/>
          </w:tcPr>
          <w:p w14:paraId="7CEC09CC"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3.4 ± 0.1 </w:t>
            </w:r>
            <w:r w:rsidRPr="00621D36">
              <w:rPr>
                <w:sz w:val="16"/>
                <w:szCs w:val="16"/>
                <w:vertAlign w:val="superscript"/>
              </w:rPr>
              <w:t>A</w:t>
            </w:r>
          </w:p>
        </w:tc>
        <w:tc>
          <w:tcPr>
            <w:tcW w:w="1218" w:type="dxa"/>
            <w:tcBorders>
              <w:top w:val="nil"/>
              <w:left w:val="nil"/>
              <w:bottom w:val="single" w:sz="8" w:space="0" w:color="auto"/>
              <w:right w:val="nil"/>
            </w:tcBorders>
            <w:vAlign w:val="center"/>
          </w:tcPr>
          <w:p w14:paraId="0640D511"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6.6 ± 0.13 </w:t>
            </w:r>
            <w:r w:rsidRPr="00621D36">
              <w:rPr>
                <w:sz w:val="16"/>
                <w:szCs w:val="16"/>
                <w:vertAlign w:val="superscript"/>
              </w:rPr>
              <w:t>A</w:t>
            </w:r>
          </w:p>
        </w:tc>
        <w:tc>
          <w:tcPr>
            <w:tcW w:w="1050" w:type="dxa"/>
            <w:tcBorders>
              <w:top w:val="nil"/>
              <w:left w:val="nil"/>
              <w:bottom w:val="single" w:sz="8" w:space="0" w:color="auto"/>
              <w:right w:val="nil"/>
            </w:tcBorders>
            <w:vAlign w:val="center"/>
          </w:tcPr>
          <w:p w14:paraId="003AADB1"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0.39 ± 0.03 </w:t>
            </w:r>
            <w:r w:rsidRPr="00621D36">
              <w:rPr>
                <w:sz w:val="16"/>
                <w:szCs w:val="16"/>
                <w:vertAlign w:val="superscript"/>
              </w:rPr>
              <w:t>A</w:t>
            </w:r>
          </w:p>
        </w:tc>
        <w:tc>
          <w:tcPr>
            <w:tcW w:w="1134" w:type="dxa"/>
            <w:tcBorders>
              <w:top w:val="nil"/>
              <w:left w:val="nil"/>
              <w:bottom w:val="single" w:sz="8" w:space="0" w:color="auto"/>
              <w:right w:val="nil"/>
            </w:tcBorders>
            <w:vAlign w:val="center"/>
          </w:tcPr>
          <w:p w14:paraId="662621D6"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1.10 ± 0.07 </w:t>
            </w:r>
            <w:r w:rsidRPr="00621D36">
              <w:rPr>
                <w:sz w:val="16"/>
                <w:szCs w:val="16"/>
                <w:vertAlign w:val="superscript"/>
              </w:rPr>
              <w:t>A</w:t>
            </w:r>
          </w:p>
        </w:tc>
        <w:tc>
          <w:tcPr>
            <w:tcW w:w="992" w:type="dxa"/>
            <w:tcBorders>
              <w:top w:val="nil"/>
              <w:left w:val="nil"/>
              <w:bottom w:val="single" w:sz="8" w:space="0" w:color="auto"/>
              <w:right w:val="nil"/>
            </w:tcBorders>
            <w:vAlign w:val="center"/>
          </w:tcPr>
          <w:p w14:paraId="5FECF3F8"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11.6 ± 0.9 </w:t>
            </w:r>
            <w:r w:rsidRPr="00621D36">
              <w:rPr>
                <w:sz w:val="16"/>
                <w:szCs w:val="16"/>
                <w:vertAlign w:val="superscript"/>
              </w:rPr>
              <w:t>A</w:t>
            </w:r>
          </w:p>
        </w:tc>
        <w:tc>
          <w:tcPr>
            <w:tcW w:w="1134" w:type="dxa"/>
            <w:tcBorders>
              <w:top w:val="nil"/>
              <w:left w:val="nil"/>
              <w:bottom w:val="single" w:sz="8" w:space="0" w:color="auto"/>
              <w:right w:val="nil"/>
            </w:tcBorders>
            <w:vAlign w:val="center"/>
          </w:tcPr>
          <w:p w14:paraId="20586888"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25 ± 8.2 </w:t>
            </w:r>
            <w:r w:rsidRPr="00621D36">
              <w:rPr>
                <w:sz w:val="16"/>
                <w:szCs w:val="16"/>
                <w:vertAlign w:val="superscript"/>
              </w:rPr>
              <w:t>B</w:t>
            </w:r>
          </w:p>
        </w:tc>
        <w:tc>
          <w:tcPr>
            <w:tcW w:w="1109" w:type="dxa"/>
            <w:tcBorders>
              <w:top w:val="nil"/>
              <w:left w:val="nil"/>
              <w:bottom w:val="single" w:sz="8" w:space="0" w:color="auto"/>
              <w:right w:val="nil"/>
            </w:tcBorders>
            <w:vAlign w:val="center"/>
          </w:tcPr>
          <w:p w14:paraId="7AAEF169" w14:textId="77777777" w:rsidR="00FD2F49" w:rsidRPr="00621D36" w:rsidRDefault="00FD2F49" w:rsidP="00881452">
            <w:pPr>
              <w:suppressAutoHyphens w:val="0"/>
              <w:adjustRightInd w:val="0"/>
              <w:snapToGrid w:val="0"/>
              <w:spacing w:line="240" w:lineRule="auto"/>
              <w:jc w:val="center"/>
              <w:rPr>
                <w:sz w:val="16"/>
                <w:szCs w:val="16"/>
              </w:rPr>
            </w:pPr>
            <w:r w:rsidRPr="00621D36">
              <w:rPr>
                <w:sz w:val="16"/>
                <w:szCs w:val="16"/>
              </w:rPr>
              <w:t xml:space="preserve">16 ± 1.8 </w:t>
            </w:r>
            <w:r w:rsidRPr="00621D36">
              <w:rPr>
                <w:sz w:val="16"/>
                <w:szCs w:val="16"/>
                <w:vertAlign w:val="superscript"/>
              </w:rPr>
              <w:t>B</w:t>
            </w:r>
          </w:p>
        </w:tc>
      </w:tr>
    </w:tbl>
    <w:p w14:paraId="002E2A5D" w14:textId="77777777" w:rsidR="00FD2F49" w:rsidRPr="00621D36" w:rsidRDefault="00FD2F49" w:rsidP="00FD2F49">
      <w:pPr>
        <w:pStyle w:val="MDPI22heading2"/>
        <w:spacing w:before="0" w:after="240"/>
        <w:jc w:val="both"/>
        <w:outlineLvl w:val="9"/>
        <w:rPr>
          <w:i w:val="0"/>
          <w:iCs/>
          <w:sz w:val="18"/>
          <w:szCs w:val="18"/>
          <w:lang w:val="en-GB"/>
        </w:rPr>
      </w:pPr>
      <w:commentRangeStart w:id="12"/>
      <w:r w:rsidRPr="00621D36">
        <w:rPr>
          <w:i w:val="0"/>
          <w:iCs/>
          <w:sz w:val="18"/>
          <w:szCs w:val="18"/>
          <w:highlight w:val="yellow"/>
          <w:lang w:val="en-GB" w:eastAsia="en-US"/>
        </w:rPr>
        <w:t xml:space="preserve">Different </w:t>
      </w:r>
      <w:commentRangeEnd w:id="12"/>
      <w:r w:rsidRPr="00621D36">
        <w:rPr>
          <w:rStyle w:val="CommentReference"/>
          <w:i w:val="0"/>
          <w:iCs/>
          <w:sz w:val="18"/>
          <w:szCs w:val="18"/>
          <w:lang w:val="en-GB" w:eastAsia="en-US"/>
        </w:rPr>
        <w:commentReference w:id="12"/>
      </w:r>
      <w:r w:rsidRPr="00621D36">
        <w:rPr>
          <w:i w:val="0"/>
          <w:iCs/>
          <w:sz w:val="18"/>
          <w:szCs w:val="18"/>
          <w:lang w:val="en-GB" w:eastAsia="en-US"/>
        </w:rPr>
        <w:t>superscript uppercase letters (A–B) indicate statistically significant differences between samples within each column (</w:t>
      </w:r>
      <w:r w:rsidRPr="00621D36">
        <w:rPr>
          <w:iCs/>
          <w:sz w:val="18"/>
          <w:szCs w:val="18"/>
          <w:lang w:val="en-GB" w:eastAsia="en-US"/>
        </w:rPr>
        <w:t>p</w:t>
      </w:r>
      <w:r w:rsidRPr="00621D36">
        <w:rPr>
          <w:i w:val="0"/>
          <w:iCs/>
          <w:sz w:val="18"/>
          <w:szCs w:val="18"/>
          <w:lang w:val="en-GB" w:eastAsia="en-US"/>
        </w:rPr>
        <w:t xml:space="preserve"> ≤ 0.05).</w:t>
      </w:r>
    </w:p>
    <w:p w14:paraId="1949C40F" w14:textId="65B19225" w:rsidR="002551AE" w:rsidRPr="00621D36" w:rsidRDefault="001261A3" w:rsidP="001261A3">
      <w:pPr>
        <w:pStyle w:val="MDPI22heading2"/>
        <w:spacing w:before="240"/>
        <w:rPr>
          <w:iCs/>
          <w:szCs w:val="20"/>
          <w:lang w:val="en-GB"/>
        </w:rPr>
      </w:pPr>
      <w:r w:rsidRPr="00621D36">
        <w:rPr>
          <w:iCs/>
          <w:szCs w:val="20"/>
          <w:lang w:val="en-GB"/>
        </w:rPr>
        <w:t xml:space="preserve">2.1. </w:t>
      </w:r>
      <w:commentRangeStart w:id="13"/>
      <w:r w:rsidR="002551AE" w:rsidRPr="00621D36">
        <w:rPr>
          <w:iCs/>
          <w:szCs w:val="20"/>
          <w:highlight w:val="yellow"/>
          <w:lang w:val="en-GB"/>
        </w:rPr>
        <w:t xml:space="preserve">Chemical </w:t>
      </w:r>
      <w:r w:rsidR="002D26D3" w:rsidRPr="00621D36">
        <w:rPr>
          <w:iCs/>
          <w:szCs w:val="20"/>
          <w:highlight w:val="yellow"/>
          <w:lang w:val="en-GB"/>
        </w:rPr>
        <w:t>Parameters</w:t>
      </w:r>
      <w:commentRangeEnd w:id="13"/>
      <w:r w:rsidR="0039354A" w:rsidRPr="00621D36">
        <w:rPr>
          <w:rStyle w:val="CommentReference"/>
          <w:iCs/>
          <w:sz w:val="20"/>
          <w:szCs w:val="20"/>
          <w:lang w:val="en-GB"/>
        </w:rPr>
        <w:commentReference w:id="13"/>
      </w:r>
    </w:p>
    <w:p w14:paraId="3DF34126" w14:textId="77777777" w:rsidR="002551AE" w:rsidRPr="00621D36" w:rsidRDefault="002551AE" w:rsidP="001261A3">
      <w:pPr>
        <w:adjustRightInd w:val="0"/>
        <w:snapToGrid w:val="0"/>
        <w:ind w:left="2608" w:firstLine="425"/>
        <w:rPr>
          <w:snapToGrid w:val="0"/>
          <w:lang w:val="en-GB"/>
          <w14:ligatures w14:val="standardContextual"/>
        </w:rPr>
      </w:pPr>
      <w:r w:rsidRPr="00621D36">
        <w:rPr>
          <w:snapToGrid w:val="0"/>
          <w:lang w:val="en-GB"/>
          <w14:ligatures w14:val="standardContextual"/>
        </w:rPr>
        <w:t>At the end of the thermal exposure period, chemical checks were carried out to assess selected compositional differences in wine from C19 and C50.</w:t>
      </w:r>
    </w:p>
    <w:p w14:paraId="38173682" w14:textId="1656383A" w:rsidR="002551AE" w:rsidRPr="00621D36" w:rsidRDefault="002551AE" w:rsidP="001261A3">
      <w:pPr>
        <w:pStyle w:val="MDPI31text"/>
        <w:rPr>
          <w:szCs w:val="20"/>
          <w:lang w:val="en-GB"/>
        </w:rPr>
      </w:pPr>
      <w:r w:rsidRPr="00621D36">
        <w:rPr>
          <w:szCs w:val="20"/>
          <w:lang w:val="en-GB"/>
        </w:rPr>
        <w:t>The measured chemical variables were free SO</w:t>
      </w:r>
      <w:r w:rsidR="00BC02DA" w:rsidRPr="00621D36">
        <w:rPr>
          <w:szCs w:val="20"/>
          <w:vertAlign w:val="subscript"/>
          <w:lang w:val="en-GB"/>
        </w:rPr>
        <w:t>2</w:t>
      </w:r>
      <w:r w:rsidRPr="00621D36">
        <w:rPr>
          <w:szCs w:val="20"/>
          <w:lang w:val="en-GB"/>
        </w:rPr>
        <w:t>, total SO</w:t>
      </w:r>
      <w:r w:rsidR="00BC02DA" w:rsidRPr="00621D36">
        <w:rPr>
          <w:szCs w:val="20"/>
          <w:vertAlign w:val="subscript"/>
          <w:lang w:val="en-GB"/>
        </w:rPr>
        <w:t>2</w:t>
      </w:r>
      <w:r w:rsidRPr="00621D36">
        <w:rPr>
          <w:szCs w:val="20"/>
          <w:lang w:val="en-GB"/>
        </w:rPr>
        <w:t>, titratable acidity (g/L tartaric acid), volatile acidity (g/L acetic acid), ethanol, malic acid, lactic acid, total phenols</w:t>
      </w:r>
      <w:r w:rsidR="0051010D">
        <w:rPr>
          <w:szCs w:val="20"/>
          <w:lang w:val="en-GB"/>
        </w:rPr>
        <w:t>,</w:t>
      </w:r>
      <w:r w:rsidRPr="00621D36">
        <w:rPr>
          <w:szCs w:val="20"/>
          <w:lang w:val="en-GB"/>
        </w:rPr>
        <w:t xml:space="preserve"> and </w:t>
      </w:r>
      <w:proofErr w:type="spellStart"/>
      <w:r w:rsidRPr="00621D36">
        <w:rPr>
          <w:szCs w:val="20"/>
          <w:lang w:val="en-GB"/>
        </w:rPr>
        <w:t>pH.</w:t>
      </w:r>
      <w:proofErr w:type="spellEnd"/>
      <w:r w:rsidRPr="00621D36">
        <w:rPr>
          <w:szCs w:val="20"/>
          <w:lang w:val="en-GB"/>
        </w:rPr>
        <w:t xml:space="preserve"> They were determined according to protocols described previously [20]. The reported values are </w:t>
      </w:r>
      <w:r w:rsidR="0051010D">
        <w:rPr>
          <w:szCs w:val="20"/>
          <w:lang w:val="en-GB"/>
        </w:rPr>
        <w:t xml:space="preserve">determined in </w:t>
      </w:r>
      <w:r w:rsidRPr="00621D36">
        <w:rPr>
          <w:szCs w:val="20"/>
          <w:lang w:val="en-GB"/>
        </w:rPr>
        <w:t>triplicate for the main-trial wine grouped by set-point label. Chemical sampling was not resolved by stack position. No microbiological measurements or viable cell counts were performed, although such data would be needed to evaluate residual fermentation activity [21]. Raw replicate-level chemical records were not retained in the available study records.</w:t>
      </w:r>
    </w:p>
    <w:p w14:paraId="3602CD33" w14:textId="0E63C784" w:rsidR="002551AE" w:rsidRPr="00621D36" w:rsidRDefault="001261A3" w:rsidP="001261A3">
      <w:pPr>
        <w:pStyle w:val="MDPI22heading2"/>
        <w:spacing w:before="240"/>
        <w:rPr>
          <w:iCs/>
          <w:szCs w:val="20"/>
          <w:lang w:val="en-GB"/>
        </w:rPr>
      </w:pPr>
      <w:r w:rsidRPr="00621D36">
        <w:rPr>
          <w:iCs/>
          <w:szCs w:val="20"/>
          <w:lang w:val="en-GB"/>
        </w:rPr>
        <w:t xml:space="preserve">2.2. </w:t>
      </w:r>
      <w:commentRangeStart w:id="14"/>
      <w:r w:rsidR="002551AE" w:rsidRPr="00621D36">
        <w:rPr>
          <w:iCs/>
          <w:szCs w:val="20"/>
          <w:highlight w:val="yellow"/>
          <w:lang w:val="en-GB"/>
        </w:rPr>
        <w:t xml:space="preserve">Physical </w:t>
      </w:r>
      <w:r w:rsidR="002D26D3" w:rsidRPr="00621D36">
        <w:rPr>
          <w:iCs/>
          <w:szCs w:val="20"/>
          <w:highlight w:val="yellow"/>
          <w:lang w:val="en-GB"/>
        </w:rPr>
        <w:t>Parameters</w:t>
      </w:r>
      <w:commentRangeEnd w:id="14"/>
      <w:r w:rsidR="0039354A" w:rsidRPr="00621D36">
        <w:rPr>
          <w:rStyle w:val="CommentReference"/>
          <w:iCs/>
          <w:sz w:val="20"/>
          <w:szCs w:val="20"/>
          <w:lang w:val="en-GB"/>
        </w:rPr>
        <w:commentReference w:id="14"/>
      </w:r>
    </w:p>
    <w:p w14:paraId="2486E47D" w14:textId="1BE24954" w:rsidR="002551AE" w:rsidRPr="00621D36" w:rsidRDefault="002551AE" w:rsidP="001261A3">
      <w:pPr>
        <w:pStyle w:val="MDPI31text"/>
        <w:rPr>
          <w:szCs w:val="20"/>
          <w:lang w:val="en-GB"/>
        </w:rPr>
      </w:pPr>
      <w:r w:rsidRPr="00621D36">
        <w:rPr>
          <w:szCs w:val="20"/>
          <w:lang w:val="en-GB"/>
        </w:rPr>
        <w:t xml:space="preserve">Pressure monitoring within the </w:t>
      </w:r>
      <w:r w:rsidR="000B4426">
        <w:rPr>
          <w:szCs w:val="20"/>
          <w:lang w:val="en-GB"/>
        </w:rPr>
        <w:t xml:space="preserve">bag-in-box </w:t>
      </w:r>
      <w:r w:rsidRPr="00621D36">
        <w:rPr>
          <w:szCs w:val="20"/>
          <w:lang w:val="en-GB"/>
        </w:rPr>
        <w:t>containers was carried out using custom-designed sensing units, as described in a previous study [22]. Each unit was built around an MS5803-05BA miniature altimeter module (TE Connectivity)</w:t>
      </w:r>
      <w:r w:rsidR="00C93F20">
        <w:rPr>
          <w:szCs w:val="20"/>
          <w:lang w:val="en-GB"/>
        </w:rPr>
        <w:t xml:space="preserve"> and</w:t>
      </w:r>
      <w:r w:rsidRPr="00621D36">
        <w:rPr>
          <w:szCs w:val="20"/>
          <w:lang w:val="en-GB"/>
        </w:rPr>
        <w:t xml:space="preserve"> a 24-bit MEMS pressure and temperature sensor with SPI and I2C interfaces. According to its data sheet [23], the device covers 0–5 bar and −40 to +85 </w:t>
      </w:r>
      <w:r w:rsidR="00BC02DA" w:rsidRPr="00621D36">
        <w:rPr>
          <w:szCs w:val="20"/>
          <w:lang w:val="en-GB"/>
        </w:rPr>
        <w:t>°C</w:t>
      </w:r>
      <w:r w:rsidRPr="00621D36">
        <w:rPr>
          <w:szCs w:val="20"/>
          <w:lang w:val="en-GB"/>
        </w:rPr>
        <w:t xml:space="preserve">. It resolves pressure to 0.036–0.195 mbar, depending on the oversampling ratio, and temperature to better than 0.01 </w:t>
      </w:r>
      <w:r w:rsidR="00BC02DA" w:rsidRPr="00621D36">
        <w:rPr>
          <w:szCs w:val="20"/>
          <w:lang w:val="en-GB"/>
        </w:rPr>
        <w:t>°C</w:t>
      </w:r>
      <w:r w:rsidRPr="00621D36">
        <w:rPr>
          <w:szCs w:val="20"/>
          <w:lang w:val="en-GB"/>
        </w:rPr>
        <w:t xml:space="preserve">. The specified pressure accuracy is ±1.5 mbar between 300 and 1100 mbar at 20 </w:t>
      </w:r>
      <w:r w:rsidR="00BC02DA" w:rsidRPr="00621D36">
        <w:rPr>
          <w:szCs w:val="20"/>
          <w:lang w:val="en-GB"/>
        </w:rPr>
        <w:t>°C</w:t>
      </w:r>
      <w:r w:rsidRPr="00621D36">
        <w:rPr>
          <w:szCs w:val="20"/>
          <w:lang w:val="en-GB"/>
        </w:rPr>
        <w:t xml:space="preserve">, widening to ±100 mbar over the full 0–5 bar and 0–50 </w:t>
      </w:r>
      <w:r w:rsidR="00BC02DA" w:rsidRPr="00621D36">
        <w:rPr>
          <w:szCs w:val="20"/>
          <w:lang w:val="en-GB"/>
        </w:rPr>
        <w:t>°C</w:t>
      </w:r>
      <w:r w:rsidRPr="00621D36">
        <w:rPr>
          <w:szCs w:val="20"/>
          <w:lang w:val="en-GB"/>
        </w:rPr>
        <w:t xml:space="preserve"> envelope. Long-term pressure stability is specified as ±1 mbar per year, and temperature accuracy as ±2.5 </w:t>
      </w:r>
      <w:r w:rsidR="00BC02DA" w:rsidRPr="00621D36">
        <w:rPr>
          <w:szCs w:val="20"/>
          <w:lang w:val="en-GB"/>
        </w:rPr>
        <w:t>°C</w:t>
      </w:r>
      <w:r w:rsidRPr="00621D36">
        <w:rPr>
          <w:szCs w:val="20"/>
          <w:lang w:val="en-GB"/>
        </w:rPr>
        <w:t>. The sensor was driven by an ESP8285 microcontroller on an ESP-M2 board (Adafruit) [24] and powered by a lithium battery. The assembly was enclosed in an oil-filled plastic casing. The oil transmitted wine pressure to the transducer and dispersed the small amount of heat released by the electronics, whose draw is below 1 mA. The casing was introduced into each bag through the existing filling/dispensing valve before final sealing. The multilayer film was therefore not punctured. Sealing then followed the standard filling-line procedure, which was intended to minimise leakage and artificial perturbation of internal pressure.</w:t>
      </w:r>
    </w:p>
    <w:p w14:paraId="65F84369" w14:textId="75B23C8C" w:rsidR="002551AE" w:rsidRPr="00621D36" w:rsidRDefault="002551AE" w:rsidP="001261A3">
      <w:pPr>
        <w:pStyle w:val="MDPI31text"/>
        <w:rPr>
          <w:szCs w:val="20"/>
          <w:lang w:val="en-GB"/>
        </w:rPr>
      </w:pPr>
      <w:r w:rsidRPr="00621D36">
        <w:rPr>
          <w:szCs w:val="20"/>
          <w:lang w:val="en-GB"/>
        </w:rPr>
        <w:t>Twelve sensing units were deployed in the main trial,</w:t>
      </w:r>
      <w:r w:rsidR="001669D0">
        <w:rPr>
          <w:szCs w:val="20"/>
          <w:lang w:val="en-GB"/>
        </w:rPr>
        <w:t xml:space="preserve"> with</w:t>
      </w:r>
      <w:r w:rsidRPr="00621D36">
        <w:rPr>
          <w:szCs w:val="20"/>
          <w:lang w:val="en-GB"/>
        </w:rPr>
        <w:t xml:space="preserve"> two per stack (uppermost and lowermost </w:t>
      </w:r>
      <w:proofErr w:type="spellStart"/>
      <w:r w:rsidRPr="00621D36">
        <w:rPr>
          <w:szCs w:val="20"/>
          <w:lang w:val="en-GB"/>
        </w:rPr>
        <w:t>BiB</w:t>
      </w:r>
      <w:proofErr w:type="spellEnd"/>
      <w:r w:rsidRPr="00621D36">
        <w:rPr>
          <w:szCs w:val="20"/>
          <w:lang w:val="en-GB"/>
        </w:rPr>
        <w:t xml:space="preserve">) across the three stacks of each chamber. Pressure and temperature were recorded every 30 </w:t>
      </w:r>
      <w:r w:rsidR="00BC02DA" w:rsidRPr="00621D36">
        <w:rPr>
          <w:szCs w:val="20"/>
          <w:lang w:val="en-GB"/>
        </w:rPr>
        <w:t>min</w:t>
      </w:r>
      <w:r w:rsidRPr="00621D36">
        <w:rPr>
          <w:szCs w:val="20"/>
          <w:lang w:val="en-GB"/>
        </w:rPr>
        <w:t xml:space="preserve"> throughout storage. Each pressure trace was referred to its own initial pressure and analysed as pressure change (ΔP), so the comparison depends on changes within each sensor rather than on agreement between different sensors. Because there was one chamber per set point,</w:t>
      </w:r>
      <w:r w:rsidR="00FE504C">
        <w:rPr>
          <w:szCs w:val="20"/>
          <w:lang w:val="en-GB"/>
        </w:rPr>
        <w:t xml:space="preserve"> the</w:t>
      </w:r>
      <w:r w:rsidRPr="00621D36">
        <w:rPr>
          <w:szCs w:val="20"/>
          <w:lang w:val="en-GB"/>
        </w:rPr>
        <w:t xml:space="preserve"> chamber condition and chamber identity cannot be separated. The chamber factor is therefore interpreted as a set-point comparison, not as a replicated test of actual wine temperature.</w:t>
      </w:r>
    </w:p>
    <w:p w14:paraId="096C8D58" w14:textId="171B4E39" w:rsidR="002551AE" w:rsidRPr="00621D36" w:rsidRDefault="001261A3" w:rsidP="001261A3">
      <w:pPr>
        <w:pStyle w:val="MDPI22heading2"/>
        <w:spacing w:before="240"/>
        <w:rPr>
          <w:iCs/>
          <w:szCs w:val="20"/>
          <w:lang w:val="en-GB"/>
        </w:rPr>
      </w:pPr>
      <w:r w:rsidRPr="00621D36">
        <w:rPr>
          <w:szCs w:val="20"/>
          <w:lang w:val="en-GB"/>
        </w:rPr>
        <w:lastRenderedPageBreak/>
        <w:t xml:space="preserve">2.3. </w:t>
      </w:r>
      <w:r w:rsidR="002551AE" w:rsidRPr="00621D36">
        <w:rPr>
          <w:szCs w:val="20"/>
          <w:lang w:val="en-GB"/>
        </w:rPr>
        <w:t xml:space="preserve">Verification </w:t>
      </w:r>
      <w:r w:rsidR="002D26D3" w:rsidRPr="00621D36">
        <w:rPr>
          <w:szCs w:val="20"/>
          <w:lang w:val="en-GB"/>
        </w:rPr>
        <w:t xml:space="preserve">Trial </w:t>
      </w:r>
      <w:r w:rsidR="002551AE" w:rsidRPr="00621D36">
        <w:rPr>
          <w:szCs w:val="20"/>
          <w:lang w:val="en-GB"/>
        </w:rPr>
        <w:t xml:space="preserve">at the C50 </w:t>
      </w:r>
      <w:r w:rsidR="002D26D3" w:rsidRPr="00621D36">
        <w:rPr>
          <w:szCs w:val="20"/>
          <w:lang w:val="en-GB"/>
        </w:rPr>
        <w:t>Set Point</w:t>
      </w:r>
    </w:p>
    <w:p w14:paraId="24771375" w14:textId="2443A459" w:rsidR="002551AE" w:rsidRPr="00621D36" w:rsidRDefault="002551AE" w:rsidP="001261A3">
      <w:pPr>
        <w:pStyle w:val="MDPI31text"/>
        <w:rPr>
          <w:i/>
          <w:iCs/>
          <w:szCs w:val="20"/>
          <w:lang w:val="en-GB"/>
        </w:rPr>
      </w:pPr>
      <w:r w:rsidRPr="00621D36">
        <w:rPr>
          <w:szCs w:val="20"/>
          <w:lang w:val="en-GB"/>
        </w:rPr>
        <w:t>The verification trial was carried out to document package behaviour closer to the intended high-temperature exposure. A single stack of three boxes of the same 3</w:t>
      </w:r>
      <w:r w:rsidR="00B2067C" w:rsidRPr="00B2067C">
        <w:rPr>
          <w:szCs w:val="20"/>
          <w:lang w:val="en-GB"/>
        </w:rPr>
        <w:t xml:space="preserve"> </w:t>
      </w:r>
      <w:r w:rsidRPr="00621D36">
        <w:rPr>
          <w:szCs w:val="20"/>
          <w:lang w:val="en-GB"/>
        </w:rPr>
        <w:t xml:space="preserve">L </w:t>
      </w:r>
      <w:proofErr w:type="spellStart"/>
      <w:r w:rsidRPr="00621D36">
        <w:rPr>
          <w:szCs w:val="20"/>
          <w:lang w:val="en-GB"/>
        </w:rPr>
        <w:t>BiB</w:t>
      </w:r>
      <w:proofErr w:type="spellEnd"/>
      <w:r w:rsidRPr="00621D36">
        <w:rPr>
          <w:szCs w:val="20"/>
          <w:lang w:val="en-GB"/>
        </w:rPr>
        <w:t xml:space="preserve"> format was instrumented with four MEMS sensors of the same type and held for 15 days at the C50 set point. V26 and V62 were installed in the uppermost </w:t>
      </w:r>
      <w:proofErr w:type="spellStart"/>
      <w:r w:rsidRPr="00621D36">
        <w:rPr>
          <w:szCs w:val="20"/>
          <w:lang w:val="en-GB"/>
        </w:rPr>
        <w:t>BiB</w:t>
      </w:r>
      <w:proofErr w:type="spellEnd"/>
      <w:r w:rsidRPr="00621D36">
        <w:rPr>
          <w:szCs w:val="20"/>
          <w:lang w:val="en-GB"/>
        </w:rPr>
        <w:t xml:space="preserve">; V27 and V64 were installed in the lowermost </w:t>
      </w:r>
      <w:proofErr w:type="spellStart"/>
      <w:r w:rsidRPr="00621D36">
        <w:rPr>
          <w:szCs w:val="20"/>
          <w:lang w:val="en-GB"/>
        </w:rPr>
        <w:t>BiB.</w:t>
      </w:r>
      <w:proofErr w:type="spellEnd"/>
      <w:r w:rsidRPr="00621D36">
        <w:rPr>
          <w:szCs w:val="20"/>
          <w:lang w:val="en-GB"/>
        </w:rPr>
        <w:t xml:space="preserve"> Pressure and temperature were logged every minute, compared with the 30</w:t>
      </w:r>
      <w:r w:rsidR="00B2067C" w:rsidRPr="00B2067C">
        <w:rPr>
          <w:szCs w:val="20"/>
          <w:lang w:val="en-GB"/>
        </w:rPr>
        <w:t xml:space="preserve"> </w:t>
      </w:r>
      <w:r w:rsidR="00BC02DA" w:rsidRPr="00621D36">
        <w:rPr>
          <w:szCs w:val="20"/>
          <w:lang w:val="en-GB"/>
        </w:rPr>
        <w:t>min</w:t>
      </w:r>
      <w:r w:rsidRPr="00621D36">
        <w:rPr>
          <w:szCs w:val="20"/>
          <w:lang w:val="en-GB"/>
        </w:rPr>
        <w:t xml:space="preserve"> interval used in the main trial. V26 stopped after about 4 days</w:t>
      </w:r>
      <w:r w:rsidR="003B7044">
        <w:rPr>
          <w:szCs w:val="20"/>
          <w:lang w:val="en-GB"/>
        </w:rPr>
        <w:t xml:space="preserve"> and</w:t>
      </w:r>
      <w:r w:rsidRPr="00621D36">
        <w:rPr>
          <w:szCs w:val="20"/>
          <w:lang w:val="en-GB"/>
        </w:rPr>
        <w:t xml:space="preserve"> 8 h, and the remaining three sensors completed the record. The trial provides supporting observations for this configuration only.</w:t>
      </w:r>
    </w:p>
    <w:p w14:paraId="073230FC" w14:textId="182DDEF0" w:rsidR="002551AE" w:rsidRPr="00621D36" w:rsidRDefault="001261A3" w:rsidP="001261A3">
      <w:pPr>
        <w:pStyle w:val="MDPI22heading2"/>
        <w:spacing w:before="240"/>
        <w:rPr>
          <w:iCs/>
          <w:szCs w:val="20"/>
          <w:lang w:val="en-GB"/>
        </w:rPr>
      </w:pPr>
      <w:r w:rsidRPr="00621D36">
        <w:rPr>
          <w:iCs/>
          <w:szCs w:val="20"/>
          <w:lang w:val="en-GB"/>
        </w:rPr>
        <w:t xml:space="preserve">2.4. </w:t>
      </w:r>
      <w:r w:rsidR="002551AE" w:rsidRPr="00621D36">
        <w:rPr>
          <w:iCs/>
          <w:szCs w:val="20"/>
          <w:lang w:val="en-GB"/>
        </w:rPr>
        <w:t xml:space="preserve">Statistical </w:t>
      </w:r>
      <w:r w:rsidR="002D26D3" w:rsidRPr="00621D36">
        <w:rPr>
          <w:iCs/>
          <w:szCs w:val="20"/>
          <w:lang w:val="en-GB"/>
        </w:rPr>
        <w:t>Analyses</w:t>
      </w:r>
    </w:p>
    <w:p w14:paraId="0BA2BEAE" w14:textId="6C482A4B" w:rsidR="003B7044" w:rsidRPr="00621D36" w:rsidRDefault="003B7044" w:rsidP="003B7044">
      <w:pPr>
        <w:pStyle w:val="MDPI31text"/>
        <w:rPr>
          <w:szCs w:val="20"/>
          <w:lang w:val="en-GB"/>
        </w:rPr>
      </w:pPr>
      <w:r>
        <w:rPr>
          <w:szCs w:val="20"/>
          <w:lang w:val="en-GB"/>
        </w:rPr>
        <w:t>A o</w:t>
      </w:r>
      <w:r w:rsidRPr="00621D36">
        <w:rPr>
          <w:szCs w:val="20"/>
          <w:lang w:val="en-GB"/>
        </w:rPr>
        <w:t>ne</w:t>
      </w:r>
      <w:r w:rsidR="002551AE" w:rsidRPr="00621D36">
        <w:rPr>
          <w:szCs w:val="20"/>
          <w:lang w:val="en-GB"/>
        </w:rPr>
        <w:t xml:space="preserve">-way analysis of variance was performed using </w:t>
      </w:r>
      <w:proofErr w:type="spellStart"/>
      <w:r w:rsidR="002551AE" w:rsidRPr="00621D36">
        <w:rPr>
          <w:szCs w:val="20"/>
          <w:lang w:val="en-GB"/>
        </w:rPr>
        <w:t>CoStat</w:t>
      </w:r>
      <w:proofErr w:type="spellEnd"/>
      <w:r w:rsidR="002551AE" w:rsidRPr="00621D36">
        <w:rPr>
          <w:szCs w:val="20"/>
          <w:lang w:val="en-GB"/>
        </w:rPr>
        <w:t xml:space="preserve">, Version 6.451, </w:t>
      </w:r>
      <w:proofErr w:type="spellStart"/>
      <w:r w:rsidR="002551AE" w:rsidRPr="00621D36">
        <w:rPr>
          <w:szCs w:val="20"/>
          <w:lang w:val="en-GB"/>
        </w:rPr>
        <w:t>CoHort</w:t>
      </w:r>
      <w:proofErr w:type="spellEnd"/>
      <w:r w:rsidR="002551AE" w:rsidRPr="00621D36">
        <w:rPr>
          <w:szCs w:val="20"/>
          <w:lang w:val="en-GB"/>
        </w:rPr>
        <w:t xml:space="preserve"> 6.0 </w:t>
      </w:r>
      <w:r>
        <w:rPr>
          <w:szCs w:val="20"/>
          <w:lang w:val="en-GB"/>
        </w:rPr>
        <w:t>s</w:t>
      </w:r>
      <w:r w:rsidRPr="00621D36">
        <w:rPr>
          <w:szCs w:val="20"/>
          <w:lang w:val="en-GB"/>
        </w:rPr>
        <w:t xml:space="preserve">oftware </w:t>
      </w:r>
      <w:r w:rsidR="002551AE" w:rsidRPr="00621D36">
        <w:rPr>
          <w:szCs w:val="20"/>
          <w:lang w:val="en-GB"/>
        </w:rPr>
        <w:t>(Pacific Grove, CA, USA) to assess differences in the compositional parameters among the investigated samples. Means were separated by Tukey</w:t>
      </w:r>
      <w:r w:rsidR="00E30B9E" w:rsidRPr="00621D36">
        <w:rPr>
          <w:szCs w:val="20"/>
          <w:lang w:val="en-GB"/>
        </w:rPr>
        <w:t>’</w:t>
      </w:r>
      <w:r w:rsidR="002551AE" w:rsidRPr="00621D36">
        <w:rPr>
          <w:szCs w:val="20"/>
          <w:lang w:val="en-GB"/>
        </w:rPr>
        <w:t xml:space="preserve">s post hoc test at </w:t>
      </w:r>
      <w:r w:rsidR="00A50198" w:rsidRPr="00621D36">
        <w:rPr>
          <w:i/>
          <w:szCs w:val="20"/>
          <w:lang w:val="en-GB"/>
        </w:rPr>
        <w:t>p</w:t>
      </w:r>
      <w:r w:rsidR="002551AE" w:rsidRPr="00621D36">
        <w:rPr>
          <w:szCs w:val="20"/>
          <w:lang w:val="en-GB"/>
        </w:rPr>
        <w:t xml:space="preserve"> ≤ 0.05. The pressure data were analysed separately because each instrumented </w:t>
      </w:r>
      <w:proofErr w:type="spellStart"/>
      <w:r w:rsidR="002551AE" w:rsidRPr="00621D36">
        <w:rPr>
          <w:szCs w:val="20"/>
          <w:lang w:val="en-GB"/>
        </w:rPr>
        <w:t>BiB</w:t>
      </w:r>
      <w:proofErr w:type="spellEnd"/>
      <w:r w:rsidR="002551AE" w:rsidRPr="00621D36">
        <w:rPr>
          <w:szCs w:val="20"/>
          <w:lang w:val="en-GB"/>
        </w:rPr>
        <w:t xml:space="preserve"> was described by stack position (top or bottom) and set-point group (C19 or C50). For each sensor, two summary responses were extracted from the ΔP curve: the post-handling peak within the 20-day storage period and the residual value on day 20. Pressure change was referenced to each sensor</w:t>
      </w:r>
      <w:r w:rsidR="00E30B9E" w:rsidRPr="00621D36">
        <w:rPr>
          <w:szCs w:val="20"/>
          <w:lang w:val="en-GB"/>
        </w:rPr>
        <w:t>’</w:t>
      </w:r>
      <w:r w:rsidR="002551AE" w:rsidRPr="00621D36">
        <w:rPr>
          <w:szCs w:val="20"/>
          <w:lang w:val="en-GB"/>
        </w:rPr>
        <w:t>s initial valid pressure reading at time zero. The primary exploratory analysis used the following additive two-way linear model</w:t>
      </w:r>
      <w:r>
        <w:rPr>
          <w:szCs w:val="20"/>
          <w:lang w:val="en-GB"/>
        </w:rPr>
        <w: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1261A3" w:rsidRPr="00621D36" w14:paraId="03A685BD" w14:textId="77777777" w:rsidTr="001261A3">
        <w:trPr>
          <w:cantSplit/>
          <w:trHeight w:val="340"/>
        </w:trPr>
        <w:tc>
          <w:tcPr>
            <w:tcW w:w="7426" w:type="dxa"/>
            <w:vAlign w:val="center"/>
          </w:tcPr>
          <w:p w14:paraId="1BBA92A7" w14:textId="06D80BA7" w:rsidR="001261A3" w:rsidRPr="00621D36" w:rsidRDefault="001261A3" w:rsidP="001261A3">
            <w:pPr>
              <w:pStyle w:val="MDPI31text"/>
              <w:ind w:left="706" w:firstLine="0"/>
              <w:jc w:val="center"/>
              <w:rPr>
                <w:szCs w:val="20"/>
                <w:lang w:val="en-GB"/>
              </w:rPr>
            </w:pPr>
            <w:proofErr w:type="spellStart"/>
            <w:r w:rsidRPr="00621D36">
              <w:rPr>
                <w:i/>
                <w:lang w:val="en-GB"/>
              </w:rPr>
              <w:t>y</w:t>
            </w:r>
            <w:r w:rsidRPr="00621D36">
              <w:rPr>
                <w:i/>
                <w:vertAlign w:val="subscript"/>
                <w:lang w:val="en-GB"/>
              </w:rPr>
              <w:t>ijk</w:t>
            </w:r>
            <w:proofErr w:type="spellEnd"/>
            <w:r w:rsidRPr="00621D36">
              <w:rPr>
                <w:lang w:val="en-GB"/>
              </w:rPr>
              <w:t xml:space="preserve"> = μ + α</w:t>
            </w:r>
            <w:proofErr w:type="spellStart"/>
            <w:r w:rsidRPr="00621D36">
              <w:rPr>
                <w:i/>
                <w:vertAlign w:val="subscript"/>
                <w:lang w:val="en-GB"/>
              </w:rPr>
              <w:t>i</w:t>
            </w:r>
            <w:proofErr w:type="spellEnd"/>
            <w:r w:rsidRPr="00621D36">
              <w:rPr>
                <w:lang w:val="en-GB"/>
              </w:rPr>
              <w:t xml:space="preserve"> + β</w:t>
            </w:r>
            <w:r w:rsidRPr="00621D36">
              <w:rPr>
                <w:i/>
                <w:vertAlign w:val="subscript"/>
                <w:lang w:val="en-GB"/>
              </w:rPr>
              <w:t>j</w:t>
            </w:r>
            <w:r w:rsidRPr="00621D36">
              <w:rPr>
                <w:lang w:val="en-GB"/>
              </w:rPr>
              <w:t xml:space="preserve"> + (αβ)</w:t>
            </w:r>
            <w:proofErr w:type="spellStart"/>
            <w:r w:rsidRPr="00621D36">
              <w:rPr>
                <w:i/>
                <w:vertAlign w:val="subscript"/>
                <w:lang w:val="en-GB"/>
              </w:rPr>
              <w:t>ij</w:t>
            </w:r>
            <w:proofErr w:type="spellEnd"/>
            <w:r w:rsidRPr="00621D36">
              <w:rPr>
                <w:lang w:val="en-GB"/>
              </w:rPr>
              <w:t xml:space="preserve"> + </w:t>
            </w:r>
            <w:proofErr w:type="spellStart"/>
            <w:r w:rsidRPr="00621D36">
              <w:rPr>
                <w:lang w:val="en-GB"/>
              </w:rPr>
              <w:t>ε</w:t>
            </w:r>
            <w:r w:rsidRPr="00621D36">
              <w:rPr>
                <w:i/>
                <w:vertAlign w:val="subscript"/>
                <w:lang w:val="en-GB"/>
              </w:rPr>
              <w:t>ijk</w:t>
            </w:r>
            <w:proofErr w:type="spellEnd"/>
          </w:p>
        </w:tc>
        <w:tc>
          <w:tcPr>
            <w:tcW w:w="430" w:type="dxa"/>
            <w:vAlign w:val="center"/>
          </w:tcPr>
          <w:p w14:paraId="5F98CABC" w14:textId="45E0BAC7" w:rsidR="001261A3" w:rsidRPr="00621D36" w:rsidRDefault="001261A3" w:rsidP="001261A3">
            <w:pPr>
              <w:pStyle w:val="MDPI31text"/>
              <w:spacing w:before="120" w:after="120" w:line="260" w:lineRule="atLeast"/>
              <w:ind w:left="0" w:firstLine="0"/>
              <w:jc w:val="right"/>
              <w:rPr>
                <w:szCs w:val="20"/>
                <w:lang w:val="en-GB"/>
              </w:rPr>
            </w:pPr>
            <w:r w:rsidRPr="00621D36">
              <w:rPr>
                <w:szCs w:val="20"/>
                <w:lang w:val="en-GB"/>
              </w:rPr>
              <w:t>(</w:t>
            </w:r>
            <w:r w:rsidRPr="00621D36">
              <w:rPr>
                <w:szCs w:val="20"/>
                <w:lang w:val="en-GB"/>
              </w:rPr>
              <w:fldChar w:fldCharType="begin"/>
            </w:r>
            <w:r w:rsidRPr="00621D36">
              <w:rPr>
                <w:szCs w:val="20"/>
                <w:lang w:val="en-GB"/>
              </w:rPr>
              <w:instrText xml:space="preserve"> seq EquationSeq \* \Arabic </w:instrText>
            </w:r>
            <w:r w:rsidRPr="00621D36">
              <w:rPr>
                <w:szCs w:val="20"/>
                <w:lang w:val="en-GB"/>
              </w:rPr>
              <w:fldChar w:fldCharType="separate"/>
            </w:r>
            <w:r w:rsidR="00487324">
              <w:rPr>
                <w:noProof/>
                <w:szCs w:val="20"/>
                <w:lang w:val="en-GB"/>
              </w:rPr>
              <w:t>1</w:t>
            </w:r>
            <w:r w:rsidRPr="00621D36">
              <w:rPr>
                <w:szCs w:val="20"/>
                <w:lang w:val="en-GB"/>
              </w:rPr>
              <w:fldChar w:fldCharType="end"/>
            </w:r>
            <w:r w:rsidRPr="00621D36">
              <w:rPr>
                <w:szCs w:val="20"/>
                <w:lang w:val="en-GB"/>
              </w:rPr>
              <w:t>)</w:t>
            </w:r>
          </w:p>
        </w:tc>
      </w:tr>
    </w:tbl>
    <w:p w14:paraId="647ADBA1" w14:textId="551DF88C" w:rsidR="002551AE" w:rsidRPr="00621D36" w:rsidRDefault="002551AE" w:rsidP="001261A3">
      <w:pPr>
        <w:pStyle w:val="MDPI32textnoindent"/>
        <w:rPr>
          <w:szCs w:val="20"/>
          <w:lang w:val="en-GB"/>
        </w:rPr>
      </w:pPr>
      <w:r w:rsidRPr="00621D36">
        <w:rPr>
          <w:szCs w:val="20"/>
          <w:lang w:val="en-GB"/>
        </w:rPr>
        <w:t xml:space="preserve">in which </w:t>
      </w:r>
      <w:commentRangeStart w:id="15"/>
      <w:r w:rsidRPr="00621D36">
        <w:rPr>
          <w:szCs w:val="20"/>
          <w:highlight w:val="yellow"/>
          <w:lang w:val="en-GB"/>
        </w:rPr>
        <w:t>y</w:t>
      </w:r>
      <w:commentRangeEnd w:id="15"/>
      <w:r w:rsidR="005D22B4" w:rsidRPr="00621D36">
        <w:rPr>
          <w:rStyle w:val="CommentReference"/>
          <w:sz w:val="20"/>
          <w:szCs w:val="20"/>
          <w:lang w:val="en-GB"/>
        </w:rPr>
        <w:commentReference w:id="15"/>
      </w:r>
      <w:r w:rsidRPr="00621D36">
        <w:rPr>
          <w:szCs w:val="20"/>
          <w:lang w:val="en-GB"/>
        </w:rPr>
        <w:t xml:space="preserve"> is the summary value from one instrumented </w:t>
      </w:r>
      <w:proofErr w:type="spellStart"/>
      <w:r w:rsidRPr="00621D36">
        <w:rPr>
          <w:szCs w:val="20"/>
          <w:lang w:val="en-GB"/>
        </w:rPr>
        <w:t>BiB</w:t>
      </w:r>
      <w:proofErr w:type="spellEnd"/>
      <w:r w:rsidRPr="00621D36">
        <w:rPr>
          <w:szCs w:val="20"/>
          <w:lang w:val="en-GB"/>
        </w:rPr>
        <w:t>, μ is the overall mean, α is the position term, β is the set-point term</w:t>
      </w:r>
      <w:r w:rsidR="003B7044">
        <w:rPr>
          <w:szCs w:val="20"/>
          <w:lang w:val="en-GB"/>
        </w:rPr>
        <w:t>,</w:t>
      </w:r>
      <w:r w:rsidRPr="00621D36">
        <w:rPr>
          <w:szCs w:val="20"/>
          <w:lang w:val="en-GB"/>
        </w:rPr>
        <w:t xml:space="preserve"> and ε is the residual. The position-by-set-point interaction was checked separately with the full model and was not statistically significant, so the additive model is reported. The model assumes independent residuals with constant variance. With only eleven usable traces, these assumptions cannot be tested with high power. The top and bottom observations are package-position measurements within stacks, and the chamber factor is unreplicated at the chamber level.</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1261A3" w:rsidRPr="00621D36" w14:paraId="3204E8A8" w14:textId="77777777" w:rsidTr="001261A3">
        <w:trPr>
          <w:cantSplit/>
          <w:trHeight w:val="340"/>
        </w:trPr>
        <w:tc>
          <w:tcPr>
            <w:tcW w:w="7426" w:type="dxa"/>
            <w:vAlign w:val="center"/>
          </w:tcPr>
          <w:p w14:paraId="60F1E10D" w14:textId="5067A39B" w:rsidR="001261A3" w:rsidRPr="00621D36" w:rsidRDefault="001261A3" w:rsidP="001261A3">
            <w:pPr>
              <w:pStyle w:val="MDPI32textnoindent"/>
              <w:ind w:left="706"/>
              <w:jc w:val="center"/>
              <w:rPr>
                <w:szCs w:val="20"/>
                <w:lang w:val="en-GB"/>
              </w:rPr>
            </w:pPr>
            <w:r w:rsidRPr="00621D36">
              <w:rPr>
                <w:szCs w:val="20"/>
                <w:lang w:val="en-GB"/>
              </w:rPr>
              <w:t xml:space="preserve">F = </w:t>
            </w:r>
            <w:proofErr w:type="spellStart"/>
            <w:r w:rsidRPr="00621D36">
              <w:rPr>
                <w:szCs w:val="20"/>
                <w:lang w:val="en-GB"/>
              </w:rPr>
              <w:t>MS</w:t>
            </w:r>
            <w:r w:rsidRPr="00621D36">
              <w:rPr>
                <w:szCs w:val="20"/>
                <w:vertAlign w:val="subscript"/>
                <w:lang w:val="en-GB"/>
              </w:rPr>
              <w:t>factor</w:t>
            </w:r>
            <w:proofErr w:type="spellEnd"/>
            <w:r w:rsidR="005D22B4" w:rsidRPr="00621D36">
              <w:rPr>
                <w:szCs w:val="20"/>
                <w:lang w:val="en-GB"/>
              </w:rPr>
              <w:t>/</w:t>
            </w:r>
            <w:proofErr w:type="spellStart"/>
            <w:r w:rsidRPr="00621D36">
              <w:rPr>
                <w:szCs w:val="20"/>
                <w:lang w:val="en-GB"/>
              </w:rPr>
              <w:t>MS</w:t>
            </w:r>
            <w:r w:rsidRPr="00621D36">
              <w:rPr>
                <w:szCs w:val="20"/>
                <w:vertAlign w:val="subscript"/>
                <w:lang w:val="en-GB"/>
              </w:rPr>
              <w:t>error</w:t>
            </w:r>
            <w:proofErr w:type="spellEnd"/>
            <w:r w:rsidRPr="00621D36">
              <w:rPr>
                <w:szCs w:val="20"/>
                <w:lang w:val="en-GB"/>
              </w:rPr>
              <w:t xml:space="preserve"> = (</w:t>
            </w:r>
            <w:proofErr w:type="spellStart"/>
            <w:r w:rsidRPr="00621D36">
              <w:rPr>
                <w:szCs w:val="20"/>
                <w:lang w:val="en-GB"/>
              </w:rPr>
              <w:t>SS</w:t>
            </w:r>
            <w:r w:rsidRPr="00621D36">
              <w:rPr>
                <w:szCs w:val="20"/>
                <w:vertAlign w:val="subscript"/>
                <w:lang w:val="en-GB"/>
              </w:rPr>
              <w:t>factor</w:t>
            </w:r>
            <w:proofErr w:type="spellEnd"/>
            <w:r w:rsidR="005D22B4" w:rsidRPr="00621D36">
              <w:rPr>
                <w:szCs w:val="20"/>
                <w:lang w:val="en-GB"/>
              </w:rPr>
              <w:t>/</w:t>
            </w:r>
            <w:proofErr w:type="spellStart"/>
            <w:r w:rsidRPr="00621D36">
              <w:rPr>
                <w:szCs w:val="20"/>
                <w:lang w:val="en-GB"/>
              </w:rPr>
              <w:t>df</w:t>
            </w:r>
            <w:r w:rsidRPr="00621D36">
              <w:rPr>
                <w:szCs w:val="20"/>
                <w:vertAlign w:val="subscript"/>
                <w:lang w:val="en-GB"/>
              </w:rPr>
              <w:t>factor</w:t>
            </w:r>
            <w:proofErr w:type="spellEnd"/>
            <w:r w:rsidRPr="00621D36">
              <w:rPr>
                <w:szCs w:val="20"/>
                <w:lang w:val="en-GB"/>
              </w:rPr>
              <w:t>)</w:t>
            </w:r>
            <w:r w:rsidR="005D22B4" w:rsidRPr="00621D36">
              <w:rPr>
                <w:szCs w:val="20"/>
                <w:lang w:val="en-GB"/>
              </w:rPr>
              <w:t>/</w:t>
            </w:r>
            <w:r w:rsidRPr="00621D36">
              <w:rPr>
                <w:szCs w:val="20"/>
                <w:lang w:val="en-GB"/>
              </w:rPr>
              <w:t>(</w:t>
            </w:r>
            <w:proofErr w:type="spellStart"/>
            <w:r w:rsidRPr="00621D36">
              <w:rPr>
                <w:szCs w:val="20"/>
                <w:lang w:val="en-GB"/>
              </w:rPr>
              <w:t>SS</w:t>
            </w:r>
            <w:r w:rsidRPr="00621D36">
              <w:rPr>
                <w:szCs w:val="20"/>
                <w:vertAlign w:val="subscript"/>
                <w:lang w:val="en-GB"/>
              </w:rPr>
              <w:t>error</w:t>
            </w:r>
            <w:proofErr w:type="spellEnd"/>
            <w:r w:rsidR="005D22B4" w:rsidRPr="00621D36">
              <w:rPr>
                <w:szCs w:val="20"/>
                <w:lang w:val="en-GB"/>
              </w:rPr>
              <w:t>/</w:t>
            </w:r>
            <w:proofErr w:type="spellStart"/>
            <w:r w:rsidRPr="00621D36">
              <w:rPr>
                <w:szCs w:val="20"/>
                <w:lang w:val="en-GB"/>
              </w:rPr>
              <w:t>df</w:t>
            </w:r>
            <w:r w:rsidRPr="00621D36">
              <w:rPr>
                <w:szCs w:val="20"/>
                <w:vertAlign w:val="subscript"/>
                <w:lang w:val="en-GB"/>
              </w:rPr>
              <w:t>error</w:t>
            </w:r>
            <w:proofErr w:type="spellEnd"/>
            <w:r w:rsidRPr="00621D36">
              <w:rPr>
                <w:szCs w:val="20"/>
                <w:lang w:val="en-GB"/>
              </w:rPr>
              <w:t>)</w:t>
            </w:r>
          </w:p>
        </w:tc>
        <w:tc>
          <w:tcPr>
            <w:tcW w:w="430" w:type="dxa"/>
            <w:vAlign w:val="center"/>
          </w:tcPr>
          <w:p w14:paraId="3A538AE9" w14:textId="5A174A51" w:rsidR="001261A3" w:rsidRPr="00621D36" w:rsidRDefault="001261A3" w:rsidP="001261A3">
            <w:pPr>
              <w:pStyle w:val="MDPI32textnoindent"/>
              <w:spacing w:before="120" w:after="120" w:line="260" w:lineRule="atLeast"/>
              <w:ind w:left="0"/>
              <w:jc w:val="right"/>
              <w:rPr>
                <w:szCs w:val="20"/>
                <w:lang w:val="en-GB"/>
              </w:rPr>
            </w:pPr>
            <w:r w:rsidRPr="00621D36">
              <w:rPr>
                <w:szCs w:val="20"/>
                <w:lang w:val="en-GB"/>
              </w:rPr>
              <w:t>(</w:t>
            </w:r>
            <w:r w:rsidRPr="00621D36">
              <w:rPr>
                <w:szCs w:val="20"/>
                <w:lang w:val="en-GB"/>
              </w:rPr>
              <w:fldChar w:fldCharType="begin"/>
            </w:r>
            <w:r w:rsidRPr="00621D36">
              <w:rPr>
                <w:szCs w:val="20"/>
                <w:lang w:val="en-GB"/>
              </w:rPr>
              <w:instrText xml:space="preserve"> seq EquationSeq \* \Arabic </w:instrText>
            </w:r>
            <w:r w:rsidRPr="00621D36">
              <w:rPr>
                <w:szCs w:val="20"/>
                <w:lang w:val="en-GB"/>
              </w:rPr>
              <w:fldChar w:fldCharType="separate"/>
            </w:r>
            <w:r w:rsidR="00487324">
              <w:rPr>
                <w:noProof/>
                <w:szCs w:val="20"/>
                <w:lang w:val="en-GB"/>
              </w:rPr>
              <w:t>2</w:t>
            </w:r>
            <w:r w:rsidRPr="00621D36">
              <w:rPr>
                <w:szCs w:val="20"/>
                <w:lang w:val="en-GB"/>
              </w:rPr>
              <w:fldChar w:fldCharType="end"/>
            </w:r>
            <w:r w:rsidRPr="00621D36">
              <w:rPr>
                <w:szCs w:val="20"/>
                <w:lang w:val="en-GB"/>
              </w:rPr>
              <w:t>)</w:t>
            </w:r>
          </w:p>
        </w:tc>
      </w:tr>
    </w:tbl>
    <w:p w14:paraId="748C4D5F" w14:textId="278B65D3" w:rsidR="002551AE" w:rsidRPr="00621D36" w:rsidRDefault="002551AE" w:rsidP="001261A3">
      <w:pPr>
        <w:pStyle w:val="MDPI32textnoindent"/>
        <w:ind w:firstLine="425"/>
        <w:rPr>
          <w:szCs w:val="20"/>
          <w:lang w:val="en-GB"/>
        </w:rPr>
      </w:pPr>
      <w:commentRangeStart w:id="16"/>
      <w:r w:rsidRPr="00621D36">
        <w:rPr>
          <w:szCs w:val="20"/>
          <w:highlight w:val="yellow"/>
          <w:lang w:val="en-GB"/>
        </w:rPr>
        <w:t xml:space="preserve">With </w:t>
      </w:r>
      <w:commentRangeEnd w:id="16"/>
      <w:r w:rsidR="001261A3" w:rsidRPr="00621D36">
        <w:rPr>
          <w:rStyle w:val="CommentReference"/>
          <w:sz w:val="20"/>
          <w:szCs w:val="20"/>
          <w:lang w:val="en-GB"/>
        </w:rPr>
        <w:commentReference w:id="16"/>
      </w:r>
      <w:r w:rsidRPr="00621D36">
        <w:rPr>
          <w:szCs w:val="20"/>
          <w:lang w:val="en-GB"/>
        </w:rPr>
        <w:t>two levels per factor and eleven usable traces, the additive model leaves one degree of freedom for each factor and eight residual degrees of freedom, giving the notation F(1,8). The design is unbalanced because one bottom-position sensor in C19 returned no complete record; the four cells therefore contain three, three, three</w:t>
      </w:r>
      <w:r w:rsidR="00E57F2F">
        <w:rPr>
          <w:szCs w:val="20"/>
          <w:lang w:val="en-GB"/>
        </w:rPr>
        <w:t>,</w:t>
      </w:r>
      <w:r w:rsidRPr="00621D36">
        <w:rPr>
          <w:szCs w:val="20"/>
          <w:lang w:val="en-GB"/>
        </w:rPr>
        <w:t xml:space="preserve"> and two traces. Sums of squares were computed by the Type II method, in which each main effect is adjusted for the other [25]. Sensor-level </w:t>
      </w:r>
      <w:r w:rsidR="00A50198" w:rsidRPr="00621D36">
        <w:rPr>
          <w:i/>
          <w:szCs w:val="20"/>
          <w:lang w:val="en-GB"/>
        </w:rPr>
        <w:t>p</w:t>
      </w:r>
      <w:r w:rsidRPr="00621D36">
        <w:rPr>
          <w:szCs w:val="20"/>
          <w:lang w:val="en-GB"/>
        </w:rPr>
        <w:t>-values are reported within this exploratory analysis. Lack of significance is interpreted only as lack of a statistically detectable difference</w:t>
      </w:r>
      <w:r w:rsidR="00E57F2F">
        <w:rPr>
          <w:szCs w:val="20"/>
          <w:lang w:val="en-GB"/>
        </w:rPr>
        <w:t>s</w:t>
      </w:r>
      <w:r w:rsidRPr="00621D36">
        <w:rPr>
          <w:szCs w:val="20"/>
          <w:lang w:val="en-GB"/>
        </w:rPr>
        <w:t xml:space="preserve"> </w:t>
      </w:r>
      <w:r w:rsidR="00E57F2F">
        <w:rPr>
          <w:szCs w:val="20"/>
          <w:lang w:val="en-GB"/>
        </w:rPr>
        <w:t xml:space="preserve">in </w:t>
      </w:r>
      <w:r w:rsidRPr="00621D36">
        <w:rPr>
          <w:szCs w:val="20"/>
          <w:lang w:val="en-GB"/>
        </w:rPr>
        <w:t xml:space="preserve">this small design. Because stack identifiers and sensor-to-stack pairings were not retained, the </w:t>
      </w:r>
      <w:r w:rsidR="00A50198" w:rsidRPr="00621D36">
        <w:rPr>
          <w:i/>
          <w:szCs w:val="20"/>
          <w:lang w:val="en-GB"/>
        </w:rPr>
        <w:t>p</w:t>
      </w:r>
      <w:r w:rsidRPr="00621D36">
        <w:rPr>
          <w:szCs w:val="20"/>
          <w:lang w:val="en-GB"/>
        </w:rPr>
        <w:t>-values should not be read as definitive stack-level tests. The computation was carried out in Python 3 using the commented script, raw-workbook extraction path</w:t>
      </w:r>
      <w:r w:rsidR="00E57F2F">
        <w:rPr>
          <w:szCs w:val="20"/>
          <w:lang w:val="en-GB"/>
        </w:rPr>
        <w:t>,</w:t>
      </w:r>
      <w:r w:rsidRPr="00621D36">
        <w:rPr>
          <w:szCs w:val="20"/>
          <w:lang w:val="en-GB"/>
        </w:rPr>
        <w:t xml:space="preserve"> and derived per-sensor summaries prepared for the pressure ANOVA [26].</w:t>
      </w:r>
    </w:p>
    <w:p w14:paraId="458124EE" w14:textId="77777777" w:rsidR="002551AE" w:rsidRPr="00621D36" w:rsidRDefault="002551AE" w:rsidP="00370115">
      <w:pPr>
        <w:pStyle w:val="MDPI21heading1"/>
        <w:rPr>
          <w:szCs w:val="24"/>
          <w:lang w:val="en-GB"/>
        </w:rPr>
      </w:pPr>
      <w:r w:rsidRPr="00621D36">
        <w:rPr>
          <w:szCs w:val="24"/>
          <w:lang w:val="en-GB"/>
        </w:rPr>
        <w:t>3. Results and Discussion</w:t>
      </w:r>
    </w:p>
    <w:p w14:paraId="06729C33" w14:textId="32C23B5C" w:rsidR="002551AE" w:rsidRPr="00621D36" w:rsidRDefault="00370115" w:rsidP="00370115">
      <w:pPr>
        <w:pStyle w:val="MDPI22heading2"/>
        <w:rPr>
          <w:iCs/>
          <w:szCs w:val="20"/>
          <w:lang w:val="en-GB"/>
        </w:rPr>
      </w:pPr>
      <w:r w:rsidRPr="00621D36">
        <w:rPr>
          <w:iCs/>
          <w:szCs w:val="20"/>
          <w:lang w:val="en-GB"/>
        </w:rPr>
        <w:t xml:space="preserve">3.1. </w:t>
      </w:r>
      <w:r w:rsidR="002551AE" w:rsidRPr="00621D36">
        <w:rPr>
          <w:iCs/>
          <w:szCs w:val="20"/>
          <w:highlight w:val="yellow"/>
          <w:lang w:val="en-GB"/>
        </w:rPr>
        <w:t xml:space="preserve">Chemical </w:t>
      </w:r>
      <w:r w:rsidR="002D26D3" w:rsidRPr="00621D36">
        <w:rPr>
          <w:iCs/>
          <w:szCs w:val="20"/>
          <w:highlight w:val="yellow"/>
          <w:lang w:val="en-GB"/>
        </w:rPr>
        <w:t>Parameters</w:t>
      </w:r>
    </w:p>
    <w:p w14:paraId="75DF0CEB" w14:textId="408547CB" w:rsidR="002551AE" w:rsidRPr="00621D36" w:rsidRDefault="002551AE" w:rsidP="00370115">
      <w:pPr>
        <w:pStyle w:val="MDPI31text"/>
        <w:rPr>
          <w:szCs w:val="20"/>
          <w:lang w:val="en-GB"/>
        </w:rPr>
      </w:pPr>
      <w:r w:rsidRPr="00621D36">
        <w:rPr>
          <w:szCs w:val="20"/>
          <w:lang w:val="en-GB"/>
        </w:rPr>
        <w:t>The chemical comparison used bulk wine from the main trial grouped as C19 or C50 (</w:t>
      </w:r>
      <w:r w:rsidR="00E30B9E" w:rsidRPr="00621D36">
        <w:rPr>
          <w:szCs w:val="20"/>
          <w:lang w:val="en-GB"/>
        </w:rPr>
        <w:t>Table 2</w:t>
      </w:r>
      <w:r w:rsidRPr="00621D36">
        <w:rPr>
          <w:szCs w:val="20"/>
          <w:lang w:val="en-GB"/>
        </w:rPr>
        <w:t xml:space="preserve">). These labels denote chamber set points, not wine temperatures. The chemical results therefore describe differences between set-point groups, not the effect of exposing wine to 50 </w:t>
      </w:r>
      <w:r w:rsidR="00BC02DA" w:rsidRPr="00621D36">
        <w:rPr>
          <w:szCs w:val="20"/>
          <w:lang w:val="en-GB"/>
        </w:rPr>
        <w:t>°C</w:t>
      </w:r>
      <w:r w:rsidRPr="00621D36">
        <w:rPr>
          <w:szCs w:val="20"/>
          <w:lang w:val="en-GB"/>
        </w:rPr>
        <w:t>.</w:t>
      </w:r>
    </w:p>
    <w:p w14:paraId="08FF7CA6" w14:textId="4A8742CD" w:rsidR="002551AE" w:rsidRPr="00621D36" w:rsidRDefault="002551AE" w:rsidP="00370115">
      <w:pPr>
        <w:pStyle w:val="MDPI31text"/>
        <w:rPr>
          <w:szCs w:val="20"/>
          <w:lang w:val="en-GB"/>
        </w:rPr>
      </w:pPr>
      <w:r w:rsidRPr="00621D36">
        <w:rPr>
          <w:szCs w:val="20"/>
          <w:lang w:val="en-GB"/>
        </w:rPr>
        <w:t>Lactic acid was significantly higher in C50 wine (0.29 ± 0.02 g/L) than in C19 wine (0.16 ± 0.05 g/L) (</w:t>
      </w:r>
      <w:r w:rsidR="00E30B9E" w:rsidRPr="00621D36">
        <w:rPr>
          <w:szCs w:val="20"/>
          <w:lang w:val="en-GB"/>
        </w:rPr>
        <w:t>Table 2</w:t>
      </w:r>
      <w:r w:rsidRPr="00621D36">
        <w:rPr>
          <w:szCs w:val="20"/>
          <w:lang w:val="en-GB"/>
        </w:rPr>
        <w:t xml:space="preserve">). However, the available measurements do not allow the </w:t>
      </w:r>
      <w:r w:rsidRPr="00621D36">
        <w:rPr>
          <w:szCs w:val="20"/>
          <w:lang w:val="en-GB"/>
        </w:rPr>
        <w:lastRenderedPageBreak/>
        <w:t>mechanism underlying this difference to be established. Malic acid did not differ significantly between C50 and C19 (1.0 ± 0.16 and 1.1 ± 0.23 g/L, respectively), but the absence of a statistically significant decrease in malic acid is not sufficient to exclude limited malolactic activity. Since no microbiological measurements or viable cell counts were performed, residual malolactic or other microbial activity cannot be ruled out [21].</w:t>
      </w:r>
    </w:p>
    <w:p w14:paraId="4C5DA7B9" w14:textId="24AA5B01" w:rsidR="002551AE" w:rsidRPr="00621D36" w:rsidRDefault="002551AE" w:rsidP="00370115">
      <w:pPr>
        <w:pStyle w:val="MDPI31text"/>
        <w:rPr>
          <w:szCs w:val="20"/>
          <w:lang w:val="en-GB"/>
        </w:rPr>
      </w:pPr>
      <w:r w:rsidRPr="00621D36">
        <w:rPr>
          <w:szCs w:val="20"/>
          <w:lang w:val="en-GB"/>
        </w:rPr>
        <w:t>Volatile acidity, expressed as acetic acid, was higher in C50 wine (0.39 ± 0.03 g/L) than in C19 wine (0.30 ± 0.02 g/L) (</w:t>
      </w:r>
      <w:r w:rsidR="00E30B9E" w:rsidRPr="00621D36">
        <w:rPr>
          <w:szCs w:val="20"/>
          <w:lang w:val="en-GB"/>
        </w:rPr>
        <w:t>Table 2</w:t>
      </w:r>
      <w:r w:rsidRPr="00621D36">
        <w:rPr>
          <w:szCs w:val="20"/>
          <w:lang w:val="en-GB"/>
        </w:rPr>
        <w:t xml:space="preserve">). This value is below </w:t>
      </w:r>
      <w:r w:rsidR="00BA4916">
        <w:rPr>
          <w:szCs w:val="20"/>
          <w:lang w:val="en-GB"/>
        </w:rPr>
        <w:t xml:space="preserve">the </w:t>
      </w:r>
      <w:r w:rsidRPr="00621D36">
        <w:rPr>
          <w:szCs w:val="20"/>
          <w:lang w:val="en-GB"/>
        </w:rPr>
        <w:t xml:space="preserve">commonly used spoilage limits for table wine, but the study did not include sensory testing. The difference is consistent with warmer storage effects, including </w:t>
      </w:r>
      <w:r w:rsidR="00BA4916">
        <w:rPr>
          <w:szCs w:val="20"/>
          <w:lang w:val="en-GB"/>
        </w:rPr>
        <w:t xml:space="preserve">the </w:t>
      </w:r>
      <w:r w:rsidRPr="00621D36">
        <w:rPr>
          <w:szCs w:val="20"/>
          <w:lang w:val="en-GB"/>
        </w:rPr>
        <w:t>oxidative and hydrolytic pathways described for wine storage [18,19]. A microbiological contribution cannot be excluded because microbiological measurements were not collected.</w:t>
      </w:r>
    </w:p>
    <w:p w14:paraId="3FF83F9F" w14:textId="67F50487" w:rsidR="002551AE" w:rsidRPr="00621D36" w:rsidRDefault="002551AE" w:rsidP="00370115">
      <w:pPr>
        <w:pStyle w:val="MDPI31text"/>
        <w:rPr>
          <w:szCs w:val="20"/>
          <w:lang w:val="en-GB"/>
        </w:rPr>
      </w:pPr>
      <w:r w:rsidRPr="00621D36">
        <w:rPr>
          <w:szCs w:val="20"/>
          <w:lang w:val="en-GB"/>
        </w:rPr>
        <w:t>The largest practical between-condition difference concerned total and free SO</w:t>
      </w:r>
      <w:r w:rsidR="00BC02DA" w:rsidRPr="00621D36">
        <w:rPr>
          <w:szCs w:val="20"/>
          <w:vertAlign w:val="subscript"/>
          <w:lang w:val="en-GB"/>
        </w:rPr>
        <w:t>2</w:t>
      </w:r>
      <w:r w:rsidRPr="00621D36">
        <w:rPr>
          <w:szCs w:val="20"/>
          <w:lang w:val="en-GB"/>
        </w:rPr>
        <w:t>, both</w:t>
      </w:r>
      <w:r w:rsidR="00681632">
        <w:rPr>
          <w:szCs w:val="20"/>
          <w:lang w:val="en-GB"/>
        </w:rPr>
        <w:t xml:space="preserve"> of which were</w:t>
      </w:r>
      <w:r w:rsidRPr="00621D36">
        <w:rPr>
          <w:szCs w:val="20"/>
          <w:lang w:val="en-GB"/>
        </w:rPr>
        <w:t xml:space="preserve"> lower in C50 wine. Total SO</w:t>
      </w:r>
      <w:r w:rsidR="00BC02DA" w:rsidRPr="00621D36">
        <w:rPr>
          <w:szCs w:val="20"/>
          <w:vertAlign w:val="subscript"/>
          <w:lang w:val="en-GB"/>
        </w:rPr>
        <w:t>2</w:t>
      </w:r>
      <w:r w:rsidRPr="00621D36">
        <w:rPr>
          <w:szCs w:val="20"/>
          <w:lang w:val="en-GB"/>
        </w:rPr>
        <w:t xml:space="preserve"> was 25 ± 8.2 mg/L in C50 compared with 50 ± 5.5 mg/L in C19, and free SO</w:t>
      </w:r>
      <w:r w:rsidR="00BC02DA" w:rsidRPr="00621D36">
        <w:rPr>
          <w:szCs w:val="20"/>
          <w:vertAlign w:val="subscript"/>
          <w:lang w:val="en-GB"/>
        </w:rPr>
        <w:t>2</w:t>
      </w:r>
      <w:r w:rsidRPr="00621D36">
        <w:rPr>
          <w:szCs w:val="20"/>
          <w:lang w:val="en-GB"/>
        </w:rPr>
        <w:t xml:space="preserve"> was 16 ± 1.8 mg/L compared with 31 ± 2.5 mg/L (</w:t>
      </w:r>
      <w:r w:rsidR="00E30B9E" w:rsidRPr="00621D36">
        <w:rPr>
          <w:szCs w:val="20"/>
          <w:lang w:val="en-GB"/>
        </w:rPr>
        <w:t>Table 2</w:t>
      </w:r>
      <w:r w:rsidRPr="00621D36">
        <w:rPr>
          <w:szCs w:val="20"/>
          <w:lang w:val="en-GB"/>
        </w:rPr>
        <w:t>). Elevated storage temperature is known to accelerate SO</w:t>
      </w:r>
      <w:r w:rsidR="00BC02DA" w:rsidRPr="00621D36">
        <w:rPr>
          <w:szCs w:val="20"/>
          <w:vertAlign w:val="subscript"/>
          <w:lang w:val="en-GB"/>
        </w:rPr>
        <w:t>2</w:t>
      </w:r>
      <w:r w:rsidRPr="00621D36">
        <w:rPr>
          <w:szCs w:val="20"/>
          <w:lang w:val="en-GB"/>
        </w:rPr>
        <w:t xml:space="preserve"> decline and related ageing reactions [18,19]. Here, lower SO</w:t>
      </w:r>
      <w:r w:rsidR="00BC02DA" w:rsidRPr="00621D36">
        <w:rPr>
          <w:szCs w:val="20"/>
          <w:vertAlign w:val="subscript"/>
          <w:lang w:val="en-GB"/>
        </w:rPr>
        <w:t>2</w:t>
      </w:r>
      <w:r w:rsidRPr="00621D36">
        <w:rPr>
          <w:szCs w:val="20"/>
          <w:lang w:val="en-GB"/>
        </w:rPr>
        <w:t xml:space="preserve"> was observed after storage at measured in-bag temperatures of 25–34 </w:t>
      </w:r>
      <w:r w:rsidR="00BC02DA" w:rsidRPr="00621D36">
        <w:rPr>
          <w:szCs w:val="20"/>
          <w:lang w:val="en-GB"/>
        </w:rPr>
        <w:t>°C</w:t>
      </w:r>
      <w:r w:rsidRPr="00621D36">
        <w:rPr>
          <w:szCs w:val="20"/>
          <w:lang w:val="en-GB"/>
        </w:rPr>
        <w:t xml:space="preserve"> rather than 50 </w:t>
      </w:r>
      <w:r w:rsidR="00BC02DA" w:rsidRPr="00621D36">
        <w:rPr>
          <w:szCs w:val="20"/>
          <w:lang w:val="en-GB"/>
        </w:rPr>
        <w:t>°C</w:t>
      </w:r>
      <w:r w:rsidRPr="00621D36">
        <w:rPr>
          <w:szCs w:val="20"/>
          <w:lang w:val="en-GB"/>
        </w:rPr>
        <w:t>. Actual post-transport shelf life was not measured.</w:t>
      </w:r>
    </w:p>
    <w:p w14:paraId="31AD8151" w14:textId="2F3B81F3" w:rsidR="002551AE" w:rsidRPr="00621D36" w:rsidRDefault="002551AE" w:rsidP="00370115">
      <w:pPr>
        <w:pStyle w:val="MDPI31text"/>
        <w:rPr>
          <w:szCs w:val="20"/>
          <w:lang w:val="en-GB"/>
        </w:rPr>
      </w:pPr>
      <w:r w:rsidRPr="00621D36">
        <w:rPr>
          <w:szCs w:val="20"/>
          <w:lang w:val="en-GB"/>
        </w:rPr>
        <w:t>No significant between-condition difference was reported for pH, ethanol content</w:t>
      </w:r>
      <w:r w:rsidR="00681632">
        <w:rPr>
          <w:szCs w:val="20"/>
          <w:lang w:val="en-GB"/>
        </w:rPr>
        <w:t>,</w:t>
      </w:r>
      <w:r w:rsidRPr="00621D36">
        <w:rPr>
          <w:szCs w:val="20"/>
          <w:lang w:val="en-GB"/>
        </w:rPr>
        <w:t xml:space="preserve"> or titratable acidity. Total phenols, expressed as catechins, also did not differ significantly (1.02 ± 0.12 g/L in C19 against 1.10 ± 0.07 g/L in C50) (Table 2).</w:t>
      </w:r>
    </w:p>
    <w:p w14:paraId="7FA66617" w14:textId="29455135" w:rsidR="002551AE" w:rsidRPr="00621D36" w:rsidRDefault="00370115" w:rsidP="00370115">
      <w:pPr>
        <w:pStyle w:val="MDPI22heading2"/>
        <w:spacing w:before="240"/>
        <w:rPr>
          <w:iCs/>
          <w:szCs w:val="20"/>
          <w:lang w:val="en-GB"/>
        </w:rPr>
      </w:pPr>
      <w:r w:rsidRPr="00621D36">
        <w:rPr>
          <w:szCs w:val="20"/>
          <w:lang w:val="en-GB"/>
        </w:rPr>
        <w:t xml:space="preserve">3.2. </w:t>
      </w:r>
      <w:r w:rsidR="002551AE" w:rsidRPr="00621D36">
        <w:rPr>
          <w:szCs w:val="20"/>
          <w:highlight w:val="yellow"/>
          <w:lang w:val="en-GB"/>
        </w:rPr>
        <w:t xml:space="preserve">Physical </w:t>
      </w:r>
      <w:r w:rsidR="002D26D3" w:rsidRPr="00621D36">
        <w:rPr>
          <w:szCs w:val="20"/>
          <w:highlight w:val="yellow"/>
          <w:lang w:val="en-GB"/>
        </w:rPr>
        <w:t>Parameters</w:t>
      </w:r>
    </w:p>
    <w:p w14:paraId="2DA7753F" w14:textId="29CE1CC1" w:rsidR="002551AE" w:rsidRPr="00621D36" w:rsidRDefault="002551AE" w:rsidP="00370115">
      <w:pPr>
        <w:pStyle w:val="MDPI31text"/>
        <w:rPr>
          <w:szCs w:val="20"/>
          <w:lang w:val="en-GB"/>
        </w:rPr>
      </w:pPr>
      <w:r w:rsidRPr="00621D36">
        <w:rPr>
          <w:szCs w:val="20"/>
          <w:lang w:val="en-GB"/>
        </w:rPr>
        <w:t>Three stacks of 3</w:t>
      </w:r>
      <w:r w:rsidR="00B2067C" w:rsidRPr="00B2067C">
        <w:rPr>
          <w:szCs w:val="20"/>
          <w:lang w:val="en-GB"/>
        </w:rPr>
        <w:t xml:space="preserve"> </w:t>
      </w:r>
      <w:r w:rsidRPr="00621D36">
        <w:rPr>
          <w:szCs w:val="20"/>
          <w:lang w:val="en-GB"/>
        </w:rPr>
        <w:t xml:space="preserve">L </w:t>
      </w:r>
      <w:proofErr w:type="spellStart"/>
      <w:r w:rsidRPr="00621D36">
        <w:rPr>
          <w:szCs w:val="20"/>
          <w:lang w:val="en-GB"/>
        </w:rPr>
        <w:t>BiB</w:t>
      </w:r>
      <w:proofErr w:type="spellEnd"/>
      <w:r w:rsidRPr="00621D36">
        <w:rPr>
          <w:szCs w:val="20"/>
          <w:lang w:val="en-GB"/>
        </w:rPr>
        <w:t xml:space="preserve"> units were monitored for 20 days in each set-point chamber (</w:t>
      </w:r>
      <w:r w:rsidR="00E30B9E" w:rsidRPr="00621D36">
        <w:rPr>
          <w:szCs w:val="20"/>
          <w:lang w:val="en-GB"/>
        </w:rPr>
        <w:t>Figure 3</w:t>
      </w:r>
      <w:r w:rsidRPr="00621D36">
        <w:rPr>
          <w:szCs w:val="20"/>
          <w:lang w:val="en-GB"/>
        </w:rPr>
        <w:t xml:space="preserve">; </w:t>
      </w:r>
      <w:r w:rsidR="00E30B9E" w:rsidRPr="00621D36">
        <w:rPr>
          <w:szCs w:val="20"/>
          <w:lang w:val="en-GB"/>
        </w:rPr>
        <w:t>Table 1</w:t>
      </w:r>
      <w:r w:rsidRPr="00621D36">
        <w:rPr>
          <w:szCs w:val="20"/>
          <w:lang w:val="en-GB"/>
        </w:rPr>
        <w:t>). Baseline-referred pressure showed a short early transient, followed by a broad rise-and-fall pattern. The traces also shared substantial common-mode behaviour, so the absolute pressure trajectory cannot be attributed only to package pressurisation and relaxation. Individual post-handling pressure maxima occurred between day 3 + 13 h and day 5 + 19 h</w:t>
      </w:r>
      <w:r w:rsidRPr="00621D36">
        <w:rPr>
          <w:szCs w:val="20"/>
          <w:lang w:val="en-GB" w:bidi="fa-IR"/>
        </w:rPr>
        <w:t xml:space="preserve"> </w:t>
      </w:r>
      <w:r w:rsidRPr="00621D36">
        <w:rPr>
          <w:szCs w:val="20"/>
          <w:lang w:val="en-GB"/>
        </w:rPr>
        <w:t>after the start of monitoring.</w:t>
      </w:r>
    </w:p>
    <w:p w14:paraId="0C49B327" w14:textId="6331EE6E" w:rsidR="002551AE" w:rsidRPr="00621D36" w:rsidRDefault="002551AE" w:rsidP="00370115">
      <w:pPr>
        <w:pStyle w:val="MDPI31text"/>
        <w:rPr>
          <w:szCs w:val="20"/>
          <w:lang w:val="en-GB"/>
        </w:rPr>
      </w:pPr>
      <w:r w:rsidRPr="00621D36">
        <w:rPr>
          <w:szCs w:val="20"/>
          <w:lang w:val="en-GB"/>
        </w:rPr>
        <w:t>The first 16 h are shown separately in Figure 4, with the first 5 h marked as the handling/stacking interval. That interval was not a controlled storage exposure, and the 30</w:t>
      </w:r>
      <w:r w:rsidR="00B2067C" w:rsidRPr="00B2067C">
        <w:rPr>
          <w:szCs w:val="20"/>
          <w:lang w:val="en-GB"/>
        </w:rPr>
        <w:t xml:space="preserve"> </w:t>
      </w:r>
      <w:r w:rsidRPr="00621D36">
        <w:rPr>
          <w:szCs w:val="20"/>
          <w:lang w:val="en-GB"/>
        </w:rPr>
        <w:t>min sampling interval was too coarse to resolve rapid transients. In a sensitivity analysis, including the first 5 h did not change the primary peak-pressure endpoint: the full-record maximum ΔP matched the post-handling maximum for all 11 usable sensors. The interval is therefore reported descriptively but excluded from the primary storage analysis.</w:t>
      </w:r>
    </w:p>
    <w:p w14:paraId="026A9AAA" w14:textId="288A9732" w:rsidR="002551AE" w:rsidRPr="00621D36" w:rsidRDefault="002551AE" w:rsidP="00370115">
      <w:pPr>
        <w:pStyle w:val="MDPI31text"/>
        <w:rPr>
          <w:szCs w:val="20"/>
          <w:lang w:val="en-GB"/>
        </w:rPr>
      </w:pPr>
      <w:r w:rsidRPr="00621D36">
        <w:rPr>
          <w:szCs w:val="20"/>
          <w:lang w:val="en-GB"/>
        </w:rPr>
        <w:t xml:space="preserve">After the handling window, uncorrected peak ΔP ranged from about 56 to 94 mbar. In C50, mean peak ΔP was 83.0 ± 17.2 mbar in </w:t>
      </w:r>
      <w:r w:rsidR="004A5012">
        <w:rPr>
          <w:szCs w:val="20"/>
          <w:lang w:val="en-GB"/>
        </w:rPr>
        <w:t xml:space="preserve">the </w:t>
      </w:r>
      <w:r w:rsidRPr="00621D36">
        <w:rPr>
          <w:szCs w:val="20"/>
          <w:lang w:val="en-GB"/>
        </w:rPr>
        <w:t xml:space="preserve">bottom units and 66.6 ± 10.1 mbar in </w:t>
      </w:r>
      <w:r w:rsidR="004A5012">
        <w:rPr>
          <w:szCs w:val="20"/>
          <w:lang w:val="en-GB"/>
        </w:rPr>
        <w:t xml:space="preserve">the </w:t>
      </w:r>
      <w:r w:rsidRPr="00621D36">
        <w:rPr>
          <w:szCs w:val="20"/>
          <w:lang w:val="en-GB"/>
        </w:rPr>
        <w:t xml:space="preserve">top units. In C19, the corresponding values were 84.8 ± 8.8 and 59.6 ± 5.1 mbar (Figure 5A). In the exploratory sensor-level Type II ANOVA, stack position was associated with uncorrected peak ΔP (F(1,8) = 9.14; </w:t>
      </w:r>
      <w:r w:rsidR="00A50198" w:rsidRPr="00621D36">
        <w:rPr>
          <w:i/>
          <w:szCs w:val="20"/>
          <w:lang w:val="en-GB"/>
        </w:rPr>
        <w:t>p</w:t>
      </w:r>
      <w:r w:rsidRPr="00621D36">
        <w:rPr>
          <w:szCs w:val="20"/>
          <w:lang w:val="en-GB"/>
        </w:rPr>
        <w:t xml:space="preserve"> = 0.017), with an adjusted bottom-minus-top difference of 20.4 mbar (95% CI 4.8–35.9 mbar). The set-point factor was not statistically detectable (F(1,8) = 0.21; </w:t>
      </w:r>
      <w:r w:rsidR="00A50198" w:rsidRPr="00621D36">
        <w:rPr>
          <w:i/>
          <w:szCs w:val="20"/>
          <w:lang w:val="en-GB"/>
        </w:rPr>
        <w:t>p</w:t>
      </w:r>
      <w:r w:rsidRPr="00621D36">
        <w:rPr>
          <w:szCs w:val="20"/>
          <w:lang w:val="en-GB"/>
        </w:rPr>
        <w:t xml:space="preserve"> = 0.66), and the interaction was not significant (</w:t>
      </w:r>
      <w:r w:rsidR="00A50198" w:rsidRPr="00621D36">
        <w:rPr>
          <w:i/>
          <w:szCs w:val="20"/>
          <w:lang w:val="en-GB"/>
        </w:rPr>
        <w:t>p</w:t>
      </w:r>
      <w:r w:rsidRPr="00621D36">
        <w:rPr>
          <w:szCs w:val="20"/>
          <w:lang w:val="en-GB"/>
        </w:rPr>
        <w:t xml:space="preserve"> = 0.56). By day 20, neither position (F(1,8) = 0.35; </w:t>
      </w:r>
      <w:r w:rsidR="00A50198" w:rsidRPr="00621D36">
        <w:rPr>
          <w:i/>
          <w:szCs w:val="20"/>
          <w:lang w:val="en-GB"/>
        </w:rPr>
        <w:t>p</w:t>
      </w:r>
      <w:r w:rsidRPr="00621D36">
        <w:rPr>
          <w:szCs w:val="20"/>
          <w:lang w:val="en-GB"/>
        </w:rPr>
        <w:t xml:space="preserve"> = 0.57) nor set-point factor (F(1,8) = 0.81; </w:t>
      </w:r>
      <w:r w:rsidR="00A50198" w:rsidRPr="00621D36">
        <w:rPr>
          <w:i/>
          <w:szCs w:val="20"/>
          <w:lang w:val="en-GB"/>
        </w:rPr>
        <w:t>p</w:t>
      </w:r>
      <w:r w:rsidRPr="00621D36">
        <w:rPr>
          <w:szCs w:val="20"/>
          <w:lang w:val="en-GB"/>
        </w:rPr>
        <w:t xml:space="preserve"> = 0.39) was statistically detectable (Figure 5B).</w:t>
      </w:r>
    </w:p>
    <w:p w14:paraId="4EBC27C6" w14:textId="21CB3898" w:rsidR="002551AE" w:rsidRPr="00621D36" w:rsidRDefault="000345D6" w:rsidP="00370115">
      <w:pPr>
        <w:pStyle w:val="MDPI31text"/>
        <w:rPr>
          <w:szCs w:val="20"/>
          <w:lang w:val="en-GB"/>
        </w:rPr>
      </w:pPr>
      <w:r>
        <w:rPr>
          <w:szCs w:val="20"/>
          <w:lang w:val="en-GB"/>
        </w:rPr>
        <w:t>The m</w:t>
      </w:r>
      <w:r w:rsidRPr="00621D36">
        <w:rPr>
          <w:szCs w:val="20"/>
          <w:lang w:val="en-GB"/>
        </w:rPr>
        <w:t xml:space="preserve">easured </w:t>
      </w:r>
      <w:r w:rsidR="002551AE" w:rsidRPr="00621D36">
        <w:rPr>
          <w:szCs w:val="20"/>
          <w:lang w:val="en-GB"/>
        </w:rPr>
        <w:t xml:space="preserve">in-bag temperature differed markedly from the set points (Figure 3). In C19, late temperatures averaged 23.5 ± 0.2 </w:t>
      </w:r>
      <w:r w:rsidR="00BC02DA" w:rsidRPr="00621D36">
        <w:rPr>
          <w:szCs w:val="20"/>
          <w:lang w:val="en-GB"/>
        </w:rPr>
        <w:t>°C</w:t>
      </w:r>
      <w:r w:rsidR="002551AE" w:rsidRPr="00621D36">
        <w:rPr>
          <w:szCs w:val="20"/>
          <w:lang w:val="en-GB"/>
        </w:rPr>
        <w:t xml:space="preserve"> at the top and 22.8 ± 0.3 </w:t>
      </w:r>
      <w:r w:rsidR="00BC02DA" w:rsidRPr="00621D36">
        <w:rPr>
          <w:szCs w:val="20"/>
          <w:lang w:val="en-GB"/>
        </w:rPr>
        <w:t>°C</w:t>
      </w:r>
      <w:r w:rsidR="002551AE" w:rsidRPr="00621D36">
        <w:rPr>
          <w:szCs w:val="20"/>
          <w:lang w:val="en-GB"/>
        </w:rPr>
        <w:t xml:space="preserve"> at the bottom. In C50, packages remained far below the set point</w:t>
      </w:r>
      <w:r w:rsidR="003D0598">
        <w:rPr>
          <w:szCs w:val="20"/>
          <w:lang w:val="en-GB"/>
        </w:rPr>
        <w:t>, with</w:t>
      </w:r>
      <w:r w:rsidR="002551AE" w:rsidRPr="00621D36">
        <w:rPr>
          <w:szCs w:val="20"/>
          <w:lang w:val="en-GB"/>
        </w:rPr>
        <w:t xml:space="preserve"> 34.2 ± 0.4 </w:t>
      </w:r>
      <w:r w:rsidR="00BC02DA" w:rsidRPr="00621D36">
        <w:rPr>
          <w:szCs w:val="20"/>
          <w:lang w:val="en-GB"/>
        </w:rPr>
        <w:t>°C</w:t>
      </w:r>
      <w:r w:rsidR="002551AE" w:rsidRPr="00621D36">
        <w:rPr>
          <w:szCs w:val="20"/>
          <w:lang w:val="en-GB"/>
        </w:rPr>
        <w:t xml:space="preserve"> at the top and 26.1 ± 0.2 </w:t>
      </w:r>
      <w:r w:rsidR="00BC02DA" w:rsidRPr="00621D36">
        <w:rPr>
          <w:szCs w:val="20"/>
          <w:lang w:val="en-GB"/>
        </w:rPr>
        <w:t>°C</w:t>
      </w:r>
      <w:r w:rsidR="002551AE" w:rsidRPr="00621D36">
        <w:rPr>
          <w:szCs w:val="20"/>
          <w:lang w:val="en-GB"/>
        </w:rPr>
        <w:t xml:space="preserve"> at the bottom. The warmest individual main-trial sensor reached 35.3 </w:t>
      </w:r>
      <w:r w:rsidR="00BC02DA" w:rsidRPr="00621D36">
        <w:rPr>
          <w:szCs w:val="20"/>
          <w:lang w:val="en-GB"/>
        </w:rPr>
        <w:t>°C</w:t>
      </w:r>
      <w:r w:rsidR="002551AE" w:rsidRPr="00621D36">
        <w:rPr>
          <w:szCs w:val="20"/>
          <w:lang w:val="en-GB"/>
        </w:rPr>
        <w:t>. By day 20, temperatures were stable</w:t>
      </w:r>
      <w:r w:rsidR="006F74EC">
        <w:rPr>
          <w:szCs w:val="20"/>
          <w:lang w:val="en-GB"/>
        </w:rPr>
        <w:t xml:space="preserve"> and</w:t>
      </w:r>
      <w:r w:rsidR="002551AE" w:rsidRPr="00621D36">
        <w:rPr>
          <w:szCs w:val="20"/>
          <w:lang w:val="en-GB"/>
        </w:rPr>
        <w:t xml:space="preserve"> far below 50 </w:t>
      </w:r>
      <w:r w:rsidR="00BC02DA" w:rsidRPr="00621D36">
        <w:rPr>
          <w:szCs w:val="20"/>
          <w:lang w:val="en-GB"/>
        </w:rPr>
        <w:t>°C</w:t>
      </w:r>
      <w:r w:rsidR="002551AE" w:rsidRPr="00621D36">
        <w:rPr>
          <w:szCs w:val="20"/>
          <w:lang w:val="en-GB"/>
        </w:rPr>
        <w:t>, indicating that the effective thermal environment around the main-trial C50 packages did not reach the programmed set point; this is consistent with sustained under-delivery, stratification</w:t>
      </w:r>
      <w:r w:rsidR="0051425B">
        <w:rPr>
          <w:szCs w:val="20"/>
          <w:lang w:val="en-GB"/>
        </w:rPr>
        <w:t>,</w:t>
      </w:r>
      <w:r w:rsidR="002551AE" w:rsidRPr="00621D36">
        <w:rPr>
          <w:szCs w:val="20"/>
          <w:lang w:val="en-GB"/>
        </w:rPr>
        <w:t xml:space="preserve"> or loading-related heat-transfer limitation rather than only a short thermal lag. The pressure comparison must therefore </w:t>
      </w:r>
      <w:r w:rsidR="002551AE" w:rsidRPr="00621D36">
        <w:rPr>
          <w:szCs w:val="20"/>
          <w:lang w:val="en-GB"/>
        </w:rPr>
        <w:lastRenderedPageBreak/>
        <w:t xml:space="preserve">be read with the local temperature gradient in mind. The position-related peak-pressure offset was not aligned with the measured thermal gradient. In C19, the top–bottom temperature difference was small, about 0.7 </w:t>
      </w:r>
      <w:r w:rsidR="00BC02DA" w:rsidRPr="00621D36">
        <w:rPr>
          <w:szCs w:val="20"/>
          <w:lang w:val="en-GB"/>
        </w:rPr>
        <w:t>°C</w:t>
      </w:r>
      <w:r w:rsidR="002551AE" w:rsidRPr="00621D36">
        <w:rPr>
          <w:szCs w:val="20"/>
          <w:lang w:val="en-GB"/>
        </w:rPr>
        <w:t xml:space="preserve">, while the bottom-minus-top mean peak ΔP was about 25.2 mbar. In C50, the thermal gradient was much larger, about 8.1 </w:t>
      </w:r>
      <w:r w:rsidR="00BC02DA" w:rsidRPr="00621D36">
        <w:rPr>
          <w:szCs w:val="20"/>
          <w:lang w:val="en-GB"/>
        </w:rPr>
        <w:t>°C</w:t>
      </w:r>
      <w:r w:rsidR="002551AE" w:rsidRPr="00621D36">
        <w:rPr>
          <w:szCs w:val="20"/>
          <w:lang w:val="en-GB"/>
        </w:rPr>
        <w:t>, but the bottom-minus-top mean peak ΔP was smaller, about 16.4 mbar. This pattern argues against a simple temperature-drift or thermal-expansion explanation for the peak-pressure offset. It is more consistent with a position</w:t>
      </w:r>
      <w:r w:rsidR="00243770">
        <w:rPr>
          <w:szCs w:val="20"/>
          <w:lang w:val="en-GB"/>
        </w:rPr>
        <w:t>-</w:t>
      </w:r>
      <w:r w:rsidR="002551AE" w:rsidRPr="00621D36">
        <w:rPr>
          <w:szCs w:val="20"/>
          <w:lang w:val="en-GB"/>
        </w:rPr>
        <w:t>/load-related package response under the tested stacking configuration.</w:t>
      </w:r>
    </w:p>
    <w:p w14:paraId="234EC3BB" w14:textId="3ED0D171" w:rsidR="002551AE" w:rsidRPr="00621D36" w:rsidRDefault="002551AE" w:rsidP="00370115">
      <w:pPr>
        <w:adjustRightInd w:val="0"/>
        <w:snapToGrid w:val="0"/>
        <w:ind w:left="2608" w:firstLine="425"/>
        <w:rPr>
          <w:snapToGrid w:val="0"/>
          <w:lang w:val="en-GB" w:bidi="fa-IR"/>
          <w14:ligatures w14:val="standardContextual"/>
        </w:rPr>
      </w:pPr>
      <w:r w:rsidRPr="00621D36">
        <w:rPr>
          <w:rFonts w:eastAsia="Times New Roman"/>
          <w:snapToGrid w:val="0"/>
          <w:lang w:val="en-GB" w:eastAsia="de-DE" w:bidi="en-US"/>
          <w14:ligatures w14:val="standardContextual"/>
        </w:rPr>
        <w:t xml:space="preserve">Internal diagnostics showed strong common-mode structure across pressure traces: leave-one-out correlations between each sensor and the mean of the remaining sensors averaged 0.94. This indicates that the absolute pressure trajectories shared a substantial common-mode component, consistent with external or chamber-level pressure variation superimposed on package-level responses. However, a common additive pressure component does not by itself explain a top-versus-bottom contrast when sensors are compared at matched endpoint times. When common-mode residuals were evaluated at the original uncorrected peak times, the position term remained statistically detectable (F(1,8) = 9.02; </w:t>
      </w:r>
      <w:r w:rsidR="00A50198" w:rsidRPr="00621D36">
        <w:rPr>
          <w:rFonts w:eastAsia="Times New Roman"/>
          <w:i/>
          <w:snapToGrid w:val="0"/>
          <w:lang w:val="en-GB" w:eastAsia="de-DE" w:bidi="en-US"/>
          <w14:ligatures w14:val="standardContextual"/>
        </w:rPr>
        <w:t>p</w:t>
      </w:r>
      <w:r w:rsidRPr="00621D36">
        <w:rPr>
          <w:rFonts w:eastAsia="Times New Roman"/>
          <w:snapToGrid w:val="0"/>
          <w:lang w:val="en-GB" w:eastAsia="de-DE" w:bidi="en-US"/>
          <w14:ligatures w14:val="standardContextual"/>
        </w:rPr>
        <w:t xml:space="preserve"> = 0.017). So, the alternative maximum-residual endpoint was not statistically detectable (F(1,8) = 3.21; </w:t>
      </w:r>
      <w:r w:rsidR="00A50198" w:rsidRPr="00621D36">
        <w:rPr>
          <w:rFonts w:eastAsia="Times New Roman"/>
          <w:i/>
          <w:snapToGrid w:val="0"/>
          <w:lang w:val="en-GB" w:eastAsia="de-DE" w:bidi="en-US"/>
          <w14:ligatures w14:val="standardContextual"/>
        </w:rPr>
        <w:t>p</w:t>
      </w:r>
      <w:r w:rsidRPr="00621D36">
        <w:rPr>
          <w:rFonts w:eastAsia="Times New Roman"/>
          <w:snapToGrid w:val="0"/>
          <w:lang w:val="en-GB" w:eastAsia="de-DE" w:bidi="en-US"/>
          <w14:ligatures w14:val="standardContextual"/>
        </w:rPr>
        <w:t xml:space="preserve"> = 0.111). However, this represents a different endpoint definition rather than a direct correction of the original peak-pressure endpoint. Leave-one-out analysis of the uncorrected endpoint gave position </w:t>
      </w:r>
      <w:r w:rsidR="00A50198" w:rsidRPr="00621D36">
        <w:rPr>
          <w:rFonts w:eastAsia="Times New Roman"/>
          <w:i/>
          <w:snapToGrid w:val="0"/>
          <w:lang w:val="en-GB" w:eastAsia="de-DE" w:bidi="en-US"/>
          <w14:ligatures w14:val="standardContextual"/>
        </w:rPr>
        <w:t>p</w:t>
      </w:r>
      <w:r w:rsidRPr="00621D36">
        <w:rPr>
          <w:rFonts w:eastAsia="Times New Roman"/>
          <w:snapToGrid w:val="0"/>
          <w:lang w:val="en-GB" w:eastAsia="de-DE" w:bidi="en-US"/>
          <w14:ligatures w14:val="standardContextual"/>
        </w:rPr>
        <w:t>-values from 0.0007 to 0.051. The pressure result is therefore interpreted as a transient position-related offset superimposed on strong common-mode absolute-pressure variation, and it remains exploratory because of the small unbalanced sensor-level design, the missing bottom C19 trace, the absence of barometric reference logging</w:t>
      </w:r>
      <w:r w:rsidR="00EE3CDB">
        <w:rPr>
          <w:rFonts w:eastAsia="Times New Roman"/>
          <w:snapToGrid w:val="0"/>
          <w:lang w:val="en-GB" w:eastAsia="de-DE" w:bidi="en-US"/>
          <w14:ligatures w14:val="standardContextual"/>
        </w:rPr>
        <w:t>,</w:t>
      </w:r>
      <w:r w:rsidRPr="00621D36">
        <w:rPr>
          <w:rFonts w:eastAsia="Times New Roman"/>
          <w:snapToGrid w:val="0"/>
          <w:lang w:val="en-GB" w:eastAsia="de-DE" w:bidi="en-US"/>
          <w14:ligatures w14:val="standardContextual"/>
        </w:rPr>
        <w:t xml:space="preserve"> and the lack of retained stack pairings. These diagnostics are summarised visually in Supplementary Figure S1.</w:t>
      </w:r>
    </w:p>
    <w:p w14:paraId="1FB79D86" w14:textId="77777777" w:rsidR="002551AE" w:rsidRPr="00621D36" w:rsidRDefault="002551AE" w:rsidP="008C39D0">
      <w:pPr>
        <w:pStyle w:val="MDPI52figure"/>
        <w:rPr>
          <w:lang w:val="en-GB" w:bidi="fa-IR"/>
        </w:rPr>
      </w:pPr>
      <w:r w:rsidRPr="00621D36">
        <w:rPr>
          <w:noProof/>
          <w:lang w:val="en-GB"/>
        </w:rPr>
        <w:drawing>
          <wp:inline distT="0" distB="0" distL="0" distR="0" wp14:anchorId="116CDE39" wp14:editId="3DAB3C27">
            <wp:extent cx="5943600" cy="3883272"/>
            <wp:effectExtent l="0" t="0" r="0" b="3175"/>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4"/>
                    <a:stretch>
                      <a:fillRect/>
                    </a:stretch>
                  </pic:blipFill>
                  <pic:spPr bwMode="auto">
                    <a:xfrm>
                      <a:off x="0" y="0"/>
                      <a:ext cx="5958666" cy="3893116"/>
                    </a:xfrm>
                    <a:prstGeom prst="rect">
                      <a:avLst/>
                    </a:prstGeom>
                  </pic:spPr>
                </pic:pic>
              </a:graphicData>
            </a:graphic>
          </wp:inline>
        </w:drawing>
      </w:r>
    </w:p>
    <w:p w14:paraId="6222E72F" w14:textId="544EE805" w:rsidR="002551AE" w:rsidRPr="00621D36" w:rsidRDefault="002551AE" w:rsidP="00370115">
      <w:pPr>
        <w:pStyle w:val="MDPI51figurecaption"/>
        <w:jc w:val="both"/>
        <w:rPr>
          <w:snapToGrid w:val="0"/>
          <w:szCs w:val="18"/>
          <w:lang w:val="en-GB"/>
        </w:rPr>
      </w:pPr>
      <w:commentRangeStart w:id="17"/>
      <w:r w:rsidRPr="00621D36">
        <w:rPr>
          <w:b/>
          <w:bCs/>
          <w:snapToGrid w:val="0"/>
          <w:szCs w:val="18"/>
          <w:highlight w:val="yellow"/>
          <w:lang w:val="en-GB"/>
        </w:rPr>
        <w:t xml:space="preserve">Figure </w:t>
      </w:r>
      <w:commentRangeEnd w:id="17"/>
      <w:r w:rsidR="00673AE6" w:rsidRPr="00621D36">
        <w:rPr>
          <w:rStyle w:val="CommentReference"/>
          <w:b/>
          <w:bCs/>
          <w:snapToGrid w:val="0"/>
          <w:sz w:val="18"/>
          <w:szCs w:val="18"/>
          <w:lang w:val="en-GB"/>
        </w:rPr>
        <w:commentReference w:id="17"/>
      </w:r>
      <w:r w:rsidRPr="00621D36">
        <w:rPr>
          <w:b/>
          <w:bCs/>
          <w:snapToGrid w:val="0"/>
          <w:szCs w:val="18"/>
          <w:lang w:val="en-GB"/>
        </w:rPr>
        <w:t xml:space="preserve">3. </w:t>
      </w:r>
      <w:r w:rsidRPr="00621D36">
        <w:rPr>
          <w:snapToGrid w:val="0"/>
          <w:szCs w:val="18"/>
          <w:lang w:val="en-GB"/>
        </w:rPr>
        <w:t xml:space="preserve">Main-trial in-bag pressure and temperature over 20 days. </w:t>
      </w:r>
      <w:r w:rsidR="00466168">
        <w:rPr>
          <w:rFonts w:eastAsiaTheme="minorEastAsia" w:hint="eastAsia"/>
          <w:snapToGrid w:val="0"/>
          <w:szCs w:val="18"/>
          <w:lang w:val="en-GB" w:eastAsia="zh-CN"/>
        </w:rPr>
        <w:t>(</w:t>
      </w:r>
      <w:r w:rsidRPr="00621D36">
        <w:rPr>
          <w:b/>
          <w:bCs/>
          <w:snapToGrid w:val="0"/>
          <w:szCs w:val="18"/>
          <w:lang w:val="en-GB"/>
        </w:rPr>
        <w:t>Upper panels</w:t>
      </w:r>
      <w:r w:rsidR="00466168" w:rsidRPr="00466168">
        <w:rPr>
          <w:rFonts w:eastAsiaTheme="minorEastAsia" w:hint="eastAsia"/>
          <w:snapToGrid w:val="0"/>
          <w:szCs w:val="18"/>
          <w:lang w:val="en-GB" w:eastAsia="zh-CN"/>
        </w:rPr>
        <w:t>)</w:t>
      </w:r>
      <w:r w:rsidRPr="00621D36">
        <w:rPr>
          <w:snapToGrid w:val="0"/>
          <w:szCs w:val="18"/>
          <w:lang w:val="en-GB"/>
        </w:rPr>
        <w:t xml:space="preserve"> show pressure change relative to each sensor</w:t>
      </w:r>
      <w:r w:rsidR="00E30B9E" w:rsidRPr="00621D36">
        <w:rPr>
          <w:snapToGrid w:val="0"/>
          <w:szCs w:val="18"/>
          <w:lang w:val="en-GB"/>
        </w:rPr>
        <w:t>’</w:t>
      </w:r>
      <w:r w:rsidRPr="00621D36">
        <w:rPr>
          <w:snapToGrid w:val="0"/>
          <w:szCs w:val="18"/>
          <w:lang w:val="en-GB"/>
        </w:rPr>
        <w:t xml:space="preserve">s initial valid pressure (ΔP); </w:t>
      </w:r>
      <w:r w:rsidR="00466168">
        <w:rPr>
          <w:rFonts w:eastAsiaTheme="minorEastAsia" w:hint="eastAsia"/>
          <w:snapToGrid w:val="0"/>
          <w:szCs w:val="18"/>
          <w:lang w:val="en-GB" w:eastAsia="zh-CN"/>
        </w:rPr>
        <w:t>(</w:t>
      </w:r>
      <w:r w:rsidRPr="00621D36">
        <w:rPr>
          <w:b/>
          <w:bCs/>
          <w:snapToGrid w:val="0"/>
          <w:szCs w:val="18"/>
          <w:lang w:val="en-GB"/>
        </w:rPr>
        <w:t>lower panels</w:t>
      </w:r>
      <w:r w:rsidR="00466168" w:rsidRPr="00466168">
        <w:rPr>
          <w:rFonts w:eastAsiaTheme="minorEastAsia" w:hint="eastAsia"/>
          <w:snapToGrid w:val="0"/>
          <w:szCs w:val="18"/>
          <w:lang w:val="en-GB" w:eastAsia="zh-CN"/>
        </w:rPr>
        <w:t>)</w:t>
      </w:r>
      <w:r w:rsidRPr="00621D36">
        <w:rPr>
          <w:snapToGrid w:val="0"/>
          <w:szCs w:val="18"/>
          <w:lang w:val="en-GB"/>
        </w:rPr>
        <w:t xml:space="preserve"> show measured in-bag temperature. (</w:t>
      </w:r>
      <w:r w:rsidRPr="00621D36">
        <w:rPr>
          <w:b/>
          <w:bCs/>
          <w:snapToGrid w:val="0"/>
          <w:szCs w:val="18"/>
          <w:lang w:val="en-GB"/>
        </w:rPr>
        <w:t>A</w:t>
      </w:r>
      <w:r w:rsidRPr="00621D36">
        <w:rPr>
          <w:snapToGrid w:val="0"/>
          <w:szCs w:val="18"/>
          <w:lang w:val="en-GB"/>
        </w:rPr>
        <w:t>) C50 set-point chamber; (</w:t>
      </w:r>
      <w:r w:rsidRPr="00621D36">
        <w:rPr>
          <w:b/>
          <w:bCs/>
          <w:snapToGrid w:val="0"/>
          <w:szCs w:val="18"/>
          <w:lang w:val="en-GB"/>
        </w:rPr>
        <w:t>B</w:t>
      </w:r>
      <w:r w:rsidRPr="00621D36">
        <w:rPr>
          <w:snapToGrid w:val="0"/>
          <w:szCs w:val="18"/>
          <w:lang w:val="en-GB"/>
        </w:rPr>
        <w:t xml:space="preserve">) C19 set-point chamber. Solid lines are means and </w:t>
      </w:r>
      <w:r w:rsidRPr="00621D36">
        <w:rPr>
          <w:snapToGrid w:val="0"/>
          <w:szCs w:val="18"/>
          <w:lang w:val="en-GB"/>
        </w:rPr>
        <w:lastRenderedPageBreak/>
        <w:t xml:space="preserve">shaded bands are ±1 SD. Usable sensor traces were </w:t>
      </w:r>
      <w:r w:rsidRPr="00621D36">
        <w:rPr>
          <w:snapToGrid w:val="0"/>
          <w:szCs w:val="18"/>
          <w:highlight w:val="yellow"/>
          <w:lang w:val="en-GB"/>
        </w:rPr>
        <w:t>n</w:t>
      </w:r>
      <w:r w:rsidRPr="00621D36">
        <w:rPr>
          <w:snapToGrid w:val="0"/>
          <w:szCs w:val="18"/>
          <w:lang w:val="en-GB"/>
        </w:rPr>
        <w:t xml:space="preserve"> = 3 per position except bottom C19, for which </w:t>
      </w:r>
      <w:r w:rsidRPr="00621D36">
        <w:rPr>
          <w:snapToGrid w:val="0"/>
          <w:szCs w:val="18"/>
          <w:highlight w:val="yellow"/>
          <w:lang w:val="en-GB"/>
        </w:rPr>
        <w:t>n</w:t>
      </w:r>
      <w:r w:rsidRPr="00621D36">
        <w:rPr>
          <w:snapToGrid w:val="0"/>
          <w:szCs w:val="18"/>
          <w:lang w:val="en-GB"/>
        </w:rPr>
        <w:t xml:space="preserve"> = 2. Dashed red horizontal lines in the temperature panels mark chamber set points; dashed horizontal lines in the pressure panels mark ΔP = 0.</w:t>
      </w:r>
      <w:r w:rsidRPr="00621D36">
        <w:rPr>
          <w:snapToGrid w:val="0"/>
          <w:szCs w:val="18"/>
          <w:lang w:val="en-GB" w:bidi="fa-IR"/>
        </w:rPr>
        <w:t xml:space="preserve"> </w:t>
      </w:r>
      <w:r w:rsidRPr="00621D36">
        <w:rPr>
          <w:snapToGrid w:val="0"/>
          <w:szCs w:val="18"/>
          <w:lang w:val="en-GB"/>
        </w:rPr>
        <w:t>The left shaded band marks the first 5 h handling/stacking interval, which is expanded in Figure 4 and excluded from the primary pressure analysis.</w:t>
      </w:r>
    </w:p>
    <w:p w14:paraId="700BD72E" w14:textId="77777777" w:rsidR="002551AE" w:rsidRPr="00621D36" w:rsidRDefault="002551AE" w:rsidP="00370115">
      <w:pPr>
        <w:pStyle w:val="MDPI52figure"/>
        <w:rPr>
          <w:sz w:val="18"/>
          <w:szCs w:val="18"/>
          <w:lang w:val="en-GB"/>
        </w:rPr>
      </w:pPr>
      <w:r w:rsidRPr="00621D36">
        <w:rPr>
          <w:noProof/>
          <w:lang w:val="en-GB"/>
        </w:rPr>
        <w:drawing>
          <wp:inline distT="0" distB="0" distL="0" distR="0" wp14:anchorId="4B960E45" wp14:editId="19BD2B9F">
            <wp:extent cx="6047117" cy="3950906"/>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5"/>
                    <a:stretch>
                      <a:fillRect/>
                    </a:stretch>
                  </pic:blipFill>
                  <pic:spPr bwMode="auto">
                    <a:xfrm>
                      <a:off x="0" y="0"/>
                      <a:ext cx="6053837" cy="3955297"/>
                    </a:xfrm>
                    <a:prstGeom prst="rect">
                      <a:avLst/>
                    </a:prstGeom>
                  </pic:spPr>
                </pic:pic>
              </a:graphicData>
            </a:graphic>
          </wp:inline>
        </w:drawing>
      </w:r>
    </w:p>
    <w:p w14:paraId="114AE923" w14:textId="2E48D44A" w:rsidR="002551AE" w:rsidRPr="00621D36" w:rsidRDefault="002551AE" w:rsidP="00370115">
      <w:pPr>
        <w:pStyle w:val="MDPI51figurecaption"/>
        <w:jc w:val="both"/>
        <w:rPr>
          <w:snapToGrid w:val="0"/>
          <w:szCs w:val="18"/>
          <w:lang w:val="en-GB"/>
        </w:rPr>
      </w:pPr>
      <w:r w:rsidRPr="00621D36">
        <w:rPr>
          <w:b/>
          <w:bCs/>
          <w:snapToGrid w:val="0"/>
          <w:szCs w:val="18"/>
          <w:lang w:val="en-GB"/>
        </w:rPr>
        <w:t>Figure 4.</w:t>
      </w:r>
      <w:r w:rsidRPr="00621D36">
        <w:rPr>
          <w:b/>
          <w:snapToGrid w:val="0"/>
          <w:szCs w:val="18"/>
          <w:lang w:val="en-GB"/>
        </w:rPr>
        <w:t xml:space="preserve"> </w:t>
      </w:r>
      <w:r w:rsidRPr="00621D36">
        <w:rPr>
          <w:snapToGrid w:val="0"/>
          <w:szCs w:val="18"/>
          <w:lang w:val="en-GB"/>
        </w:rPr>
        <w:t xml:space="preserve">First 16 h of the main-trial record. The shaded interval marks the first 5 h handling/stacking period. </w:t>
      </w:r>
      <w:r w:rsidR="00466168">
        <w:rPr>
          <w:rFonts w:eastAsiaTheme="minorEastAsia" w:hint="eastAsia"/>
          <w:snapToGrid w:val="0"/>
          <w:szCs w:val="18"/>
          <w:lang w:val="en-GB" w:eastAsia="zh-CN"/>
        </w:rPr>
        <w:t>(</w:t>
      </w:r>
      <w:r w:rsidRPr="00621D36">
        <w:rPr>
          <w:b/>
          <w:bCs/>
          <w:snapToGrid w:val="0"/>
          <w:szCs w:val="18"/>
          <w:lang w:val="en-GB"/>
        </w:rPr>
        <w:t>Upper panels</w:t>
      </w:r>
      <w:r w:rsidR="00466168" w:rsidRPr="00466168">
        <w:rPr>
          <w:rFonts w:eastAsiaTheme="minorEastAsia" w:hint="eastAsia"/>
          <w:snapToGrid w:val="0"/>
          <w:szCs w:val="18"/>
          <w:lang w:val="en-GB" w:eastAsia="zh-CN"/>
        </w:rPr>
        <w:t>)</w:t>
      </w:r>
      <w:r w:rsidRPr="00621D36">
        <w:rPr>
          <w:snapToGrid w:val="0"/>
          <w:szCs w:val="18"/>
          <w:lang w:val="en-GB"/>
        </w:rPr>
        <w:t xml:space="preserve"> show ΔP and </w:t>
      </w:r>
      <w:r w:rsidR="00466168">
        <w:rPr>
          <w:rFonts w:eastAsiaTheme="minorEastAsia" w:hint="eastAsia"/>
          <w:snapToGrid w:val="0"/>
          <w:szCs w:val="18"/>
          <w:lang w:val="en-GB" w:eastAsia="zh-CN"/>
        </w:rPr>
        <w:t>(</w:t>
      </w:r>
      <w:r w:rsidRPr="00621D36">
        <w:rPr>
          <w:b/>
          <w:bCs/>
          <w:snapToGrid w:val="0"/>
          <w:szCs w:val="18"/>
          <w:lang w:val="en-GB"/>
        </w:rPr>
        <w:t>lower panels</w:t>
      </w:r>
      <w:r w:rsidR="00466168" w:rsidRPr="00466168">
        <w:rPr>
          <w:rFonts w:eastAsiaTheme="minorEastAsia" w:hint="eastAsia"/>
          <w:snapToGrid w:val="0"/>
          <w:szCs w:val="18"/>
          <w:lang w:val="en-GB" w:eastAsia="zh-CN"/>
        </w:rPr>
        <w:t>)</w:t>
      </w:r>
      <w:r w:rsidRPr="00621D36">
        <w:rPr>
          <w:snapToGrid w:val="0"/>
          <w:szCs w:val="18"/>
          <w:lang w:val="en-GB"/>
        </w:rPr>
        <w:t xml:space="preserve"> show measured in-bag temperature for C50 (</w:t>
      </w:r>
      <w:r w:rsidRPr="00621D36">
        <w:rPr>
          <w:b/>
          <w:bCs/>
          <w:snapToGrid w:val="0"/>
          <w:szCs w:val="18"/>
          <w:lang w:val="en-GB"/>
        </w:rPr>
        <w:t>A</w:t>
      </w:r>
      <w:r w:rsidRPr="00621D36">
        <w:rPr>
          <w:snapToGrid w:val="0"/>
          <w:szCs w:val="18"/>
          <w:lang w:val="en-GB"/>
        </w:rPr>
        <w:t>) and C19 (</w:t>
      </w:r>
      <w:r w:rsidRPr="00621D36">
        <w:rPr>
          <w:b/>
          <w:bCs/>
          <w:snapToGrid w:val="0"/>
          <w:szCs w:val="18"/>
          <w:lang w:val="en-GB"/>
        </w:rPr>
        <w:t>B</w:t>
      </w:r>
      <w:r w:rsidRPr="00621D36">
        <w:rPr>
          <w:snapToGrid w:val="0"/>
          <w:szCs w:val="18"/>
          <w:lang w:val="en-GB"/>
        </w:rPr>
        <w:t>). Solid lines are means, markers are 30</w:t>
      </w:r>
      <w:r w:rsidR="00B2067C" w:rsidRPr="00B2067C">
        <w:rPr>
          <w:snapToGrid w:val="0"/>
          <w:szCs w:val="18"/>
          <w:lang w:val="en-GB"/>
        </w:rPr>
        <w:t xml:space="preserve"> </w:t>
      </w:r>
      <w:r w:rsidRPr="00621D36">
        <w:rPr>
          <w:snapToGrid w:val="0"/>
          <w:szCs w:val="18"/>
          <w:lang w:val="en-GB"/>
        </w:rPr>
        <w:t>min readings</w:t>
      </w:r>
      <w:r w:rsidR="00EE3CDB">
        <w:rPr>
          <w:snapToGrid w:val="0"/>
          <w:szCs w:val="18"/>
          <w:lang w:val="en-GB"/>
        </w:rPr>
        <w:t>,</w:t>
      </w:r>
      <w:r w:rsidRPr="00621D36">
        <w:rPr>
          <w:snapToGrid w:val="0"/>
          <w:szCs w:val="18"/>
          <w:lang w:val="en-GB"/>
        </w:rPr>
        <w:t xml:space="preserve"> and shaded bands are ±1 SD; amber denotes top and blue denotes bottom </w:t>
      </w:r>
      <w:proofErr w:type="spellStart"/>
      <w:r w:rsidRPr="00621D36">
        <w:rPr>
          <w:snapToGrid w:val="0"/>
          <w:szCs w:val="18"/>
          <w:lang w:val="en-GB"/>
        </w:rPr>
        <w:t>BiBs</w:t>
      </w:r>
      <w:proofErr w:type="spellEnd"/>
      <w:r w:rsidRPr="00621D36">
        <w:rPr>
          <w:snapToGrid w:val="0"/>
          <w:szCs w:val="18"/>
          <w:lang w:val="en-GB"/>
        </w:rPr>
        <w:t>.</w:t>
      </w:r>
    </w:p>
    <w:p w14:paraId="56A25EB5" w14:textId="77777777" w:rsidR="002551AE" w:rsidRPr="00621D36" w:rsidRDefault="002551AE" w:rsidP="008C39D0">
      <w:pPr>
        <w:pStyle w:val="MDPI52figure"/>
        <w:rPr>
          <w:sz w:val="18"/>
          <w:szCs w:val="18"/>
          <w:lang w:val="en-GB"/>
        </w:rPr>
      </w:pPr>
      <w:r w:rsidRPr="00621D36">
        <w:rPr>
          <w:noProof/>
          <w:lang w:val="en-GB"/>
        </w:rPr>
        <w:drawing>
          <wp:inline distT="0" distB="0" distL="0" distR="0" wp14:anchorId="7A471CE5" wp14:editId="2530788A">
            <wp:extent cx="5865962" cy="2681326"/>
            <wp:effectExtent l="0" t="0" r="1905" b="508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6"/>
                    <a:stretch>
                      <a:fillRect/>
                    </a:stretch>
                  </pic:blipFill>
                  <pic:spPr bwMode="auto">
                    <a:xfrm>
                      <a:off x="0" y="0"/>
                      <a:ext cx="5881534" cy="2688444"/>
                    </a:xfrm>
                    <a:prstGeom prst="rect">
                      <a:avLst/>
                    </a:prstGeom>
                  </pic:spPr>
                </pic:pic>
              </a:graphicData>
            </a:graphic>
          </wp:inline>
        </w:drawing>
      </w:r>
    </w:p>
    <w:p w14:paraId="2E18376D" w14:textId="279D6ED7" w:rsidR="002551AE" w:rsidRPr="00621D36" w:rsidRDefault="002551AE" w:rsidP="00370115">
      <w:pPr>
        <w:pStyle w:val="MDPI51figurecaption"/>
        <w:jc w:val="both"/>
        <w:rPr>
          <w:snapToGrid w:val="0"/>
          <w:szCs w:val="18"/>
          <w:lang w:val="en-GB"/>
        </w:rPr>
      </w:pPr>
      <w:r w:rsidRPr="00621D36">
        <w:rPr>
          <w:b/>
          <w:bCs/>
          <w:snapToGrid w:val="0"/>
          <w:szCs w:val="18"/>
          <w:lang w:val="en-GB"/>
        </w:rPr>
        <w:t xml:space="preserve">Figure 5. </w:t>
      </w:r>
      <w:r w:rsidRPr="00621D36">
        <w:rPr>
          <w:snapToGrid w:val="0"/>
          <w:szCs w:val="18"/>
          <w:lang w:val="en-GB"/>
        </w:rPr>
        <w:t>Sensor-level ΔP summaries by stack position and set-point group. (</w:t>
      </w:r>
      <w:r w:rsidRPr="00621D36">
        <w:rPr>
          <w:b/>
          <w:bCs/>
          <w:snapToGrid w:val="0"/>
          <w:szCs w:val="18"/>
          <w:lang w:val="en-GB"/>
        </w:rPr>
        <w:t>A</w:t>
      </w:r>
      <w:r w:rsidRPr="00621D36">
        <w:rPr>
          <w:snapToGrid w:val="0"/>
          <w:szCs w:val="18"/>
          <w:lang w:val="en-GB"/>
        </w:rPr>
        <w:t xml:space="preserve">) </w:t>
      </w:r>
      <w:r w:rsidR="00EE3CDB">
        <w:rPr>
          <w:snapToGrid w:val="0"/>
          <w:szCs w:val="18"/>
          <w:lang w:val="en-GB"/>
        </w:rPr>
        <w:t>P</w:t>
      </w:r>
      <w:r w:rsidR="00EE3CDB" w:rsidRPr="00621D36">
        <w:rPr>
          <w:snapToGrid w:val="0"/>
          <w:szCs w:val="18"/>
          <w:lang w:val="en-GB"/>
        </w:rPr>
        <w:t>ost</w:t>
      </w:r>
      <w:r w:rsidRPr="00621D36">
        <w:rPr>
          <w:snapToGrid w:val="0"/>
          <w:szCs w:val="18"/>
          <w:lang w:val="en-GB"/>
        </w:rPr>
        <w:t>-handling peak; peaks occurred between day 3 + 13 h and day 5 + 19 h after start. (</w:t>
      </w:r>
      <w:r w:rsidRPr="00621D36">
        <w:rPr>
          <w:b/>
          <w:bCs/>
          <w:snapToGrid w:val="0"/>
          <w:szCs w:val="18"/>
          <w:lang w:val="en-GB"/>
        </w:rPr>
        <w:t>B</w:t>
      </w:r>
      <w:r w:rsidRPr="00621D36">
        <w:rPr>
          <w:snapToGrid w:val="0"/>
          <w:szCs w:val="18"/>
          <w:lang w:val="en-GB"/>
        </w:rPr>
        <w:t xml:space="preserve">) </w:t>
      </w:r>
      <w:r w:rsidR="00EE3CDB">
        <w:rPr>
          <w:snapToGrid w:val="0"/>
          <w:szCs w:val="18"/>
          <w:lang w:val="en-GB"/>
        </w:rPr>
        <w:t>R</w:t>
      </w:r>
      <w:r w:rsidR="00EE3CDB" w:rsidRPr="00621D36">
        <w:rPr>
          <w:snapToGrid w:val="0"/>
          <w:szCs w:val="18"/>
          <w:lang w:val="en-GB"/>
        </w:rPr>
        <w:t xml:space="preserve">esidual </w:t>
      </w:r>
      <w:r w:rsidRPr="00621D36">
        <w:rPr>
          <w:snapToGrid w:val="0"/>
          <w:szCs w:val="18"/>
          <w:lang w:val="en-GB"/>
        </w:rPr>
        <w:t xml:space="preserve">value on day 20. </w:t>
      </w:r>
      <w:r w:rsidRPr="00621D36">
        <w:rPr>
          <w:snapToGrid w:val="0"/>
          <w:szCs w:val="18"/>
          <w:lang w:val="en-GB"/>
        </w:rPr>
        <w:lastRenderedPageBreak/>
        <w:t xml:space="preserve">Circles are individual sensors and bars </w:t>
      </w:r>
      <w:r w:rsidR="00EE3CDB">
        <w:rPr>
          <w:snapToGrid w:val="0"/>
          <w:szCs w:val="18"/>
          <w:lang w:val="en-GB"/>
        </w:rPr>
        <w:t>represent</w:t>
      </w:r>
      <w:r w:rsidR="00EE3CDB" w:rsidRPr="00621D36">
        <w:rPr>
          <w:snapToGrid w:val="0"/>
          <w:szCs w:val="18"/>
          <w:lang w:val="en-GB"/>
        </w:rPr>
        <w:t xml:space="preserve"> </w:t>
      </w:r>
      <w:r w:rsidRPr="00621D36">
        <w:rPr>
          <w:snapToGrid w:val="0"/>
          <w:szCs w:val="18"/>
          <w:lang w:val="en-GB"/>
        </w:rPr>
        <w:t xml:space="preserve">mean ± 1 SD; usable traces were </w:t>
      </w:r>
      <w:r w:rsidRPr="00621D36">
        <w:rPr>
          <w:snapToGrid w:val="0"/>
          <w:szCs w:val="18"/>
          <w:highlight w:val="yellow"/>
          <w:lang w:val="en-GB"/>
        </w:rPr>
        <w:t>n</w:t>
      </w:r>
      <w:r w:rsidRPr="00621D36">
        <w:rPr>
          <w:snapToGrid w:val="0"/>
          <w:szCs w:val="18"/>
          <w:lang w:val="en-GB"/>
        </w:rPr>
        <w:t xml:space="preserve"> = 3 per position except bottom C19 (</w:t>
      </w:r>
      <w:r w:rsidRPr="00621D36">
        <w:rPr>
          <w:snapToGrid w:val="0"/>
          <w:szCs w:val="18"/>
          <w:highlight w:val="yellow"/>
          <w:lang w:val="en-GB"/>
        </w:rPr>
        <w:t>n</w:t>
      </w:r>
      <w:r w:rsidRPr="00621D36">
        <w:rPr>
          <w:snapToGrid w:val="0"/>
          <w:szCs w:val="18"/>
          <w:lang w:val="en-GB"/>
        </w:rPr>
        <w:t xml:space="preserve"> = 2). </w:t>
      </w:r>
      <w:r w:rsidR="00EE3CDB">
        <w:rPr>
          <w:snapToGrid w:val="0"/>
          <w:szCs w:val="18"/>
          <w:lang w:val="en-GB"/>
        </w:rPr>
        <w:t>U</w:t>
      </w:r>
      <w:r w:rsidRPr="00621D36">
        <w:rPr>
          <w:snapToGrid w:val="0"/>
          <w:szCs w:val="18"/>
          <w:lang w:val="en-GB"/>
        </w:rPr>
        <w:t xml:space="preserve">ncorrected peak ΔP was higher in bottom than top units in exploratory analysis (F(1,8) = 9.14; </w:t>
      </w:r>
      <w:r w:rsidR="00A50198" w:rsidRPr="00621D36">
        <w:rPr>
          <w:i/>
          <w:snapToGrid w:val="0"/>
          <w:szCs w:val="18"/>
          <w:lang w:val="en-GB"/>
        </w:rPr>
        <w:t>p</w:t>
      </w:r>
      <w:r w:rsidRPr="00621D36">
        <w:rPr>
          <w:snapToGrid w:val="0"/>
          <w:szCs w:val="18"/>
          <w:lang w:val="en-GB"/>
        </w:rPr>
        <w:t xml:space="preserve"> = 0.017). Common-mode diagnostics showed strong shared absolute-pressure structure, but matched-time residual comparison retained position term. </w:t>
      </w:r>
      <w:r w:rsidR="00EE3CDB">
        <w:rPr>
          <w:snapToGrid w:val="0"/>
          <w:szCs w:val="18"/>
          <w:lang w:val="en-GB"/>
        </w:rPr>
        <w:t>R</w:t>
      </w:r>
      <w:r w:rsidRPr="00621D36">
        <w:rPr>
          <w:snapToGrid w:val="0"/>
          <w:szCs w:val="18"/>
          <w:lang w:val="en-GB"/>
        </w:rPr>
        <w:t>esult is therefore interpreted as exploratory because of small unbalanced sensor-level design, missing bottom C19 trace, absence of barometric reference logging, and lack of retained stack pairings (Section 3.2).</w:t>
      </w:r>
    </w:p>
    <w:p w14:paraId="0336B45D" w14:textId="0A364B30" w:rsidR="002551AE" w:rsidRPr="00621D36" w:rsidRDefault="00F77936" w:rsidP="00F77936">
      <w:pPr>
        <w:pStyle w:val="MDPI22heading2"/>
        <w:spacing w:before="240"/>
        <w:rPr>
          <w:szCs w:val="20"/>
          <w:lang w:val="en-GB"/>
        </w:rPr>
      </w:pPr>
      <w:r w:rsidRPr="00621D36">
        <w:rPr>
          <w:szCs w:val="20"/>
          <w:lang w:val="en-GB"/>
        </w:rPr>
        <w:t xml:space="preserve">3.3. </w:t>
      </w:r>
      <w:r w:rsidR="002551AE" w:rsidRPr="00621D36">
        <w:rPr>
          <w:szCs w:val="20"/>
          <w:lang w:val="en-GB"/>
        </w:rPr>
        <w:t xml:space="preserve">Verification at the C50 </w:t>
      </w:r>
      <w:r w:rsidR="002D26D3" w:rsidRPr="00621D36">
        <w:rPr>
          <w:szCs w:val="20"/>
          <w:lang w:val="en-GB"/>
        </w:rPr>
        <w:t>Set Point</w:t>
      </w:r>
    </w:p>
    <w:p w14:paraId="64B20CCE" w14:textId="5DB1F942" w:rsidR="002551AE" w:rsidRPr="00621D36" w:rsidRDefault="002551AE" w:rsidP="00F77936">
      <w:pPr>
        <w:pStyle w:val="MDPI31text"/>
        <w:rPr>
          <w:szCs w:val="20"/>
          <w:lang w:val="en-GB"/>
        </w:rPr>
      </w:pPr>
      <w:r w:rsidRPr="00621D36">
        <w:rPr>
          <w:szCs w:val="20"/>
          <w:lang w:val="en-GB"/>
        </w:rPr>
        <w:t xml:space="preserve">The verification trial used one three-box stack at the C50 set point to document package behaviour closer to the intended high-temperature exposure. Four sensors were installed: V26 and V62 in the uppermost </w:t>
      </w:r>
      <w:proofErr w:type="spellStart"/>
      <w:r w:rsidRPr="00621D36">
        <w:rPr>
          <w:szCs w:val="20"/>
          <w:lang w:val="en-GB"/>
        </w:rPr>
        <w:t>BiB</w:t>
      </w:r>
      <w:proofErr w:type="spellEnd"/>
      <w:r w:rsidRPr="00621D36">
        <w:rPr>
          <w:szCs w:val="20"/>
          <w:lang w:val="en-GB"/>
        </w:rPr>
        <w:t xml:space="preserve"> and V27 and V64 in the lowermost </w:t>
      </w:r>
      <w:proofErr w:type="spellStart"/>
      <w:r w:rsidRPr="00621D36">
        <w:rPr>
          <w:szCs w:val="20"/>
          <w:lang w:val="en-GB"/>
        </w:rPr>
        <w:t>BiB.</w:t>
      </w:r>
      <w:proofErr w:type="spellEnd"/>
      <w:r w:rsidRPr="00621D36">
        <w:rPr>
          <w:szCs w:val="20"/>
          <w:lang w:val="en-GB"/>
        </w:rPr>
        <w:t xml:space="preserve"> Pressure and temperature were logged every minute for 15 days. V26 stopped after about 4 days 8 h; the remaining three sensors completed the record. The trial provides supporting observations for this configuration only.</w:t>
      </w:r>
    </w:p>
    <w:p w14:paraId="1DA21D72" w14:textId="5E1468A8" w:rsidR="002551AE" w:rsidRPr="00621D36" w:rsidRDefault="002551AE" w:rsidP="00F77936">
      <w:pPr>
        <w:pStyle w:val="MDPI31text"/>
        <w:rPr>
          <w:szCs w:val="20"/>
          <w:lang w:val="en-GB"/>
        </w:rPr>
      </w:pPr>
      <w:r w:rsidRPr="00621D36">
        <w:rPr>
          <w:szCs w:val="20"/>
          <w:lang w:val="en-GB"/>
        </w:rPr>
        <w:t xml:space="preserve">Verification temperatures approached the chamber set point more closely than in the main trial but did not reach 50 </w:t>
      </w:r>
      <w:r w:rsidR="00BC02DA" w:rsidRPr="00621D36">
        <w:rPr>
          <w:szCs w:val="20"/>
          <w:lang w:val="en-GB"/>
        </w:rPr>
        <w:t>°C</w:t>
      </w:r>
      <w:r w:rsidRPr="00621D36">
        <w:rPr>
          <w:szCs w:val="20"/>
          <w:lang w:val="en-GB"/>
        </w:rPr>
        <w:t xml:space="preserve"> (Fig</w:t>
      </w:r>
      <w:r w:rsidR="00B367BC" w:rsidRPr="00621D36">
        <w:rPr>
          <w:szCs w:val="20"/>
          <w:lang w:val="en-GB"/>
        </w:rPr>
        <w:t>ures</w:t>
      </w:r>
      <w:r w:rsidRPr="00621D36">
        <w:rPr>
          <w:szCs w:val="20"/>
          <w:lang w:val="en-GB"/>
        </w:rPr>
        <w:t xml:space="preserve"> 6B</w:t>
      </w:r>
      <w:r w:rsidR="00B367BC" w:rsidRPr="00621D36">
        <w:rPr>
          <w:szCs w:val="20"/>
          <w:lang w:val="en-GB"/>
        </w:rPr>
        <w:t xml:space="preserve"> and</w:t>
      </w:r>
      <w:r w:rsidRPr="00621D36">
        <w:rPr>
          <w:szCs w:val="20"/>
          <w:lang w:val="en-GB"/>
        </w:rPr>
        <w:t xml:space="preserve"> 7B). Maximum temperatures were 48.8 </w:t>
      </w:r>
      <w:r w:rsidR="00BC02DA" w:rsidRPr="00621D36">
        <w:rPr>
          <w:szCs w:val="20"/>
          <w:lang w:val="en-GB"/>
        </w:rPr>
        <w:t>°C</w:t>
      </w:r>
      <w:r w:rsidRPr="00621D36">
        <w:rPr>
          <w:szCs w:val="20"/>
          <w:lang w:val="en-GB"/>
        </w:rPr>
        <w:t xml:space="preserve"> for V26, 47.7 </w:t>
      </w:r>
      <w:r w:rsidR="00BC02DA" w:rsidRPr="00621D36">
        <w:rPr>
          <w:szCs w:val="20"/>
          <w:lang w:val="en-GB"/>
        </w:rPr>
        <w:t>°C</w:t>
      </w:r>
      <w:r w:rsidRPr="00621D36">
        <w:rPr>
          <w:szCs w:val="20"/>
          <w:lang w:val="en-GB"/>
        </w:rPr>
        <w:t xml:space="preserve"> for V62, 45.0 </w:t>
      </w:r>
      <w:r w:rsidR="00BC02DA" w:rsidRPr="00621D36">
        <w:rPr>
          <w:szCs w:val="20"/>
          <w:lang w:val="en-GB"/>
        </w:rPr>
        <w:t>°C</w:t>
      </w:r>
      <w:r w:rsidRPr="00621D36">
        <w:rPr>
          <w:szCs w:val="20"/>
          <w:lang w:val="en-GB"/>
        </w:rPr>
        <w:t xml:space="preserve"> for V27</w:t>
      </w:r>
      <w:r w:rsidR="00B43F42">
        <w:rPr>
          <w:szCs w:val="20"/>
          <w:lang w:val="en-GB"/>
        </w:rPr>
        <w:t>,</w:t>
      </w:r>
      <w:r w:rsidRPr="00621D36">
        <w:rPr>
          <w:szCs w:val="20"/>
          <w:lang w:val="en-GB"/>
        </w:rPr>
        <w:t xml:space="preserve"> and 47.6 </w:t>
      </w:r>
      <w:r w:rsidR="00BC02DA" w:rsidRPr="00621D36">
        <w:rPr>
          <w:szCs w:val="20"/>
          <w:lang w:val="en-GB"/>
        </w:rPr>
        <w:t>°C</w:t>
      </w:r>
      <w:r w:rsidRPr="00621D36">
        <w:rPr>
          <w:szCs w:val="20"/>
          <w:lang w:val="en-GB"/>
        </w:rPr>
        <w:t xml:space="preserve"> for V64. From days 14–15, V62 averaged 47.6 </w:t>
      </w:r>
      <w:r w:rsidR="00BC02DA" w:rsidRPr="00621D36">
        <w:rPr>
          <w:szCs w:val="20"/>
          <w:lang w:val="en-GB"/>
        </w:rPr>
        <w:t>°C</w:t>
      </w:r>
      <w:r w:rsidR="00B43F42">
        <w:rPr>
          <w:szCs w:val="20"/>
          <w:lang w:val="en-GB"/>
        </w:rPr>
        <w:t>,</w:t>
      </w:r>
      <w:r w:rsidRPr="00621D36">
        <w:rPr>
          <w:szCs w:val="20"/>
          <w:lang w:val="en-GB"/>
        </w:rPr>
        <w:t xml:space="preserve"> and the two bottom sensors averaged about 46.3 </w:t>
      </w:r>
      <w:r w:rsidR="00BC02DA" w:rsidRPr="00621D36">
        <w:rPr>
          <w:szCs w:val="20"/>
          <w:lang w:val="en-GB"/>
        </w:rPr>
        <w:t>°C</w:t>
      </w:r>
      <w:r w:rsidRPr="00621D36">
        <w:rPr>
          <w:szCs w:val="20"/>
          <w:lang w:val="en-GB"/>
        </w:rPr>
        <w:t xml:space="preserve">. These values were about 13.4 </w:t>
      </w:r>
      <w:r w:rsidR="00BC02DA" w:rsidRPr="00621D36">
        <w:rPr>
          <w:szCs w:val="20"/>
          <w:lang w:val="en-GB"/>
        </w:rPr>
        <w:t>°C</w:t>
      </w:r>
      <w:r w:rsidRPr="00621D36">
        <w:rPr>
          <w:szCs w:val="20"/>
          <w:lang w:val="en-GB"/>
        </w:rPr>
        <w:t xml:space="preserve"> warmer at the top and 20.2 </w:t>
      </w:r>
      <w:r w:rsidR="00BC02DA" w:rsidRPr="00621D36">
        <w:rPr>
          <w:szCs w:val="20"/>
          <w:lang w:val="en-GB"/>
        </w:rPr>
        <w:t>°C</w:t>
      </w:r>
      <w:r w:rsidRPr="00621D36">
        <w:rPr>
          <w:szCs w:val="20"/>
          <w:lang w:val="en-GB"/>
        </w:rPr>
        <w:t xml:space="preserve"> warmer at the bottom than late C50 temperatures in the main trial. The difference may reflect chamber performance, loading, airflow, scale, geometry</w:t>
      </w:r>
      <w:r w:rsidR="00B43F42">
        <w:rPr>
          <w:szCs w:val="20"/>
          <w:lang w:val="en-GB"/>
        </w:rPr>
        <w:t>,</w:t>
      </w:r>
      <w:r w:rsidRPr="00621D36">
        <w:rPr>
          <w:szCs w:val="20"/>
          <w:lang w:val="en-GB"/>
        </w:rPr>
        <w:t xml:space="preserve"> or sensor location, but the records do not identify a single cause.</w:t>
      </w:r>
    </w:p>
    <w:p w14:paraId="7B0E5F35" w14:textId="77777777" w:rsidR="002551AE" w:rsidRPr="00621D36" w:rsidRDefault="002551AE" w:rsidP="00F77936">
      <w:pPr>
        <w:pStyle w:val="MDPI52figure"/>
        <w:rPr>
          <w:lang w:val="en-GB" w:bidi="fa-IR"/>
        </w:rPr>
      </w:pPr>
      <w:r w:rsidRPr="00621D36">
        <w:rPr>
          <w:noProof/>
          <w:lang w:val="en-GB"/>
        </w:rPr>
        <w:drawing>
          <wp:inline distT="0" distB="0" distL="0" distR="0" wp14:anchorId="64387B71" wp14:editId="42461C77">
            <wp:extent cx="6443932" cy="2169732"/>
            <wp:effectExtent l="0" t="0" r="0" b="254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7"/>
                    <a:srcRect b="21107"/>
                    <a:stretch>
                      <a:fillRect/>
                    </a:stretch>
                  </pic:blipFill>
                  <pic:spPr bwMode="auto">
                    <a:xfrm>
                      <a:off x="0" y="0"/>
                      <a:ext cx="6458563" cy="2174658"/>
                    </a:xfrm>
                    <a:prstGeom prst="rect">
                      <a:avLst/>
                    </a:prstGeom>
                  </pic:spPr>
                </pic:pic>
              </a:graphicData>
            </a:graphic>
          </wp:inline>
        </w:drawing>
      </w:r>
    </w:p>
    <w:p w14:paraId="2822474E" w14:textId="1EE50B96" w:rsidR="002551AE" w:rsidRPr="00621D36" w:rsidRDefault="002551AE" w:rsidP="00F77936">
      <w:pPr>
        <w:pStyle w:val="MDPI51figurecaption"/>
        <w:jc w:val="both"/>
        <w:rPr>
          <w:snapToGrid w:val="0"/>
          <w:szCs w:val="18"/>
          <w:lang w:val="en-GB"/>
        </w:rPr>
      </w:pPr>
      <w:commentRangeStart w:id="18"/>
      <w:r w:rsidRPr="00621D36">
        <w:rPr>
          <w:b/>
          <w:bCs/>
          <w:snapToGrid w:val="0"/>
          <w:szCs w:val="18"/>
          <w:highlight w:val="yellow"/>
          <w:lang w:val="en-GB"/>
        </w:rPr>
        <w:t xml:space="preserve">Figure </w:t>
      </w:r>
      <w:commentRangeEnd w:id="18"/>
      <w:r w:rsidR="000A5F0C" w:rsidRPr="00621D36">
        <w:rPr>
          <w:rStyle w:val="CommentReference"/>
          <w:b/>
          <w:bCs/>
          <w:snapToGrid w:val="0"/>
          <w:sz w:val="18"/>
          <w:szCs w:val="18"/>
          <w:lang w:val="en-GB"/>
        </w:rPr>
        <w:commentReference w:id="18"/>
      </w:r>
      <w:r w:rsidRPr="00621D36">
        <w:rPr>
          <w:b/>
          <w:bCs/>
          <w:snapToGrid w:val="0"/>
          <w:szCs w:val="18"/>
          <w:lang w:val="en-GB"/>
        </w:rPr>
        <w:t>6</w:t>
      </w:r>
      <w:r w:rsidRPr="00621D36">
        <w:rPr>
          <w:b/>
          <w:snapToGrid w:val="0"/>
          <w:szCs w:val="18"/>
          <w:lang w:val="en-GB"/>
        </w:rPr>
        <w:t xml:space="preserve">. </w:t>
      </w:r>
      <w:r w:rsidRPr="00621D36">
        <w:rPr>
          <w:snapToGrid w:val="0"/>
          <w:szCs w:val="18"/>
          <w:lang w:val="en-GB"/>
        </w:rPr>
        <w:t>In-bag temperature in two C50 set-point trials. (</w:t>
      </w:r>
      <w:r w:rsidRPr="00621D36">
        <w:rPr>
          <w:b/>
          <w:bCs/>
          <w:snapToGrid w:val="0"/>
          <w:szCs w:val="18"/>
          <w:lang w:val="en-GB"/>
        </w:rPr>
        <w:t>A</w:t>
      </w:r>
      <w:r w:rsidRPr="00621D36">
        <w:rPr>
          <w:snapToGrid w:val="0"/>
          <w:szCs w:val="18"/>
          <w:lang w:val="en-GB"/>
        </w:rPr>
        <w:t>) Main trial, 20 days, with C19 reference shown in grey. (</w:t>
      </w:r>
      <w:r w:rsidRPr="00621D36">
        <w:rPr>
          <w:b/>
          <w:bCs/>
          <w:snapToGrid w:val="0"/>
          <w:szCs w:val="18"/>
          <w:lang w:val="en-GB"/>
        </w:rPr>
        <w:t>B</w:t>
      </w:r>
      <w:r w:rsidRPr="00621D36">
        <w:rPr>
          <w:snapToGrid w:val="0"/>
          <w:szCs w:val="18"/>
          <w:lang w:val="en-GB"/>
        </w:rPr>
        <w:t xml:space="preserve">) Verification trial, 15 days. Solid lines in panel </w:t>
      </w:r>
      <w:r w:rsidR="003D45E9" w:rsidRPr="00621D36">
        <w:rPr>
          <w:snapToGrid w:val="0"/>
          <w:szCs w:val="18"/>
          <w:lang w:val="en-GB"/>
        </w:rPr>
        <w:t>(</w:t>
      </w:r>
      <w:r w:rsidR="003D45E9" w:rsidRPr="00621D36">
        <w:rPr>
          <w:b/>
          <w:bCs/>
          <w:snapToGrid w:val="0"/>
          <w:szCs w:val="18"/>
          <w:lang w:val="en-GB"/>
        </w:rPr>
        <w:t>A</w:t>
      </w:r>
      <w:r w:rsidR="003D45E9" w:rsidRPr="00621D36">
        <w:rPr>
          <w:snapToGrid w:val="0"/>
          <w:szCs w:val="18"/>
          <w:lang w:val="en-GB"/>
        </w:rPr>
        <w:t xml:space="preserve">) </w:t>
      </w:r>
      <w:r w:rsidRPr="00621D36">
        <w:rPr>
          <w:snapToGrid w:val="0"/>
          <w:szCs w:val="18"/>
          <w:lang w:val="en-GB"/>
        </w:rPr>
        <w:t xml:space="preserve">are means with ± 1 SD; panel </w:t>
      </w:r>
      <w:r w:rsidR="003D45E9" w:rsidRPr="00621D36">
        <w:rPr>
          <w:snapToGrid w:val="0"/>
          <w:szCs w:val="18"/>
          <w:lang w:val="en-GB"/>
        </w:rPr>
        <w:t>(</w:t>
      </w:r>
      <w:r w:rsidR="003D45E9" w:rsidRPr="00621D36">
        <w:rPr>
          <w:b/>
          <w:bCs/>
          <w:snapToGrid w:val="0"/>
          <w:szCs w:val="18"/>
          <w:lang w:val="en-GB"/>
        </w:rPr>
        <w:t>B</w:t>
      </w:r>
      <w:r w:rsidR="003D45E9" w:rsidRPr="00621D36">
        <w:rPr>
          <w:snapToGrid w:val="0"/>
          <w:szCs w:val="18"/>
          <w:lang w:val="en-GB"/>
        </w:rPr>
        <w:t xml:space="preserve">) </w:t>
      </w:r>
      <w:r w:rsidRPr="00621D36">
        <w:rPr>
          <w:snapToGrid w:val="0"/>
          <w:szCs w:val="18"/>
          <w:lang w:val="en-GB"/>
        </w:rPr>
        <w:t xml:space="preserve">shows individual sensors. </w:t>
      </w:r>
      <w:r w:rsidR="006E45CF">
        <w:rPr>
          <w:snapToGrid w:val="0"/>
          <w:szCs w:val="18"/>
          <w:lang w:val="en-GB"/>
        </w:rPr>
        <w:t>D</w:t>
      </w:r>
      <w:r w:rsidRPr="00621D36">
        <w:rPr>
          <w:snapToGrid w:val="0"/>
          <w:szCs w:val="18"/>
          <w:lang w:val="en-GB"/>
        </w:rPr>
        <w:t xml:space="preserve">ashed horizontal line marks 50 </w:t>
      </w:r>
      <w:r w:rsidR="00BC02DA" w:rsidRPr="00621D36">
        <w:rPr>
          <w:snapToGrid w:val="0"/>
          <w:szCs w:val="18"/>
          <w:lang w:val="en-GB"/>
        </w:rPr>
        <w:t>°C</w:t>
      </w:r>
      <w:r w:rsidRPr="00621D36">
        <w:rPr>
          <w:snapToGrid w:val="0"/>
          <w:szCs w:val="18"/>
          <w:lang w:val="en-GB"/>
        </w:rPr>
        <w:t xml:space="preserve"> chamber set point. No in-bag sensor reached 50 </w:t>
      </w:r>
      <w:r w:rsidR="00BC02DA" w:rsidRPr="00621D36">
        <w:rPr>
          <w:snapToGrid w:val="0"/>
          <w:szCs w:val="18"/>
          <w:lang w:val="en-GB"/>
        </w:rPr>
        <w:t>°C</w:t>
      </w:r>
      <w:r w:rsidRPr="00621D36">
        <w:rPr>
          <w:snapToGrid w:val="0"/>
          <w:szCs w:val="18"/>
          <w:lang w:val="en-GB"/>
        </w:rPr>
        <w:t>.</w:t>
      </w:r>
    </w:p>
    <w:p w14:paraId="46164956" w14:textId="53FA44F2" w:rsidR="002551AE" w:rsidRPr="00621D36" w:rsidRDefault="002551AE" w:rsidP="00F77936">
      <w:pPr>
        <w:pStyle w:val="MDPI31text"/>
        <w:rPr>
          <w:szCs w:val="20"/>
          <w:lang w:val="en-GB"/>
        </w:rPr>
      </w:pPr>
      <w:r w:rsidRPr="00621D36">
        <w:rPr>
          <w:szCs w:val="20"/>
          <w:lang w:val="en-GB"/>
        </w:rPr>
        <w:t>Verification ΔP changes were small and transient (</w:t>
      </w:r>
      <w:r w:rsidR="00E30B9E" w:rsidRPr="00621D36">
        <w:rPr>
          <w:szCs w:val="20"/>
          <w:lang w:val="en-GB"/>
        </w:rPr>
        <w:t>Figure 7</w:t>
      </w:r>
      <w:r w:rsidRPr="00621D36">
        <w:rPr>
          <w:szCs w:val="20"/>
          <w:lang w:val="en-GB"/>
        </w:rPr>
        <w:t>A). Relative to each sensor</w:t>
      </w:r>
      <w:r w:rsidR="00E30B9E" w:rsidRPr="00621D36">
        <w:rPr>
          <w:szCs w:val="20"/>
          <w:lang w:val="en-GB"/>
        </w:rPr>
        <w:t>’</w:t>
      </w:r>
      <w:r w:rsidRPr="00621D36">
        <w:rPr>
          <w:szCs w:val="20"/>
          <w:lang w:val="en-GB"/>
        </w:rPr>
        <w:t>s first valid pressure, early peaks ranged from 9.6 to 26.5 mbar. The traces then declined, shared a negative excursion around day 6</w:t>
      </w:r>
      <w:r w:rsidR="006E45CF">
        <w:rPr>
          <w:szCs w:val="20"/>
          <w:lang w:val="en-GB"/>
        </w:rPr>
        <w:t>,</w:t>
      </w:r>
      <w:r w:rsidRPr="00621D36">
        <w:rPr>
          <w:szCs w:val="20"/>
          <w:lang w:val="en-GB"/>
        </w:rPr>
        <w:t xml:space="preserve"> and returned towards baseline</w:t>
      </w:r>
      <w:r w:rsidR="006E45CF">
        <w:rPr>
          <w:szCs w:val="20"/>
          <w:lang w:val="en-GB"/>
        </w:rPr>
        <w:t>,</w:t>
      </w:r>
      <w:r w:rsidRPr="00621D36">
        <w:rPr>
          <w:szCs w:val="20"/>
          <w:lang w:val="en-GB"/>
        </w:rPr>
        <w:t xml:space="preserve"> while in-bag temperatures were about 45–48 </w:t>
      </w:r>
      <w:r w:rsidR="00BC02DA" w:rsidRPr="00621D36">
        <w:rPr>
          <w:szCs w:val="20"/>
          <w:lang w:val="en-GB"/>
        </w:rPr>
        <w:t>°C</w:t>
      </w:r>
      <w:r w:rsidRPr="00621D36">
        <w:rPr>
          <w:szCs w:val="20"/>
          <w:lang w:val="en-GB"/>
        </w:rPr>
        <w:t>. The common movement again indicates that the pressure</w:t>
      </w:r>
      <w:r w:rsidR="006E45CF">
        <w:rPr>
          <w:szCs w:val="20"/>
          <w:lang w:val="en-GB"/>
        </w:rPr>
        <w:t xml:space="preserve"> </w:t>
      </w:r>
      <w:r w:rsidRPr="00621D36">
        <w:rPr>
          <w:szCs w:val="20"/>
          <w:lang w:val="en-GB"/>
        </w:rPr>
        <w:t>change trajectory includes components other than package pressure alone. The one-stack design limits this trial to supporting evidence for the tested configuration.</w:t>
      </w:r>
    </w:p>
    <w:p w14:paraId="385D4B7B" w14:textId="77777777" w:rsidR="002551AE" w:rsidRPr="00621D36" w:rsidRDefault="002551AE" w:rsidP="00F77936">
      <w:pPr>
        <w:pStyle w:val="MDPI52figure"/>
        <w:rPr>
          <w:lang w:val="en-GB"/>
        </w:rPr>
      </w:pPr>
      <w:r w:rsidRPr="00621D36">
        <w:rPr>
          <w:noProof/>
          <w:lang w:val="en-GB"/>
        </w:rPr>
        <w:lastRenderedPageBreak/>
        <w:drawing>
          <wp:inline distT="0" distB="0" distL="0" distR="0" wp14:anchorId="095F516D" wp14:editId="28C373C1">
            <wp:extent cx="5028565" cy="358076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8"/>
                    <a:stretch>
                      <a:fillRect/>
                    </a:stretch>
                  </pic:blipFill>
                  <pic:spPr bwMode="auto">
                    <a:xfrm>
                      <a:off x="0" y="0"/>
                      <a:ext cx="5028565" cy="3580765"/>
                    </a:xfrm>
                    <a:prstGeom prst="rect">
                      <a:avLst/>
                    </a:prstGeom>
                  </pic:spPr>
                </pic:pic>
              </a:graphicData>
            </a:graphic>
          </wp:inline>
        </w:drawing>
      </w:r>
    </w:p>
    <w:p w14:paraId="6E258D71" w14:textId="7BB8033E" w:rsidR="002551AE" w:rsidRPr="00621D36" w:rsidRDefault="002551AE" w:rsidP="00F77936">
      <w:pPr>
        <w:pStyle w:val="MDPI51figurecaption"/>
        <w:jc w:val="both"/>
        <w:rPr>
          <w:snapToGrid w:val="0"/>
          <w:szCs w:val="18"/>
          <w:lang w:val="en-GB"/>
        </w:rPr>
      </w:pPr>
      <w:r w:rsidRPr="00B1595F">
        <w:rPr>
          <w:b/>
          <w:bCs/>
          <w:snapToGrid w:val="0"/>
          <w:szCs w:val="18"/>
          <w:lang w:val="en-GB"/>
        </w:rPr>
        <w:t xml:space="preserve">Figure </w:t>
      </w:r>
      <w:r w:rsidRPr="00621D36">
        <w:rPr>
          <w:b/>
          <w:bCs/>
          <w:snapToGrid w:val="0"/>
          <w:szCs w:val="18"/>
          <w:lang w:val="en-GB"/>
        </w:rPr>
        <w:t>7.</w:t>
      </w:r>
      <w:r w:rsidRPr="00621D36">
        <w:rPr>
          <w:b/>
          <w:snapToGrid w:val="0"/>
          <w:szCs w:val="18"/>
          <w:lang w:val="en-GB"/>
        </w:rPr>
        <w:t xml:space="preserve"> </w:t>
      </w:r>
      <w:r w:rsidRPr="00621D36">
        <w:rPr>
          <w:snapToGrid w:val="0"/>
          <w:szCs w:val="18"/>
          <w:lang w:val="en-GB"/>
        </w:rPr>
        <w:t>Verification</w:t>
      </w:r>
      <w:r w:rsidR="006E45CF">
        <w:rPr>
          <w:snapToGrid w:val="0"/>
          <w:szCs w:val="18"/>
          <w:lang w:val="en-GB"/>
        </w:rPr>
        <w:t xml:space="preserve"> </w:t>
      </w:r>
      <w:r w:rsidRPr="00621D36">
        <w:rPr>
          <w:snapToGrid w:val="0"/>
          <w:szCs w:val="18"/>
          <w:lang w:val="en-GB"/>
        </w:rPr>
        <w:t>trial ΔP (</w:t>
      </w:r>
      <w:r w:rsidRPr="00621D36">
        <w:rPr>
          <w:b/>
          <w:bCs/>
          <w:snapToGrid w:val="0"/>
          <w:szCs w:val="18"/>
          <w:lang w:val="en-GB"/>
        </w:rPr>
        <w:t>A</w:t>
      </w:r>
      <w:r w:rsidRPr="00621D36">
        <w:rPr>
          <w:snapToGrid w:val="0"/>
          <w:szCs w:val="18"/>
          <w:lang w:val="en-GB"/>
        </w:rPr>
        <w:t>) and measured in-bag temperature (</w:t>
      </w:r>
      <w:r w:rsidRPr="00621D36">
        <w:rPr>
          <w:b/>
          <w:bCs/>
          <w:snapToGrid w:val="0"/>
          <w:szCs w:val="18"/>
          <w:lang w:val="en-GB"/>
        </w:rPr>
        <w:t>B</w:t>
      </w:r>
      <w:r w:rsidRPr="00621D36">
        <w:rPr>
          <w:snapToGrid w:val="0"/>
          <w:szCs w:val="18"/>
          <w:lang w:val="en-GB"/>
        </w:rPr>
        <w:t xml:space="preserve">) over 15 days in one three-box stack at C50 set point. Sensors are shown individually by position; V26 stopped after about 4 days 8 h. Pressure peaks ranged from 9.6 to 26.5 mbar. No in-bag sensor reached 50 </w:t>
      </w:r>
      <w:r w:rsidR="00BC02DA" w:rsidRPr="00621D36">
        <w:rPr>
          <w:snapToGrid w:val="0"/>
          <w:szCs w:val="18"/>
          <w:lang w:val="en-GB"/>
        </w:rPr>
        <w:t>°C</w:t>
      </w:r>
      <w:r w:rsidRPr="00621D36">
        <w:rPr>
          <w:snapToGrid w:val="0"/>
          <w:szCs w:val="18"/>
          <w:lang w:val="en-GB"/>
        </w:rPr>
        <w:t xml:space="preserve">. </w:t>
      </w:r>
      <w:r w:rsidR="006E45CF">
        <w:rPr>
          <w:snapToGrid w:val="0"/>
          <w:szCs w:val="18"/>
          <w:lang w:val="en-GB"/>
        </w:rPr>
        <w:t>C</w:t>
      </w:r>
      <w:r w:rsidRPr="00621D36">
        <w:rPr>
          <w:snapToGrid w:val="0"/>
          <w:szCs w:val="18"/>
          <w:lang w:val="en-GB"/>
        </w:rPr>
        <w:t>ommon dip around day 6 indicates shared pressure component; no barometric reference was logged.</w:t>
      </w:r>
    </w:p>
    <w:p w14:paraId="31B00723" w14:textId="75F0C647" w:rsidR="002551AE" w:rsidRPr="00621D36" w:rsidRDefault="00F77936" w:rsidP="00F77936">
      <w:pPr>
        <w:pStyle w:val="MDPI22heading2"/>
        <w:spacing w:before="240"/>
        <w:rPr>
          <w:szCs w:val="20"/>
          <w:lang w:val="en-GB"/>
        </w:rPr>
      </w:pPr>
      <w:r w:rsidRPr="00621D36">
        <w:rPr>
          <w:szCs w:val="20"/>
          <w:lang w:val="en-GB"/>
        </w:rPr>
        <w:t xml:space="preserve">3.4. </w:t>
      </w:r>
      <w:r w:rsidR="002551AE" w:rsidRPr="00621D36">
        <w:rPr>
          <w:szCs w:val="20"/>
          <w:lang w:val="en-GB"/>
        </w:rPr>
        <w:t xml:space="preserve">Limitations and </w:t>
      </w:r>
      <w:r w:rsidR="002D26D3" w:rsidRPr="00621D36">
        <w:rPr>
          <w:szCs w:val="20"/>
          <w:lang w:val="en-GB"/>
        </w:rPr>
        <w:t>Future Perspectives</w:t>
      </w:r>
    </w:p>
    <w:p w14:paraId="490E9086" w14:textId="4F365FA1" w:rsidR="002551AE" w:rsidRPr="00621D36" w:rsidRDefault="002551AE" w:rsidP="00F77936">
      <w:pPr>
        <w:pStyle w:val="MDPI31text"/>
        <w:rPr>
          <w:szCs w:val="20"/>
          <w:lang w:val="en-GB"/>
        </w:rPr>
      </w:pPr>
      <w:r w:rsidRPr="00621D36">
        <w:rPr>
          <w:szCs w:val="20"/>
          <w:lang w:val="en-GB"/>
        </w:rPr>
        <w:t xml:space="preserve">This preliminary study used commercial white wine and </w:t>
      </w:r>
      <w:r w:rsidR="00F940EF">
        <w:rPr>
          <w:szCs w:val="20"/>
          <w:lang w:val="en-GB"/>
        </w:rPr>
        <w:t>the</w:t>
      </w:r>
      <w:r w:rsidR="00F940EF" w:rsidRPr="00621D36">
        <w:rPr>
          <w:szCs w:val="20"/>
          <w:lang w:val="en-GB"/>
        </w:rPr>
        <w:t xml:space="preserve"> </w:t>
      </w:r>
      <w:r w:rsidRPr="00621D36">
        <w:rPr>
          <w:szCs w:val="20"/>
          <w:lang w:val="en-GB"/>
        </w:rPr>
        <w:t>3</w:t>
      </w:r>
      <w:r w:rsidR="00B2067C" w:rsidRPr="00B2067C">
        <w:rPr>
          <w:szCs w:val="20"/>
          <w:lang w:val="en-GB"/>
        </w:rPr>
        <w:t xml:space="preserve"> </w:t>
      </w:r>
      <w:r w:rsidRPr="00621D36">
        <w:rPr>
          <w:szCs w:val="20"/>
          <w:lang w:val="en-GB"/>
        </w:rPr>
        <w:t xml:space="preserve">L </w:t>
      </w:r>
      <w:proofErr w:type="spellStart"/>
      <w:r w:rsidRPr="00621D36">
        <w:rPr>
          <w:szCs w:val="20"/>
          <w:lang w:val="en-GB"/>
        </w:rPr>
        <w:t>BiB</w:t>
      </w:r>
      <w:proofErr w:type="spellEnd"/>
      <w:r w:rsidRPr="00621D36">
        <w:rPr>
          <w:szCs w:val="20"/>
          <w:lang w:val="en-GB"/>
        </w:rPr>
        <w:t xml:space="preserve"> format. Grape variety and vintage </w:t>
      </w:r>
      <w:r w:rsidR="00F940EF">
        <w:rPr>
          <w:szCs w:val="20"/>
          <w:lang w:val="en-GB"/>
        </w:rPr>
        <w:t xml:space="preserve">information </w:t>
      </w:r>
      <w:r w:rsidR="00F940EF" w:rsidRPr="00621D36">
        <w:rPr>
          <w:szCs w:val="20"/>
          <w:lang w:val="en-GB"/>
        </w:rPr>
        <w:t>w</w:t>
      </w:r>
      <w:r w:rsidR="00F940EF">
        <w:rPr>
          <w:szCs w:val="20"/>
          <w:lang w:val="en-GB"/>
        </w:rPr>
        <w:t>as</w:t>
      </w:r>
      <w:r w:rsidR="00F940EF" w:rsidRPr="00621D36">
        <w:rPr>
          <w:szCs w:val="20"/>
          <w:lang w:val="en-GB"/>
        </w:rPr>
        <w:t xml:space="preserve"> </w:t>
      </w:r>
      <w:r w:rsidRPr="00621D36">
        <w:rPr>
          <w:szCs w:val="20"/>
          <w:lang w:val="en-GB"/>
        </w:rPr>
        <w:t>unavailable. Chemical analyses were grouped as C19/C50 and were not position-resolved, so they cannot be linked directly to top/bottom pressure behaviour. Raw chemical replicate values were not retained in the available study records. No microbiological measurements, viable cell counts, sensory analysis</w:t>
      </w:r>
      <w:r w:rsidR="00F940EF">
        <w:rPr>
          <w:szCs w:val="20"/>
          <w:lang w:val="en-GB"/>
        </w:rPr>
        <w:t>,</w:t>
      </w:r>
      <w:r w:rsidRPr="00621D36">
        <w:rPr>
          <w:szCs w:val="20"/>
          <w:lang w:val="en-GB"/>
        </w:rPr>
        <w:t xml:space="preserve"> or post-transport storage follow-up were performed. Malolactic or other microbial contributions therefore cannot be excluded, and the implications of lower SO</w:t>
      </w:r>
      <w:r w:rsidR="00BC02DA" w:rsidRPr="00621D36">
        <w:rPr>
          <w:szCs w:val="20"/>
          <w:vertAlign w:val="subscript"/>
          <w:lang w:val="en-GB"/>
        </w:rPr>
        <w:t>2</w:t>
      </w:r>
      <w:r w:rsidRPr="00621D36">
        <w:rPr>
          <w:szCs w:val="20"/>
          <w:lang w:val="en-GB"/>
        </w:rPr>
        <w:t xml:space="preserve"> reserve</w:t>
      </w:r>
      <w:r w:rsidR="00F940EF">
        <w:rPr>
          <w:szCs w:val="20"/>
          <w:lang w:val="en-GB"/>
        </w:rPr>
        <w:t>s</w:t>
      </w:r>
      <w:r w:rsidRPr="00621D36">
        <w:rPr>
          <w:szCs w:val="20"/>
          <w:lang w:val="en-GB"/>
        </w:rPr>
        <w:t xml:space="preserve"> for shelf life remain untested.</w:t>
      </w:r>
    </w:p>
    <w:p w14:paraId="4ECB311B" w14:textId="73FF821F" w:rsidR="002551AE" w:rsidRPr="00621D36" w:rsidRDefault="002551AE" w:rsidP="00F77936">
      <w:pPr>
        <w:pStyle w:val="MDPI31text"/>
        <w:rPr>
          <w:szCs w:val="20"/>
          <w:lang w:val="en-GB"/>
        </w:rPr>
      </w:pPr>
      <w:r w:rsidRPr="00621D36">
        <w:rPr>
          <w:szCs w:val="20"/>
          <w:lang w:val="en-GB"/>
        </w:rPr>
        <w:t xml:space="preserve">The main design limitation is the mismatch between </w:t>
      </w:r>
      <w:r w:rsidR="00801969">
        <w:rPr>
          <w:szCs w:val="20"/>
          <w:lang w:val="en-GB"/>
        </w:rPr>
        <w:t xml:space="preserve">the </w:t>
      </w:r>
      <w:r w:rsidRPr="00621D36">
        <w:rPr>
          <w:szCs w:val="20"/>
          <w:lang w:val="en-GB"/>
        </w:rPr>
        <w:t xml:space="preserve">chamber set point and in-bag temperature. In C50, late in-bag temperatures were 34.2 ± 0.4 </w:t>
      </w:r>
      <w:r w:rsidR="00BC02DA" w:rsidRPr="00621D36">
        <w:rPr>
          <w:szCs w:val="20"/>
          <w:lang w:val="en-GB"/>
        </w:rPr>
        <w:t>°C</w:t>
      </w:r>
      <w:r w:rsidRPr="00621D36">
        <w:rPr>
          <w:szCs w:val="20"/>
          <w:lang w:val="en-GB"/>
        </w:rPr>
        <w:t xml:space="preserve"> at </w:t>
      </w:r>
      <w:r w:rsidR="00801969">
        <w:rPr>
          <w:szCs w:val="20"/>
          <w:lang w:val="en-GB"/>
        </w:rPr>
        <w:t xml:space="preserve">the </w:t>
      </w:r>
      <w:r w:rsidRPr="00621D36">
        <w:rPr>
          <w:szCs w:val="20"/>
          <w:lang w:val="en-GB"/>
        </w:rPr>
        <w:t xml:space="preserve">top sensors and 26.1 ± 0.2 </w:t>
      </w:r>
      <w:r w:rsidR="00BC02DA" w:rsidRPr="00621D36">
        <w:rPr>
          <w:szCs w:val="20"/>
          <w:lang w:val="en-GB"/>
        </w:rPr>
        <w:t>°C</w:t>
      </w:r>
      <w:r w:rsidRPr="00621D36">
        <w:rPr>
          <w:szCs w:val="20"/>
          <w:lang w:val="en-GB"/>
        </w:rPr>
        <w:t xml:space="preserve"> at</w:t>
      </w:r>
      <w:r w:rsidR="00801969">
        <w:rPr>
          <w:szCs w:val="20"/>
          <w:lang w:val="en-GB"/>
        </w:rPr>
        <w:t xml:space="preserve"> the</w:t>
      </w:r>
      <w:r w:rsidRPr="00621D36">
        <w:rPr>
          <w:szCs w:val="20"/>
          <w:lang w:val="en-GB"/>
        </w:rPr>
        <w:t xml:space="preserve"> bottom sensors. This was not a 20-day wine exposure to 50 </w:t>
      </w:r>
      <w:r w:rsidR="00BC02DA" w:rsidRPr="00621D36">
        <w:rPr>
          <w:szCs w:val="20"/>
          <w:lang w:val="en-GB"/>
        </w:rPr>
        <w:t>°C</w:t>
      </w:r>
      <w:r w:rsidRPr="00621D36">
        <w:rPr>
          <w:szCs w:val="20"/>
          <w:lang w:val="en-GB"/>
        </w:rPr>
        <w:t>. Chamber model, volume, fan power, airflow, chamber</w:t>
      </w:r>
      <w:r w:rsidR="00801969">
        <w:rPr>
          <w:szCs w:val="20"/>
          <w:lang w:val="en-GB"/>
        </w:rPr>
        <w:t xml:space="preserve"> </w:t>
      </w:r>
      <w:r w:rsidRPr="00621D36">
        <w:rPr>
          <w:szCs w:val="20"/>
          <w:lang w:val="en-GB"/>
        </w:rPr>
        <w:t>air temperature</w:t>
      </w:r>
      <w:r w:rsidR="00801969">
        <w:rPr>
          <w:szCs w:val="20"/>
          <w:lang w:val="en-GB"/>
        </w:rPr>
        <w:t>,</w:t>
      </w:r>
      <w:r w:rsidRPr="00621D36">
        <w:rPr>
          <w:szCs w:val="20"/>
          <w:lang w:val="en-GB"/>
        </w:rPr>
        <w:t xml:space="preserve"> and pallet occupancy were not recorded, preventing </w:t>
      </w:r>
      <w:r w:rsidR="00801969">
        <w:rPr>
          <w:szCs w:val="20"/>
          <w:lang w:val="en-GB"/>
        </w:rPr>
        <w:t xml:space="preserve">the </w:t>
      </w:r>
      <w:r w:rsidRPr="00621D36">
        <w:rPr>
          <w:szCs w:val="20"/>
          <w:lang w:val="en-GB"/>
        </w:rPr>
        <w:t>identification of the specific cause of the effective thermal environment failing to reach the programmed C50 set point. There was one chamber per set point, so chamber identity and set point are confounded.</w:t>
      </w:r>
    </w:p>
    <w:p w14:paraId="6427BD23" w14:textId="589917AC" w:rsidR="002551AE" w:rsidRPr="00621D36" w:rsidRDefault="002551AE" w:rsidP="00F77936">
      <w:pPr>
        <w:pStyle w:val="MDPI31text"/>
        <w:rPr>
          <w:szCs w:val="20"/>
          <w:lang w:val="en-GB"/>
        </w:rPr>
      </w:pPr>
      <w:r w:rsidRPr="00621D36">
        <w:rPr>
          <w:szCs w:val="20"/>
          <w:lang w:val="en-GB"/>
        </w:rPr>
        <w:t xml:space="preserve">The pressure analysis used 11 sensor traces, with one missing bottom sensor and one </w:t>
      </w:r>
      <w:r w:rsidRPr="00621D36">
        <w:rPr>
          <w:szCs w:val="20"/>
          <w:highlight w:val="yellow"/>
          <w:lang w:val="en-GB"/>
        </w:rPr>
        <w:t>n</w:t>
      </w:r>
      <w:r w:rsidRPr="00621D36">
        <w:rPr>
          <w:szCs w:val="20"/>
          <w:lang w:val="en-GB"/>
        </w:rPr>
        <w:t xml:space="preserve"> = 2 cell. Stack IDs and sensor-to-stack pairings were not retained, so paired stack-level analysis was not possible. No barometric reference sensor was logged. Strong common-mode correlations among pressure traces limit </w:t>
      </w:r>
      <w:r w:rsidR="00801969">
        <w:rPr>
          <w:szCs w:val="20"/>
          <w:lang w:val="en-GB"/>
        </w:rPr>
        <w:t xml:space="preserve">the </w:t>
      </w:r>
      <w:r w:rsidRPr="00621D36">
        <w:rPr>
          <w:szCs w:val="20"/>
          <w:lang w:val="en-GB"/>
        </w:rPr>
        <w:t xml:space="preserve">interpretation of the shared absolute-pressure trajectory, but they do not by themselves explain the top-versus-bottom contrast at matched endpoint times. The pressure-position result remains exploratory because the analysis was based on 11 sensor traces, </w:t>
      </w:r>
      <w:r w:rsidR="00801969">
        <w:rPr>
          <w:szCs w:val="20"/>
          <w:lang w:val="en-GB"/>
        </w:rPr>
        <w:t xml:space="preserve">as </w:t>
      </w:r>
      <w:r w:rsidRPr="00621D36">
        <w:rPr>
          <w:szCs w:val="20"/>
          <w:lang w:val="en-GB"/>
        </w:rPr>
        <w:t>one bottom C19 trace was missing, no barometric reference sensor was logged</w:t>
      </w:r>
      <w:r w:rsidR="00801969">
        <w:rPr>
          <w:szCs w:val="20"/>
          <w:lang w:val="en-GB"/>
        </w:rPr>
        <w:t>,</w:t>
      </w:r>
      <w:r w:rsidRPr="00621D36">
        <w:rPr>
          <w:szCs w:val="20"/>
          <w:lang w:val="en-GB"/>
        </w:rPr>
        <w:t xml:space="preserve"> and stack identifiers or sensor-to-stack pairings were not retained. Baseline referencing reduces static offsets. It does not remove temperature-</w:t>
      </w:r>
      <w:r w:rsidRPr="00621D36">
        <w:rPr>
          <w:szCs w:val="20"/>
          <w:lang w:val="en-GB"/>
        </w:rPr>
        <w:lastRenderedPageBreak/>
        <w:t xml:space="preserve">dependent drift, ambient barometric variation, or possible effects from the oil-filled casing and displaced headspace. No bench calibration in </w:t>
      </w:r>
      <w:r w:rsidR="00801969">
        <w:rPr>
          <w:szCs w:val="20"/>
          <w:lang w:val="en-GB"/>
        </w:rPr>
        <w:t xml:space="preserve">the </w:t>
      </w:r>
      <w:r w:rsidRPr="00621D36">
        <w:rPr>
          <w:szCs w:val="20"/>
          <w:lang w:val="en-GB"/>
        </w:rPr>
        <w:t>wine matrix was available. The first 5 h were excluded from the primary storage analysis; including them did not change the peak endpoint. The verification trial used one stack, one sensor stopped after about 4 days 8 h</w:t>
      </w:r>
      <w:r w:rsidR="00801969">
        <w:rPr>
          <w:szCs w:val="20"/>
          <w:lang w:val="en-GB"/>
        </w:rPr>
        <w:t>,</w:t>
      </w:r>
      <w:r w:rsidRPr="00621D36">
        <w:rPr>
          <w:szCs w:val="20"/>
          <w:lang w:val="en-GB"/>
        </w:rPr>
        <w:t xml:space="preserve"> and no sensor reached 50 </w:t>
      </w:r>
      <w:r w:rsidR="00BC02DA" w:rsidRPr="00621D36">
        <w:rPr>
          <w:szCs w:val="20"/>
          <w:lang w:val="en-GB"/>
        </w:rPr>
        <w:t>°C</w:t>
      </w:r>
      <w:r w:rsidRPr="00621D36">
        <w:rPr>
          <w:szCs w:val="20"/>
          <w:lang w:val="en-GB"/>
        </w:rPr>
        <w:t>. Sensor deployment is discussed only as sentinel, validation</w:t>
      </w:r>
      <w:r w:rsidR="00801969">
        <w:rPr>
          <w:szCs w:val="20"/>
          <w:lang w:val="en-GB"/>
        </w:rPr>
        <w:t>,</w:t>
      </w:r>
      <w:r w:rsidRPr="00621D36">
        <w:rPr>
          <w:szCs w:val="20"/>
          <w:lang w:val="en-GB"/>
        </w:rPr>
        <w:t xml:space="preserve"> or quality-control monitoring because no techno-economic analysis was performed. For future pallet-scale validation of 3</w:t>
      </w:r>
      <w:r w:rsidR="00B2067C" w:rsidRPr="00B2067C">
        <w:rPr>
          <w:szCs w:val="20"/>
          <w:lang w:val="en-GB"/>
        </w:rPr>
        <w:t xml:space="preserve"> </w:t>
      </w:r>
      <w:r w:rsidRPr="00621D36">
        <w:rPr>
          <w:szCs w:val="20"/>
          <w:lang w:val="en-GB"/>
        </w:rPr>
        <w:t xml:space="preserve">L </w:t>
      </w:r>
      <w:proofErr w:type="spellStart"/>
      <w:r w:rsidRPr="00621D36">
        <w:rPr>
          <w:szCs w:val="20"/>
          <w:lang w:val="en-GB"/>
        </w:rPr>
        <w:t>BiB</w:t>
      </w:r>
      <w:proofErr w:type="spellEnd"/>
      <w:r w:rsidRPr="00621D36">
        <w:rPr>
          <w:szCs w:val="20"/>
          <w:lang w:val="en-GB"/>
        </w:rPr>
        <w:t xml:space="preserve"> packaging, sensor density should be treated as a design parameter rather than assumed from this preliminary trial. As a practical starting point, at least six in-bag pressure sensors per pallet-scale configuration would be desirable, with one top-position and one bottom-position </w:t>
      </w:r>
      <w:proofErr w:type="spellStart"/>
      <w:r w:rsidRPr="00621D36">
        <w:rPr>
          <w:szCs w:val="20"/>
          <w:lang w:val="en-GB"/>
        </w:rPr>
        <w:t>BiB</w:t>
      </w:r>
      <w:proofErr w:type="spellEnd"/>
      <w:r w:rsidRPr="00621D36">
        <w:rPr>
          <w:szCs w:val="20"/>
          <w:lang w:val="en-GB"/>
        </w:rPr>
        <w:t xml:space="preserve"> instrumented in at least three stacks or pallet locations. When resources allow, 8–12 sensors distributed across stack height and pallet position would give better coverage of </w:t>
      </w:r>
      <w:r w:rsidR="00801969">
        <w:rPr>
          <w:szCs w:val="20"/>
          <w:lang w:val="en-GB"/>
        </w:rPr>
        <w:t xml:space="preserve">the </w:t>
      </w:r>
      <w:r w:rsidRPr="00621D36">
        <w:rPr>
          <w:szCs w:val="20"/>
          <w:lang w:val="en-GB"/>
        </w:rPr>
        <w:t>local load and thermal heterogeneity. These numbers should be considered preliminary, because no formal deployment</w:t>
      </w:r>
      <w:r w:rsidR="00801969">
        <w:rPr>
          <w:szCs w:val="20"/>
          <w:lang w:val="en-GB"/>
        </w:rPr>
        <w:t xml:space="preserve"> </w:t>
      </w:r>
      <w:r w:rsidRPr="00621D36">
        <w:rPr>
          <w:szCs w:val="20"/>
          <w:lang w:val="en-GB"/>
        </w:rPr>
        <w:t>density or techno-economic optimisation was performed in this study. Before implementation, sensors should be checked against a pressure reference, tested for thermal drift over the expected storage</w:t>
      </w:r>
      <w:r w:rsidR="00801969">
        <w:rPr>
          <w:szCs w:val="20"/>
          <w:lang w:val="en-GB"/>
        </w:rPr>
        <w:t xml:space="preserve"> </w:t>
      </w:r>
      <w:r w:rsidRPr="00621D36">
        <w:rPr>
          <w:szCs w:val="20"/>
          <w:lang w:val="en-GB"/>
        </w:rPr>
        <w:t>temperature range, verified for sealing after insertion, and supported by independent barometric and air</w:t>
      </w:r>
      <w:r w:rsidR="00801969">
        <w:rPr>
          <w:szCs w:val="20"/>
          <w:lang w:val="en-GB"/>
        </w:rPr>
        <w:t xml:space="preserve"> </w:t>
      </w:r>
      <w:r w:rsidRPr="00621D36">
        <w:rPr>
          <w:szCs w:val="20"/>
          <w:lang w:val="en-GB"/>
        </w:rPr>
        <w:t>temperature logging.</w:t>
      </w:r>
    </w:p>
    <w:p w14:paraId="638FC9DE" w14:textId="74B03E12" w:rsidR="002551AE" w:rsidRPr="00621D36" w:rsidRDefault="002551AE" w:rsidP="00F77936">
      <w:pPr>
        <w:pStyle w:val="MDPI31text"/>
        <w:rPr>
          <w:szCs w:val="20"/>
          <w:lang w:val="en-GB"/>
        </w:rPr>
      </w:pPr>
      <w:r w:rsidRPr="00621D36">
        <w:rPr>
          <w:szCs w:val="20"/>
          <w:lang w:val="en-GB"/>
        </w:rPr>
        <w:t>Despite these limitations, the study shows why direct package-level measurement matters. Chamber set points did not predict realised wine temperature, and sensor-level pressure summaries suggested position-related offsets under the tested stacking configuration. Future work should combine replicated chambers with chamber</w:t>
      </w:r>
      <w:r w:rsidR="00801969">
        <w:rPr>
          <w:szCs w:val="20"/>
          <w:lang w:val="en-GB"/>
        </w:rPr>
        <w:t xml:space="preserve"> </w:t>
      </w:r>
      <w:r w:rsidRPr="00621D36">
        <w:rPr>
          <w:szCs w:val="20"/>
          <w:lang w:val="en-GB"/>
        </w:rPr>
        <w:t>air and barometric logging, bench calibration, position-resolved chemistry, microbiology, realistic fluctuating temperature and vibration profiles, broader package formats</w:t>
      </w:r>
      <w:r w:rsidR="00801969">
        <w:rPr>
          <w:szCs w:val="20"/>
          <w:lang w:val="en-GB"/>
        </w:rPr>
        <w:t>,</w:t>
      </w:r>
      <w:r w:rsidRPr="00621D36">
        <w:rPr>
          <w:szCs w:val="20"/>
          <w:lang w:val="en-GB"/>
        </w:rPr>
        <w:t xml:space="preserve"> and cost</w:t>
      </w:r>
      <w:r w:rsidR="00B2067C" w:rsidRPr="00B2067C">
        <w:rPr>
          <w:szCs w:val="20"/>
          <w:lang w:val="en-GB"/>
        </w:rPr>
        <w:t>–</w:t>
      </w:r>
      <w:r w:rsidRPr="00621D36">
        <w:rPr>
          <w:szCs w:val="20"/>
          <w:lang w:val="en-GB"/>
        </w:rPr>
        <w:t>benefit evaluation</w:t>
      </w:r>
      <w:r w:rsidR="00801969">
        <w:rPr>
          <w:szCs w:val="20"/>
          <w:lang w:val="en-GB"/>
        </w:rPr>
        <w:t>s</w:t>
      </w:r>
      <w:r w:rsidRPr="00621D36">
        <w:rPr>
          <w:szCs w:val="20"/>
          <w:lang w:val="en-GB"/>
        </w:rPr>
        <w:t xml:space="preserve"> of sentinel sensing.</w:t>
      </w:r>
    </w:p>
    <w:p w14:paraId="1E4047E8" w14:textId="77777777" w:rsidR="002551AE" w:rsidRPr="00621D36" w:rsidRDefault="002551AE" w:rsidP="00F77936">
      <w:pPr>
        <w:pStyle w:val="MDPI21heading1"/>
        <w:rPr>
          <w:szCs w:val="24"/>
          <w:lang w:val="en-GB"/>
        </w:rPr>
      </w:pPr>
      <w:r w:rsidRPr="00621D36">
        <w:rPr>
          <w:szCs w:val="24"/>
          <w:lang w:val="en-GB"/>
        </w:rPr>
        <w:t>4. Conclusions</w:t>
      </w:r>
    </w:p>
    <w:p w14:paraId="2313453B" w14:textId="284A2231" w:rsidR="002551AE" w:rsidRPr="00621D36" w:rsidRDefault="002551AE" w:rsidP="00F77936">
      <w:pPr>
        <w:pStyle w:val="MDPI31text"/>
        <w:rPr>
          <w:szCs w:val="20"/>
          <w:lang w:val="en-GB"/>
        </w:rPr>
      </w:pPr>
      <w:r w:rsidRPr="00621D36">
        <w:rPr>
          <w:szCs w:val="20"/>
          <w:lang w:val="en-GB"/>
        </w:rPr>
        <w:t>This study monitored pressure and temperature inside palletised 3</w:t>
      </w:r>
      <w:r w:rsidR="00B2067C" w:rsidRPr="00B2067C">
        <w:rPr>
          <w:szCs w:val="20"/>
          <w:lang w:val="en-GB"/>
        </w:rPr>
        <w:t xml:space="preserve"> </w:t>
      </w:r>
      <w:r w:rsidRPr="00621D36">
        <w:rPr>
          <w:szCs w:val="20"/>
          <w:lang w:val="en-GB"/>
        </w:rPr>
        <w:t xml:space="preserve">L </w:t>
      </w:r>
      <w:proofErr w:type="spellStart"/>
      <w:r w:rsidRPr="00621D36">
        <w:rPr>
          <w:szCs w:val="20"/>
          <w:lang w:val="en-GB"/>
        </w:rPr>
        <w:t>BiB</w:t>
      </w:r>
      <w:proofErr w:type="spellEnd"/>
      <w:r w:rsidRPr="00621D36">
        <w:rPr>
          <w:szCs w:val="20"/>
          <w:lang w:val="en-GB"/>
        </w:rPr>
        <w:t xml:space="preserve"> wine units under static chamber conditions. The set-point labels C19 and C50 did not represent the temperature experienced by the wine. In the main trial, C50 packages stabilised at 34.2 ± 0.4 </w:t>
      </w:r>
      <w:r w:rsidR="00BC02DA" w:rsidRPr="00621D36">
        <w:rPr>
          <w:szCs w:val="20"/>
          <w:lang w:val="en-GB"/>
        </w:rPr>
        <w:t>°C</w:t>
      </w:r>
      <w:r w:rsidRPr="00621D36">
        <w:rPr>
          <w:szCs w:val="20"/>
          <w:lang w:val="en-GB"/>
        </w:rPr>
        <w:t xml:space="preserve"> at the top and 26.1 ± 0.2 </w:t>
      </w:r>
      <w:r w:rsidR="00BC02DA" w:rsidRPr="00621D36">
        <w:rPr>
          <w:szCs w:val="20"/>
          <w:lang w:val="en-GB"/>
        </w:rPr>
        <w:t>°C</w:t>
      </w:r>
      <w:r w:rsidRPr="00621D36">
        <w:rPr>
          <w:szCs w:val="20"/>
          <w:lang w:val="en-GB"/>
        </w:rPr>
        <w:t xml:space="preserve"> at the bottom, while C19 packages were about 23 </w:t>
      </w:r>
      <w:r w:rsidR="00BC02DA" w:rsidRPr="00621D36">
        <w:rPr>
          <w:szCs w:val="20"/>
          <w:lang w:val="en-GB"/>
        </w:rPr>
        <w:t>°C</w:t>
      </w:r>
      <w:r w:rsidRPr="00621D36">
        <w:rPr>
          <w:szCs w:val="20"/>
          <w:lang w:val="en-GB"/>
        </w:rPr>
        <w:t xml:space="preserve">. The main trial therefore supports conclusions about the realised set-point groups and measured package temperatures, not about a 20-day wine exposure to 50 </w:t>
      </w:r>
      <w:r w:rsidR="00BC02DA" w:rsidRPr="00621D36">
        <w:rPr>
          <w:szCs w:val="20"/>
          <w:lang w:val="en-GB"/>
        </w:rPr>
        <w:t>°C</w:t>
      </w:r>
      <w:r w:rsidRPr="00621D36">
        <w:rPr>
          <w:szCs w:val="20"/>
          <w:lang w:val="en-GB"/>
        </w:rPr>
        <w:t>.</w:t>
      </w:r>
    </w:p>
    <w:p w14:paraId="3553B9E2" w14:textId="3F0E69C6" w:rsidR="002551AE" w:rsidRPr="00621D36" w:rsidRDefault="002551AE" w:rsidP="00F77936">
      <w:pPr>
        <w:pStyle w:val="MDPI31text"/>
        <w:rPr>
          <w:szCs w:val="20"/>
          <w:lang w:val="en-GB" w:bidi="fa-IR"/>
        </w:rPr>
      </w:pPr>
      <w:r w:rsidRPr="00621D36">
        <w:rPr>
          <w:szCs w:val="20"/>
          <w:lang w:val="en-GB"/>
        </w:rPr>
        <w:t xml:space="preserve">Bottom-position </w:t>
      </w:r>
      <w:proofErr w:type="spellStart"/>
      <w:r w:rsidRPr="00621D36">
        <w:rPr>
          <w:szCs w:val="20"/>
          <w:lang w:val="en-GB"/>
        </w:rPr>
        <w:t>BiBs</w:t>
      </w:r>
      <w:proofErr w:type="spellEnd"/>
      <w:r w:rsidRPr="00621D36">
        <w:rPr>
          <w:szCs w:val="20"/>
          <w:lang w:val="en-GB"/>
        </w:rPr>
        <w:t xml:space="preserve"> had a larger mean uncorrected peak ΔP than top-position </w:t>
      </w:r>
      <w:proofErr w:type="spellStart"/>
      <w:r w:rsidRPr="00621D36">
        <w:rPr>
          <w:szCs w:val="20"/>
          <w:lang w:val="en-GB"/>
        </w:rPr>
        <w:t>BiBs</w:t>
      </w:r>
      <w:proofErr w:type="spellEnd"/>
      <w:r w:rsidRPr="00621D36">
        <w:rPr>
          <w:szCs w:val="20"/>
          <w:lang w:val="en-GB"/>
        </w:rPr>
        <w:t xml:space="preserve"> under the tested stacking configuration (adjusted difference</w:t>
      </w:r>
      <w:r w:rsidR="00EF0198">
        <w:rPr>
          <w:szCs w:val="20"/>
          <w:lang w:val="en-GB"/>
        </w:rPr>
        <w:t xml:space="preserve"> of</w:t>
      </w:r>
      <w:r w:rsidRPr="00621D36">
        <w:rPr>
          <w:szCs w:val="20"/>
          <w:lang w:val="en-GB"/>
        </w:rPr>
        <w:t xml:space="preserve"> 20.4 mbar; F(1,8) = 9.14; </w:t>
      </w:r>
      <w:r w:rsidR="00A50198" w:rsidRPr="00621D36">
        <w:rPr>
          <w:i/>
          <w:szCs w:val="20"/>
          <w:lang w:val="en-GB"/>
        </w:rPr>
        <w:t>p</w:t>
      </w:r>
      <w:r w:rsidRPr="00621D36">
        <w:rPr>
          <w:szCs w:val="20"/>
          <w:lang w:val="en-GB"/>
        </w:rPr>
        <w:t xml:space="preserve"> = 0.017). Individual post-handling pressure maxima were reached between day 3 + 13 h and day 5 + 19 h after the start of monitoring, well after the initial 5 h handling/stacking interval. Internal diagnostics showed </w:t>
      </w:r>
      <w:r w:rsidR="00EF0198">
        <w:rPr>
          <w:szCs w:val="20"/>
          <w:lang w:val="en-GB"/>
        </w:rPr>
        <w:t xml:space="preserve">a </w:t>
      </w:r>
      <w:r w:rsidRPr="00621D36">
        <w:rPr>
          <w:szCs w:val="20"/>
          <w:lang w:val="en-GB"/>
        </w:rPr>
        <w:t xml:space="preserve">strong common-mode structure across the absolute pressure traces. However, when common-mode residuals were evaluated at the original uncorrected peak times, the position term remained statistically detectable (F(1,8) = 9.02; </w:t>
      </w:r>
      <w:r w:rsidR="00A50198" w:rsidRPr="00621D36">
        <w:rPr>
          <w:i/>
          <w:szCs w:val="20"/>
          <w:lang w:val="en-GB"/>
        </w:rPr>
        <w:t>p</w:t>
      </w:r>
      <w:r w:rsidRPr="00621D36">
        <w:rPr>
          <w:szCs w:val="20"/>
          <w:lang w:val="en-GB"/>
        </w:rPr>
        <w:t xml:space="preserve"> = 0.017). The alternative maximum-residual endpoint was not statistically detectable (F(1,8) = 3.21; </w:t>
      </w:r>
      <w:r w:rsidR="00A50198" w:rsidRPr="00621D36">
        <w:rPr>
          <w:i/>
          <w:szCs w:val="20"/>
          <w:lang w:val="en-GB"/>
        </w:rPr>
        <w:t>p</w:t>
      </w:r>
      <w:r w:rsidRPr="00621D36">
        <w:rPr>
          <w:szCs w:val="20"/>
          <w:lang w:val="en-GB"/>
        </w:rPr>
        <w:t xml:space="preserve"> = 0.111). However, this represents a different endpoint definition rather than a direct correction of the original peak-pressure endpoint. The pressure result is therefore interpreted as a transient position-related offset superimposed on common-mode absolute-pressure variation, and it remains exploratory because of the small unbalanced sensor-level design, the missing bottom C19 trace, the absence of barometric reference logging</w:t>
      </w:r>
      <w:r w:rsidR="0002739F">
        <w:rPr>
          <w:szCs w:val="20"/>
          <w:lang w:val="en-GB"/>
        </w:rPr>
        <w:t>,</w:t>
      </w:r>
      <w:r w:rsidRPr="00621D36">
        <w:rPr>
          <w:szCs w:val="20"/>
          <w:lang w:val="en-GB"/>
        </w:rPr>
        <w:t xml:space="preserve"> and the lack of retained stack pairings. Neither factor was statistically detectable by day 20. Including the first 5 h did not change the uncorrected peak endpoint.</w:t>
      </w:r>
      <w:r w:rsidRPr="00621D36">
        <w:rPr>
          <w:szCs w:val="20"/>
          <w:lang w:val="en-GB" w:bidi="fa-IR"/>
        </w:rPr>
        <w:t xml:space="preserve"> </w:t>
      </w:r>
      <w:r w:rsidRPr="00621D36">
        <w:rPr>
          <w:szCs w:val="20"/>
          <w:lang w:val="en-GB"/>
        </w:rPr>
        <w:t>Wine from C50 showed lower free and total SO</w:t>
      </w:r>
      <w:r w:rsidR="00BC02DA" w:rsidRPr="00621D36">
        <w:rPr>
          <w:szCs w:val="20"/>
          <w:vertAlign w:val="subscript"/>
          <w:lang w:val="en-GB"/>
        </w:rPr>
        <w:t>2</w:t>
      </w:r>
      <w:r w:rsidRPr="00621D36">
        <w:rPr>
          <w:szCs w:val="20"/>
          <w:lang w:val="en-GB"/>
        </w:rPr>
        <w:t>, higher volatile acidity</w:t>
      </w:r>
      <w:r w:rsidR="0002739F">
        <w:rPr>
          <w:szCs w:val="20"/>
          <w:lang w:val="en-GB"/>
        </w:rPr>
        <w:t>,</w:t>
      </w:r>
      <w:r w:rsidRPr="00621D36">
        <w:rPr>
          <w:szCs w:val="20"/>
          <w:lang w:val="en-GB"/>
        </w:rPr>
        <w:t xml:space="preserve"> and a numerically higher lactic</w:t>
      </w:r>
      <w:r w:rsidR="0002739F">
        <w:rPr>
          <w:szCs w:val="20"/>
          <w:lang w:val="en-GB"/>
        </w:rPr>
        <w:t xml:space="preserve"> </w:t>
      </w:r>
      <w:r w:rsidRPr="00621D36">
        <w:rPr>
          <w:szCs w:val="20"/>
          <w:lang w:val="en-GB"/>
        </w:rPr>
        <w:t>acid value than wine from C19, while pH, ethanol, titratable acidity</w:t>
      </w:r>
      <w:r w:rsidR="0002739F">
        <w:rPr>
          <w:szCs w:val="20"/>
          <w:lang w:val="en-GB"/>
        </w:rPr>
        <w:t>,</w:t>
      </w:r>
      <w:r w:rsidRPr="00621D36">
        <w:rPr>
          <w:szCs w:val="20"/>
          <w:lang w:val="en-GB"/>
        </w:rPr>
        <w:t xml:space="preserve"> and total phenols did not differ significantly. These are bulk chamber-group chemistry results; they were not resolved by package position. Shelf life, sensory quality</w:t>
      </w:r>
      <w:r w:rsidR="0002739F">
        <w:rPr>
          <w:szCs w:val="20"/>
          <w:lang w:val="en-GB"/>
        </w:rPr>
        <w:t>,</w:t>
      </w:r>
      <w:r w:rsidRPr="00621D36">
        <w:rPr>
          <w:szCs w:val="20"/>
          <w:lang w:val="en-GB"/>
        </w:rPr>
        <w:t xml:space="preserve"> and microbiology after </w:t>
      </w:r>
      <w:r w:rsidRPr="00621D36">
        <w:rPr>
          <w:szCs w:val="20"/>
          <w:lang w:val="en-GB"/>
        </w:rPr>
        <w:lastRenderedPageBreak/>
        <w:t xml:space="preserve">storage were not tested. In the verification trial, one stack reached 45.0–48.8 </w:t>
      </w:r>
      <w:r w:rsidR="00BC02DA" w:rsidRPr="00621D36">
        <w:rPr>
          <w:szCs w:val="20"/>
          <w:lang w:val="en-GB"/>
        </w:rPr>
        <w:t>°C</w:t>
      </w:r>
      <w:r w:rsidRPr="00621D36">
        <w:rPr>
          <w:szCs w:val="20"/>
          <w:lang w:val="en-GB"/>
        </w:rPr>
        <w:t xml:space="preserve"> across sensors but still did not reach 50 </w:t>
      </w:r>
      <w:r w:rsidR="00BC02DA" w:rsidRPr="00621D36">
        <w:rPr>
          <w:szCs w:val="20"/>
          <w:lang w:val="en-GB"/>
        </w:rPr>
        <w:t>°C</w:t>
      </w:r>
      <w:r w:rsidRPr="00621D36">
        <w:rPr>
          <w:szCs w:val="20"/>
          <w:lang w:val="en-GB"/>
        </w:rPr>
        <w:t>, and pressure changes were small and transient. The practical implication is to use selected sentinel packages or validation deployments to measure actual in-package conditions, with deployment density and economic feasibility left for future work.</w:t>
      </w:r>
    </w:p>
    <w:p w14:paraId="1C717015" w14:textId="21247249" w:rsidR="002551AE" w:rsidRPr="00621D36" w:rsidRDefault="00F77936" w:rsidP="00F77936">
      <w:pPr>
        <w:pStyle w:val="MDPI62backmatter"/>
        <w:spacing w:before="240"/>
        <w:rPr>
          <w:szCs w:val="18"/>
          <w:lang w:val="en-GB" w:eastAsia="de-DE" w:bidi="fa-IR"/>
        </w:rPr>
      </w:pPr>
      <w:r w:rsidRPr="00621D36">
        <w:rPr>
          <w:b/>
          <w:szCs w:val="18"/>
          <w:lang w:val="en-GB" w:eastAsia="de-DE" w:bidi="fa-IR"/>
        </w:rPr>
        <w:t>Supplementary Material</w:t>
      </w:r>
      <w:r w:rsidR="002551AE" w:rsidRPr="00621D36">
        <w:rPr>
          <w:b/>
          <w:szCs w:val="18"/>
          <w:lang w:val="en-GB" w:eastAsia="de-DE" w:bidi="fa-IR"/>
        </w:rPr>
        <w:t xml:space="preserve">s: </w:t>
      </w:r>
      <w:r w:rsidR="002551AE" w:rsidRPr="00621D36">
        <w:rPr>
          <w:szCs w:val="18"/>
          <w:lang w:val="en-GB" w:eastAsia="de-DE" w:bidi="fa-IR"/>
        </w:rPr>
        <w:t xml:space="preserve">Figure S1 is available on </w:t>
      </w:r>
      <w:proofErr w:type="spellStart"/>
      <w:r w:rsidR="002551AE" w:rsidRPr="00621D36">
        <w:rPr>
          <w:szCs w:val="18"/>
          <w:lang w:val="en-GB" w:eastAsia="de-DE" w:bidi="fa-IR"/>
        </w:rPr>
        <w:t>Zenodo</w:t>
      </w:r>
      <w:proofErr w:type="spellEnd"/>
      <w:r w:rsidR="002551AE" w:rsidRPr="00621D36">
        <w:rPr>
          <w:szCs w:val="18"/>
          <w:lang w:val="en-GB" w:eastAsia="de-DE" w:bidi="fa-IR"/>
        </w:rPr>
        <w:t xml:space="preserve">: https://doi.org/10.5281/zenodo.21921020. </w:t>
      </w:r>
      <w:commentRangeStart w:id="19"/>
      <w:r w:rsidR="002551AE" w:rsidRPr="00621D36">
        <w:rPr>
          <w:szCs w:val="18"/>
          <w:highlight w:val="yellow"/>
          <w:lang w:val="en-GB" w:eastAsia="de-DE" w:bidi="fa-IR"/>
        </w:rPr>
        <w:t xml:space="preserve">Figure S1 includes trace-wise common-mode correlations, </w:t>
      </w:r>
      <w:r w:rsidR="0002739F">
        <w:rPr>
          <w:szCs w:val="18"/>
          <w:highlight w:val="yellow"/>
          <w:lang w:val="en-GB" w:eastAsia="de-DE" w:bidi="fa-IR"/>
        </w:rPr>
        <w:t xml:space="preserve">a </w:t>
      </w:r>
      <w:r w:rsidR="002551AE" w:rsidRPr="00621D36">
        <w:rPr>
          <w:szCs w:val="18"/>
          <w:highlight w:val="yellow"/>
          <w:lang w:val="en-GB" w:eastAsia="de-DE" w:bidi="fa-IR"/>
        </w:rPr>
        <w:t>matched-time residual comparison, and leave-one-out sensitivity analysis</w:t>
      </w:r>
      <w:commentRangeEnd w:id="19"/>
      <w:r w:rsidR="0026550C" w:rsidRPr="00621D36">
        <w:rPr>
          <w:rStyle w:val="CommentReference"/>
          <w:sz w:val="18"/>
          <w:szCs w:val="18"/>
          <w:lang w:val="en-GB" w:eastAsia="de-DE" w:bidi="fa-IR"/>
        </w:rPr>
        <w:commentReference w:id="19"/>
      </w:r>
      <w:r w:rsidR="002551AE" w:rsidRPr="00621D36">
        <w:rPr>
          <w:szCs w:val="18"/>
          <w:lang w:val="en-GB" w:eastAsia="de-DE" w:bidi="fa-IR"/>
        </w:rPr>
        <w:t>.</w:t>
      </w:r>
    </w:p>
    <w:p w14:paraId="7241DA84" w14:textId="26FC9EB5" w:rsidR="002551AE" w:rsidRPr="00621D36" w:rsidRDefault="00F77936" w:rsidP="00F77936">
      <w:pPr>
        <w:pStyle w:val="MDPI62backmatter"/>
        <w:rPr>
          <w:szCs w:val="18"/>
          <w:lang w:val="en-GB"/>
        </w:rPr>
      </w:pPr>
      <w:r w:rsidRPr="00621D36">
        <w:rPr>
          <w:b/>
          <w:szCs w:val="18"/>
          <w:lang w:val="en-GB"/>
        </w:rPr>
        <w:t>Author Contribution</w:t>
      </w:r>
      <w:r w:rsidR="002551AE" w:rsidRPr="00621D36">
        <w:rPr>
          <w:b/>
          <w:szCs w:val="18"/>
          <w:lang w:val="en-GB"/>
        </w:rPr>
        <w:t xml:space="preserve">s: </w:t>
      </w:r>
      <w:r w:rsidR="002551AE" w:rsidRPr="00621D36">
        <w:rPr>
          <w:szCs w:val="18"/>
          <w:lang w:val="en-GB"/>
        </w:rPr>
        <w:t>Conceptualization, M.M., F.P., P.G.V.</w:t>
      </w:r>
      <w:r w:rsidR="0002739F">
        <w:rPr>
          <w:szCs w:val="18"/>
          <w:lang w:val="en-GB"/>
        </w:rPr>
        <w:t>,</w:t>
      </w:r>
      <w:r w:rsidR="002551AE" w:rsidRPr="00621D36">
        <w:rPr>
          <w:szCs w:val="18"/>
          <w:lang w:val="en-GB"/>
        </w:rPr>
        <w:t xml:space="preserve"> and A.Z.; methodology, B.C. and N.M.; software, B.C., K.M.</w:t>
      </w:r>
      <w:r w:rsidR="0002739F">
        <w:rPr>
          <w:szCs w:val="18"/>
          <w:lang w:val="en-GB"/>
        </w:rPr>
        <w:t>,</w:t>
      </w:r>
      <w:r w:rsidR="002551AE" w:rsidRPr="00621D36">
        <w:rPr>
          <w:szCs w:val="18"/>
          <w:lang w:val="en-GB"/>
        </w:rPr>
        <w:t xml:space="preserve"> and N.M.; validation, M.M., B.C.</w:t>
      </w:r>
      <w:r w:rsidR="0002739F">
        <w:rPr>
          <w:szCs w:val="18"/>
          <w:lang w:val="en-GB"/>
        </w:rPr>
        <w:t>,</w:t>
      </w:r>
      <w:r w:rsidR="002551AE" w:rsidRPr="00621D36">
        <w:rPr>
          <w:szCs w:val="18"/>
          <w:lang w:val="en-GB"/>
        </w:rPr>
        <w:t xml:space="preserve"> and N.M.; formal analysis, B.C., P.G.V.</w:t>
      </w:r>
      <w:r w:rsidR="0002739F">
        <w:rPr>
          <w:szCs w:val="18"/>
          <w:lang w:val="en-GB"/>
        </w:rPr>
        <w:t>,</w:t>
      </w:r>
      <w:r w:rsidR="002551AE" w:rsidRPr="00621D36">
        <w:rPr>
          <w:szCs w:val="18"/>
          <w:lang w:val="en-GB"/>
        </w:rPr>
        <w:t xml:space="preserve"> and N.M.; investigation, B.C. and N.M.; resources, F.P., P.G.V.</w:t>
      </w:r>
      <w:r w:rsidR="0002739F">
        <w:rPr>
          <w:szCs w:val="18"/>
          <w:lang w:val="en-GB"/>
        </w:rPr>
        <w:t>,</w:t>
      </w:r>
      <w:r w:rsidR="002551AE" w:rsidRPr="00621D36">
        <w:rPr>
          <w:szCs w:val="18"/>
          <w:lang w:val="en-GB"/>
        </w:rPr>
        <w:t xml:space="preserve"> and A.Z.; data curation, M.M., B.C., K.M.</w:t>
      </w:r>
      <w:r w:rsidR="0002739F">
        <w:rPr>
          <w:szCs w:val="18"/>
          <w:lang w:val="en-GB"/>
        </w:rPr>
        <w:t>,</w:t>
      </w:r>
      <w:r w:rsidR="002551AE" w:rsidRPr="00621D36">
        <w:rPr>
          <w:szCs w:val="18"/>
          <w:lang w:val="en-GB"/>
        </w:rPr>
        <w:t xml:space="preserve"> and N.M.; writing—original draft preparation, M.M. and N.M.; writing—review and editing, M.M. and N.M.; visuali</w:t>
      </w:r>
      <w:r w:rsidR="00B2067C" w:rsidRPr="00B2067C">
        <w:rPr>
          <w:szCs w:val="18"/>
          <w:lang w:val="en-GB"/>
        </w:rPr>
        <w:t>s</w:t>
      </w:r>
      <w:r w:rsidR="002551AE" w:rsidRPr="00621D36">
        <w:rPr>
          <w:szCs w:val="18"/>
          <w:lang w:val="en-GB"/>
        </w:rPr>
        <w:t>ation, M.M., B.C.</w:t>
      </w:r>
      <w:r w:rsidR="0002739F">
        <w:rPr>
          <w:szCs w:val="18"/>
          <w:lang w:val="en-GB"/>
        </w:rPr>
        <w:t>,</w:t>
      </w:r>
      <w:r w:rsidR="002551AE" w:rsidRPr="00621D36">
        <w:rPr>
          <w:szCs w:val="18"/>
          <w:lang w:val="en-GB"/>
        </w:rPr>
        <w:t xml:space="preserve"> and N.M.; supervision, F.P. and A.Z.; project administration, F.P. and A.Z.; funding acquisition, </w:t>
      </w:r>
      <w:r w:rsidR="002551AE" w:rsidRPr="00431E13">
        <w:rPr>
          <w:szCs w:val="18"/>
          <w:lang w:val="en-GB"/>
        </w:rPr>
        <w:t>A.Z.</w:t>
      </w:r>
      <w:r w:rsidRPr="00431E13">
        <w:rPr>
          <w:szCs w:val="18"/>
          <w:lang w:val="en-GB"/>
        </w:rPr>
        <w:t xml:space="preserve"> </w:t>
      </w:r>
      <w:r w:rsidR="002551AE" w:rsidRPr="00431E13">
        <w:rPr>
          <w:szCs w:val="18"/>
          <w:lang w:val="en-GB"/>
        </w:rPr>
        <w:t xml:space="preserve">All </w:t>
      </w:r>
      <w:r w:rsidR="002551AE" w:rsidRPr="00621D36">
        <w:rPr>
          <w:szCs w:val="18"/>
          <w:lang w:val="en-GB"/>
        </w:rPr>
        <w:t>authors have read and agreed to the published version of the manuscript.</w:t>
      </w:r>
    </w:p>
    <w:p w14:paraId="6368F249" w14:textId="63FC7A27" w:rsidR="002551AE" w:rsidRPr="00621D36" w:rsidRDefault="002551AE" w:rsidP="00F77936">
      <w:pPr>
        <w:pStyle w:val="MDPI62backmatter"/>
        <w:rPr>
          <w:rFonts w:eastAsiaTheme="minorEastAsia"/>
          <w:szCs w:val="18"/>
          <w:lang w:val="en-GB"/>
        </w:rPr>
      </w:pPr>
      <w:commentRangeStart w:id="20"/>
      <w:r w:rsidRPr="00621D36">
        <w:rPr>
          <w:b/>
          <w:szCs w:val="18"/>
          <w:highlight w:val="yellow"/>
          <w:lang w:val="en-GB"/>
        </w:rPr>
        <w:t>Funding</w:t>
      </w:r>
      <w:commentRangeEnd w:id="20"/>
      <w:r w:rsidR="00F77936" w:rsidRPr="00621D36">
        <w:rPr>
          <w:rStyle w:val="CommentReference"/>
          <w:b/>
          <w:sz w:val="18"/>
          <w:szCs w:val="18"/>
          <w:lang w:val="en-GB"/>
        </w:rPr>
        <w:commentReference w:id="20"/>
      </w:r>
      <w:r w:rsidRPr="00621D36">
        <w:rPr>
          <w:b/>
          <w:szCs w:val="18"/>
          <w:lang w:val="en-GB"/>
        </w:rPr>
        <w:t xml:space="preserve">: </w:t>
      </w:r>
      <w:r w:rsidRPr="00621D36">
        <w:rPr>
          <w:szCs w:val="18"/>
          <w:lang w:val="en-GB"/>
        </w:rPr>
        <w:t xml:space="preserve">This research was funded by TRACEWINDU (Traceability at wine industry through integrated labelling of typicality, health protection effect and organoleptic attributes), a project co-funded by the Horizon 2020 Framework Programme of the European Union under </w:t>
      </w:r>
      <w:r w:rsidR="0002739F">
        <w:rPr>
          <w:szCs w:val="18"/>
          <w:lang w:val="en-GB"/>
        </w:rPr>
        <w:t>g</w:t>
      </w:r>
      <w:r w:rsidR="0002739F" w:rsidRPr="00621D36">
        <w:rPr>
          <w:szCs w:val="18"/>
          <w:lang w:val="en-GB"/>
        </w:rPr>
        <w:t xml:space="preserve">rant </w:t>
      </w:r>
      <w:r w:rsidR="0002739F">
        <w:rPr>
          <w:szCs w:val="18"/>
          <w:lang w:val="en-GB"/>
        </w:rPr>
        <w:t>a</w:t>
      </w:r>
      <w:r w:rsidR="0002739F" w:rsidRPr="00621D36">
        <w:rPr>
          <w:szCs w:val="18"/>
          <w:lang w:val="en-GB"/>
        </w:rPr>
        <w:t xml:space="preserve">greement </w:t>
      </w:r>
      <w:r w:rsidRPr="00621D36">
        <w:rPr>
          <w:szCs w:val="18"/>
          <w:lang w:val="en-GB"/>
        </w:rPr>
        <w:t>no. 101007979, running from 1 June 2021 to 31 May 2025.</w:t>
      </w:r>
    </w:p>
    <w:p w14:paraId="4C23CFEF" w14:textId="77777777" w:rsidR="002551AE" w:rsidRPr="00621D36" w:rsidRDefault="002551AE" w:rsidP="00F77936">
      <w:pPr>
        <w:pStyle w:val="MDPI62backmatter"/>
        <w:rPr>
          <w:szCs w:val="18"/>
          <w:lang w:val="en-GB"/>
        </w:rPr>
      </w:pPr>
      <w:bookmarkStart w:id="21" w:name="_Hlk89945590"/>
      <w:r w:rsidRPr="00621D36">
        <w:rPr>
          <w:b/>
          <w:szCs w:val="18"/>
          <w:lang w:val="en-GB"/>
        </w:rPr>
        <w:t xml:space="preserve">Institutional Review Board Statement: </w:t>
      </w:r>
      <w:bookmarkEnd w:id="21"/>
      <w:r w:rsidRPr="00621D36">
        <w:rPr>
          <w:szCs w:val="18"/>
          <w:lang w:val="en-GB"/>
        </w:rPr>
        <w:t>Not applicable.</w:t>
      </w:r>
    </w:p>
    <w:p w14:paraId="14ECCF81" w14:textId="77777777" w:rsidR="002551AE" w:rsidRPr="00621D36" w:rsidRDefault="002551AE" w:rsidP="00F77936">
      <w:pPr>
        <w:pStyle w:val="MDPI62backmatter"/>
        <w:rPr>
          <w:szCs w:val="18"/>
          <w:lang w:val="en-GB"/>
        </w:rPr>
      </w:pPr>
      <w:r w:rsidRPr="00621D36">
        <w:rPr>
          <w:b/>
          <w:szCs w:val="18"/>
          <w:lang w:val="en-GB"/>
        </w:rPr>
        <w:t xml:space="preserve">Informed Consent Statement: </w:t>
      </w:r>
      <w:r w:rsidRPr="00621D36">
        <w:rPr>
          <w:szCs w:val="18"/>
          <w:lang w:val="en-GB"/>
        </w:rPr>
        <w:t>Not applicable.</w:t>
      </w:r>
      <w:bookmarkStart w:id="22" w:name="_Hlk60054323"/>
      <w:bookmarkEnd w:id="22"/>
    </w:p>
    <w:p w14:paraId="5BE14CDF" w14:textId="3BCA19A6" w:rsidR="002551AE" w:rsidRPr="00621D36" w:rsidRDefault="002551AE" w:rsidP="00F77936">
      <w:pPr>
        <w:pStyle w:val="MDPI62backmatter"/>
        <w:rPr>
          <w:szCs w:val="18"/>
          <w:lang w:val="en-GB"/>
        </w:rPr>
      </w:pPr>
      <w:r w:rsidRPr="00621D36">
        <w:rPr>
          <w:b/>
          <w:szCs w:val="18"/>
          <w:lang w:val="en-GB"/>
        </w:rPr>
        <w:t xml:space="preserve">Data Availability Statement: </w:t>
      </w:r>
      <w:commentRangeStart w:id="23"/>
      <w:r w:rsidR="00B3719B" w:rsidRPr="00116026">
        <w:rPr>
          <w:szCs w:val="18"/>
          <w:highlight w:val="yellow"/>
          <w:lang w:val="en-GB"/>
        </w:rPr>
        <w:t xml:space="preserve">The original contributions presented in this study are included in the article and </w:t>
      </w:r>
      <w:r w:rsidR="005A3D16" w:rsidRPr="00116026">
        <w:rPr>
          <w:szCs w:val="18"/>
          <w:highlight w:val="yellow"/>
          <w:lang w:val="en-GB"/>
        </w:rPr>
        <w:t>Supplementary Material</w:t>
      </w:r>
      <w:r w:rsidR="005A3D16" w:rsidRPr="00116026">
        <w:rPr>
          <w:rFonts w:eastAsiaTheme="minorEastAsia" w:hint="eastAsia"/>
          <w:szCs w:val="18"/>
          <w:highlight w:val="yellow"/>
          <w:lang w:val="en-GB"/>
        </w:rPr>
        <w:t>s</w:t>
      </w:r>
      <w:r w:rsidR="00B3719B" w:rsidRPr="00116026">
        <w:rPr>
          <w:szCs w:val="18"/>
          <w:highlight w:val="yellow"/>
          <w:lang w:val="en-GB"/>
        </w:rPr>
        <w:t>. Further inquiries can be directed to the corresponding author</w:t>
      </w:r>
      <w:r w:rsidRPr="00116026">
        <w:rPr>
          <w:szCs w:val="18"/>
          <w:highlight w:val="yellow"/>
          <w:lang w:val="en-GB"/>
        </w:rPr>
        <w:t>.</w:t>
      </w:r>
      <w:commentRangeEnd w:id="23"/>
      <w:r w:rsidR="00116026">
        <w:rPr>
          <w:rStyle w:val="CommentReference"/>
          <w:rFonts w:eastAsia="宋体"/>
          <w:snapToGrid/>
          <w:lang w:bidi="ar-SA"/>
          <w14:ligatures w14:val="none"/>
        </w:rPr>
        <w:commentReference w:id="23"/>
      </w:r>
    </w:p>
    <w:p w14:paraId="6D4EEC03" w14:textId="77777777" w:rsidR="002551AE" w:rsidRPr="00621D36" w:rsidRDefault="002551AE" w:rsidP="00F77936">
      <w:pPr>
        <w:pStyle w:val="MDPI62backmatter"/>
        <w:rPr>
          <w:szCs w:val="18"/>
          <w:lang w:val="en-GB"/>
        </w:rPr>
      </w:pPr>
      <w:r w:rsidRPr="00621D36">
        <w:rPr>
          <w:b/>
          <w:szCs w:val="18"/>
          <w:lang w:val="en-GB"/>
        </w:rPr>
        <w:t xml:space="preserve">Conflicts of Interest: </w:t>
      </w:r>
      <w:bookmarkStart w:id="24" w:name="RefSection"/>
      <w:r w:rsidRPr="00621D36">
        <w:rPr>
          <w:szCs w:val="18"/>
          <w:lang w:val="en-GB"/>
        </w:rPr>
        <w:t>The authors declare no conflicts of interest.</w:t>
      </w:r>
    </w:p>
    <w:p w14:paraId="10E50512" w14:textId="77777777" w:rsidR="00D64BEF" w:rsidRPr="000037FD" w:rsidRDefault="00D64BEF" w:rsidP="00D64BEF">
      <w:pPr>
        <w:pStyle w:val="MDPI21heading1"/>
        <w:ind w:left="0"/>
      </w:pPr>
      <w:bookmarkStart w:id="25" w:name="referenceBookmark"/>
      <w:bookmarkEnd w:id="24"/>
      <w:bookmarkEnd w:id="25"/>
      <w:r w:rsidRPr="000037FD">
        <w:t>References</w:t>
      </w:r>
    </w:p>
    <w:p w14:paraId="3D0038AA"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 xml:space="preserve">Rui, M.; Rosa, F.; </w:t>
      </w:r>
      <w:proofErr w:type="spellStart"/>
      <w:r w:rsidRPr="001B3536">
        <w:rPr>
          <w:sz w:val="18"/>
          <w:szCs w:val="18"/>
        </w:rPr>
        <w:t>Viberti</w:t>
      </w:r>
      <w:proofErr w:type="spellEnd"/>
      <w:r w:rsidRPr="001B3536">
        <w:rPr>
          <w:sz w:val="18"/>
          <w:szCs w:val="18"/>
        </w:rPr>
        <w:t>, A.; Brun, F.; Massaglia, S.; Blanc, S. Understanding Factors Associated with Interest in Sustainability-Certified Wine among American and Italian Consumers.</w:t>
      </w:r>
      <w:r w:rsidRPr="001B3536">
        <w:rPr>
          <w:i/>
          <w:sz w:val="18"/>
          <w:szCs w:val="18"/>
        </w:rPr>
        <w:t xml:space="preserve"> </w:t>
      </w:r>
      <w:r w:rsidRPr="001B3536">
        <w:rPr>
          <w:i/>
          <w:iCs/>
          <w:sz w:val="18"/>
          <w:szCs w:val="18"/>
        </w:rPr>
        <w:t>Foods</w:t>
      </w:r>
      <w:r w:rsidRPr="001B3536">
        <w:rPr>
          <w:i/>
          <w:sz w:val="18"/>
          <w:szCs w:val="18"/>
        </w:rPr>
        <w:t xml:space="preserve"> </w:t>
      </w:r>
      <w:r w:rsidRPr="001B3536">
        <w:rPr>
          <w:b/>
          <w:bCs/>
          <w:sz w:val="18"/>
          <w:szCs w:val="18"/>
        </w:rPr>
        <w:t>2024</w:t>
      </w:r>
      <w:r w:rsidRPr="001B3536">
        <w:rPr>
          <w:sz w:val="18"/>
          <w:szCs w:val="18"/>
        </w:rPr>
        <w:t xml:space="preserve">, </w:t>
      </w:r>
      <w:r w:rsidRPr="001B3536">
        <w:rPr>
          <w:i/>
          <w:iCs/>
          <w:sz w:val="18"/>
          <w:szCs w:val="18"/>
        </w:rPr>
        <w:t>13</w:t>
      </w:r>
      <w:r w:rsidRPr="001B3536">
        <w:rPr>
          <w:sz w:val="18"/>
          <w:szCs w:val="18"/>
        </w:rPr>
        <w:t>, 1468. https://doi.org/10.3390/foods13101468.</w:t>
      </w:r>
    </w:p>
    <w:p w14:paraId="4C8AA348"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 xml:space="preserve">Valenzuela, L.; Ortega, R.; Moscovici, D.; Gow, J.; Alonso </w:t>
      </w:r>
      <w:proofErr w:type="spellStart"/>
      <w:r w:rsidRPr="001B3536">
        <w:rPr>
          <w:sz w:val="18"/>
          <w:szCs w:val="18"/>
        </w:rPr>
        <w:t>Ugaglia</w:t>
      </w:r>
      <w:proofErr w:type="spellEnd"/>
      <w:r w:rsidRPr="001B3536">
        <w:rPr>
          <w:sz w:val="18"/>
          <w:szCs w:val="18"/>
        </w:rPr>
        <w:t>, A.; Mihailescu, R. Consumer Willingness to Pay for Sustainable Wine—The Chilean Case.</w:t>
      </w:r>
      <w:r w:rsidRPr="001B3536">
        <w:rPr>
          <w:i/>
          <w:sz w:val="18"/>
          <w:szCs w:val="18"/>
        </w:rPr>
        <w:t xml:space="preserve"> </w:t>
      </w:r>
      <w:r w:rsidRPr="001B3536">
        <w:rPr>
          <w:i/>
          <w:iCs/>
          <w:sz w:val="18"/>
          <w:szCs w:val="18"/>
        </w:rPr>
        <w:t>Sustainability</w:t>
      </w:r>
      <w:r w:rsidRPr="001B3536">
        <w:rPr>
          <w:i/>
          <w:sz w:val="18"/>
          <w:szCs w:val="18"/>
        </w:rPr>
        <w:t xml:space="preserve"> </w:t>
      </w:r>
      <w:r w:rsidRPr="001B3536">
        <w:rPr>
          <w:b/>
          <w:bCs/>
          <w:sz w:val="18"/>
          <w:szCs w:val="18"/>
        </w:rPr>
        <w:t>2022</w:t>
      </w:r>
      <w:r w:rsidRPr="001B3536">
        <w:rPr>
          <w:sz w:val="18"/>
          <w:szCs w:val="18"/>
        </w:rPr>
        <w:t xml:space="preserve">, </w:t>
      </w:r>
      <w:r w:rsidRPr="001B3536">
        <w:rPr>
          <w:i/>
          <w:iCs/>
          <w:sz w:val="18"/>
          <w:szCs w:val="18"/>
        </w:rPr>
        <w:t>14</w:t>
      </w:r>
      <w:r w:rsidRPr="001B3536">
        <w:rPr>
          <w:sz w:val="18"/>
          <w:szCs w:val="18"/>
        </w:rPr>
        <w:t>, 10910. https://doi.org/10.3390/su141710910.</w:t>
      </w:r>
    </w:p>
    <w:p w14:paraId="7DA6CC9B"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 xml:space="preserve">Work, H.H. </w:t>
      </w:r>
      <w:r w:rsidRPr="001B3536">
        <w:rPr>
          <w:i/>
          <w:iCs/>
          <w:sz w:val="18"/>
          <w:szCs w:val="18"/>
        </w:rPr>
        <w:t>The Shape of Wine: Its Packaging Evolution</w:t>
      </w:r>
      <w:r w:rsidRPr="001B3536">
        <w:rPr>
          <w:sz w:val="18"/>
          <w:szCs w:val="18"/>
        </w:rPr>
        <w:t xml:space="preserve">, 1st ed.; Routledge: </w:t>
      </w:r>
      <w:commentRangeStart w:id="26"/>
      <w:r w:rsidRPr="001B3536">
        <w:rPr>
          <w:rStyle w:val="product-ryt-detail"/>
          <w:sz w:val="18"/>
          <w:szCs w:val="18"/>
          <w:highlight w:val="yellow"/>
        </w:rPr>
        <w:t>London, UK</w:t>
      </w:r>
      <w:commentRangeEnd w:id="26"/>
      <w:r>
        <w:rPr>
          <w:rStyle w:val="CommentReference"/>
        </w:rPr>
        <w:commentReference w:id="26"/>
      </w:r>
      <w:r w:rsidRPr="001B3536">
        <w:rPr>
          <w:rStyle w:val="product-ryt-detail"/>
          <w:sz w:val="18"/>
          <w:szCs w:val="18"/>
        </w:rPr>
        <w:t>,</w:t>
      </w:r>
      <w:r w:rsidRPr="001B3536">
        <w:rPr>
          <w:sz w:val="18"/>
          <w:szCs w:val="18"/>
        </w:rPr>
        <w:t xml:space="preserve"> </w:t>
      </w:r>
      <w:r w:rsidRPr="00431E13">
        <w:rPr>
          <w:sz w:val="18"/>
          <w:szCs w:val="18"/>
        </w:rPr>
        <w:t>2018</w:t>
      </w:r>
      <w:r w:rsidRPr="001B3536">
        <w:rPr>
          <w:sz w:val="18"/>
          <w:szCs w:val="18"/>
        </w:rPr>
        <w:t>.</w:t>
      </w:r>
    </w:p>
    <w:p w14:paraId="03045325"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Thompson-</w:t>
      </w:r>
      <w:proofErr w:type="spellStart"/>
      <w:r w:rsidRPr="001B3536">
        <w:rPr>
          <w:sz w:val="18"/>
          <w:szCs w:val="18"/>
        </w:rPr>
        <w:t>Witrick</w:t>
      </w:r>
      <w:proofErr w:type="spellEnd"/>
      <w:r w:rsidRPr="001B3536">
        <w:rPr>
          <w:sz w:val="18"/>
          <w:szCs w:val="18"/>
        </w:rPr>
        <w:t xml:space="preserve">, K.A.; Pitts, E.R.; </w:t>
      </w:r>
      <w:proofErr w:type="spellStart"/>
      <w:r w:rsidRPr="001B3536">
        <w:rPr>
          <w:sz w:val="18"/>
          <w:szCs w:val="18"/>
        </w:rPr>
        <w:t>Nemenyi</w:t>
      </w:r>
      <w:proofErr w:type="spellEnd"/>
      <w:r w:rsidRPr="001B3536">
        <w:rPr>
          <w:sz w:val="18"/>
          <w:szCs w:val="18"/>
        </w:rPr>
        <w:t>, J.L.; Budner, D. The Impact Packaging Type Has on the Flavor of Wine.</w:t>
      </w:r>
      <w:r w:rsidRPr="001B3536">
        <w:rPr>
          <w:i/>
          <w:sz w:val="18"/>
          <w:szCs w:val="18"/>
        </w:rPr>
        <w:t xml:space="preserve"> </w:t>
      </w:r>
      <w:r w:rsidRPr="001B3536">
        <w:rPr>
          <w:i/>
          <w:iCs/>
          <w:sz w:val="18"/>
          <w:szCs w:val="18"/>
        </w:rPr>
        <w:t>Beverages</w:t>
      </w:r>
      <w:r w:rsidRPr="001B3536">
        <w:rPr>
          <w:i/>
          <w:sz w:val="18"/>
          <w:szCs w:val="18"/>
        </w:rPr>
        <w:t xml:space="preserve"> </w:t>
      </w:r>
      <w:r w:rsidRPr="001B3536">
        <w:rPr>
          <w:b/>
          <w:bCs/>
          <w:sz w:val="18"/>
          <w:szCs w:val="18"/>
        </w:rPr>
        <w:t>2021</w:t>
      </w:r>
      <w:r w:rsidRPr="001B3536">
        <w:rPr>
          <w:sz w:val="18"/>
          <w:szCs w:val="18"/>
        </w:rPr>
        <w:t xml:space="preserve">, </w:t>
      </w:r>
      <w:r w:rsidRPr="001B3536">
        <w:rPr>
          <w:i/>
          <w:iCs/>
          <w:sz w:val="18"/>
          <w:szCs w:val="18"/>
        </w:rPr>
        <w:t>7</w:t>
      </w:r>
      <w:r w:rsidRPr="001B3536">
        <w:rPr>
          <w:sz w:val="18"/>
          <w:szCs w:val="18"/>
        </w:rPr>
        <w:t>, 36. https://doi.org/10.3390/beverages7020036.</w:t>
      </w:r>
    </w:p>
    <w:p w14:paraId="57F6573B"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 xml:space="preserve">Mura, R.; </w:t>
      </w:r>
      <w:proofErr w:type="spellStart"/>
      <w:r w:rsidRPr="001B3536">
        <w:rPr>
          <w:sz w:val="18"/>
          <w:szCs w:val="18"/>
        </w:rPr>
        <w:t>Vicentini</w:t>
      </w:r>
      <w:proofErr w:type="spellEnd"/>
      <w:r w:rsidRPr="001B3536">
        <w:rPr>
          <w:sz w:val="18"/>
          <w:szCs w:val="18"/>
        </w:rPr>
        <w:t xml:space="preserve">, F.; Botti, L.M.; </w:t>
      </w:r>
      <w:proofErr w:type="spellStart"/>
      <w:r w:rsidRPr="001B3536">
        <w:rPr>
          <w:sz w:val="18"/>
          <w:szCs w:val="18"/>
        </w:rPr>
        <w:t>Chiriacò</w:t>
      </w:r>
      <w:proofErr w:type="spellEnd"/>
      <w:r w:rsidRPr="001B3536">
        <w:rPr>
          <w:sz w:val="18"/>
          <w:szCs w:val="18"/>
        </w:rPr>
        <w:t>, M.V. Achieving the Circular Economy through Environmental Policies: Packaging Strategies for More Sustainable Business Models in the Wine Industry.</w:t>
      </w:r>
      <w:r w:rsidRPr="001B3536">
        <w:rPr>
          <w:i/>
          <w:sz w:val="18"/>
          <w:szCs w:val="18"/>
        </w:rPr>
        <w:t xml:space="preserve"> </w:t>
      </w:r>
      <w:r w:rsidRPr="001B3536">
        <w:rPr>
          <w:i/>
          <w:iCs/>
          <w:sz w:val="18"/>
          <w:szCs w:val="18"/>
        </w:rPr>
        <w:t>Bus. Strategy Environ.</w:t>
      </w:r>
      <w:r w:rsidRPr="001B3536">
        <w:rPr>
          <w:i/>
          <w:sz w:val="18"/>
          <w:szCs w:val="18"/>
        </w:rPr>
        <w:t xml:space="preserve"> </w:t>
      </w:r>
      <w:r w:rsidRPr="001B3536">
        <w:rPr>
          <w:b/>
          <w:bCs/>
          <w:sz w:val="18"/>
          <w:szCs w:val="18"/>
        </w:rPr>
        <w:t>2024</w:t>
      </w:r>
      <w:r w:rsidRPr="001B3536">
        <w:rPr>
          <w:sz w:val="18"/>
          <w:szCs w:val="18"/>
        </w:rPr>
        <w:t xml:space="preserve">, </w:t>
      </w:r>
      <w:r w:rsidRPr="001B3536">
        <w:rPr>
          <w:i/>
          <w:iCs/>
          <w:sz w:val="18"/>
          <w:szCs w:val="18"/>
        </w:rPr>
        <w:t>33</w:t>
      </w:r>
      <w:r w:rsidRPr="001B3536">
        <w:rPr>
          <w:sz w:val="18"/>
          <w:szCs w:val="18"/>
        </w:rPr>
        <w:t>, 1497–1514. https://doi.org/10.1002/bse.3556.</w:t>
      </w:r>
    </w:p>
    <w:p w14:paraId="207D5365"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 xml:space="preserve">Scozzafava, G.; Dominici, A.; </w:t>
      </w:r>
      <w:proofErr w:type="spellStart"/>
      <w:r w:rsidRPr="001B3536">
        <w:rPr>
          <w:sz w:val="18"/>
          <w:szCs w:val="18"/>
        </w:rPr>
        <w:t>Canuti</w:t>
      </w:r>
      <w:proofErr w:type="spellEnd"/>
      <w:r w:rsidRPr="001B3536">
        <w:rPr>
          <w:sz w:val="18"/>
          <w:szCs w:val="18"/>
        </w:rPr>
        <w:t xml:space="preserve">, V.; Casini, L.; </w:t>
      </w:r>
      <w:proofErr w:type="spellStart"/>
      <w:r w:rsidRPr="001B3536">
        <w:rPr>
          <w:sz w:val="18"/>
          <w:szCs w:val="18"/>
        </w:rPr>
        <w:t>Boncinelli</w:t>
      </w:r>
      <w:proofErr w:type="spellEnd"/>
      <w:r w:rsidRPr="001B3536">
        <w:rPr>
          <w:sz w:val="18"/>
          <w:szCs w:val="18"/>
        </w:rPr>
        <w:t>, F. Beyond Bottles: Exploring Consumer Perceptions and Preferences for Bag-in-Box Wine Packaging.</w:t>
      </w:r>
      <w:r w:rsidRPr="001B3536">
        <w:rPr>
          <w:i/>
          <w:sz w:val="18"/>
          <w:szCs w:val="18"/>
        </w:rPr>
        <w:t xml:space="preserve"> Aust. J. Grape Wine Res. </w:t>
      </w:r>
      <w:r w:rsidRPr="001B3536">
        <w:rPr>
          <w:b/>
          <w:sz w:val="18"/>
          <w:szCs w:val="18"/>
        </w:rPr>
        <w:t>2024</w:t>
      </w:r>
      <w:r w:rsidRPr="001B3536">
        <w:rPr>
          <w:sz w:val="18"/>
          <w:szCs w:val="18"/>
        </w:rPr>
        <w:t xml:space="preserve">, </w:t>
      </w:r>
      <w:r w:rsidRPr="001B3536">
        <w:rPr>
          <w:i/>
          <w:sz w:val="18"/>
          <w:szCs w:val="18"/>
        </w:rPr>
        <w:t>2024</w:t>
      </w:r>
      <w:r w:rsidRPr="001B3536">
        <w:rPr>
          <w:sz w:val="18"/>
          <w:szCs w:val="18"/>
        </w:rPr>
        <w:t>, 9946341. https://doi.org/10.1155/ajgw/9946341.</w:t>
      </w:r>
    </w:p>
    <w:p w14:paraId="02F515D3" w14:textId="77777777" w:rsidR="00D64BEF" w:rsidRPr="001B3536" w:rsidRDefault="00D64BEF" w:rsidP="00D64BEF">
      <w:pPr>
        <w:pStyle w:val="Bibliography"/>
        <w:numPr>
          <w:ilvl w:val="0"/>
          <w:numId w:val="32"/>
        </w:numPr>
        <w:adjustRightInd w:val="0"/>
        <w:snapToGrid w:val="0"/>
        <w:ind w:left="425" w:hanging="425"/>
        <w:rPr>
          <w:sz w:val="18"/>
          <w:szCs w:val="18"/>
        </w:rPr>
      </w:pPr>
      <w:proofErr w:type="spellStart"/>
      <w:r w:rsidRPr="001B3536">
        <w:rPr>
          <w:sz w:val="18"/>
          <w:szCs w:val="18"/>
        </w:rPr>
        <w:t>Bichescu</w:t>
      </w:r>
      <w:proofErr w:type="spellEnd"/>
      <w:r w:rsidRPr="001B3536">
        <w:rPr>
          <w:sz w:val="18"/>
          <w:szCs w:val="18"/>
        </w:rPr>
        <w:t>, C.; Stoica, D.; Ivan, A.; Stoica, M. Innovative Packaging for Wine.</w:t>
      </w:r>
      <w:r w:rsidRPr="001B3536">
        <w:rPr>
          <w:i/>
          <w:sz w:val="18"/>
          <w:szCs w:val="18"/>
        </w:rPr>
        <w:t xml:space="preserve"> ACROSS </w:t>
      </w:r>
      <w:r w:rsidRPr="001B3536">
        <w:rPr>
          <w:b/>
          <w:sz w:val="18"/>
          <w:szCs w:val="18"/>
        </w:rPr>
        <w:t>2024</w:t>
      </w:r>
      <w:r w:rsidRPr="001B3536">
        <w:rPr>
          <w:sz w:val="18"/>
          <w:szCs w:val="18"/>
        </w:rPr>
        <w:t xml:space="preserve">, </w:t>
      </w:r>
      <w:r w:rsidRPr="001B3536">
        <w:rPr>
          <w:i/>
          <w:sz w:val="18"/>
          <w:szCs w:val="18"/>
        </w:rPr>
        <w:t>8</w:t>
      </w:r>
      <w:r w:rsidRPr="001B3536">
        <w:rPr>
          <w:sz w:val="18"/>
          <w:szCs w:val="18"/>
        </w:rPr>
        <w:t xml:space="preserve">, </w:t>
      </w:r>
      <w:commentRangeStart w:id="27"/>
      <w:r w:rsidRPr="001B3536">
        <w:rPr>
          <w:sz w:val="18"/>
          <w:szCs w:val="18"/>
          <w:highlight w:val="yellow"/>
        </w:rPr>
        <w:t>41–46</w:t>
      </w:r>
      <w:commentRangeEnd w:id="27"/>
      <w:r>
        <w:rPr>
          <w:rStyle w:val="CommentReference"/>
        </w:rPr>
        <w:commentReference w:id="27"/>
      </w:r>
      <w:r w:rsidRPr="001B3536">
        <w:rPr>
          <w:sz w:val="18"/>
          <w:szCs w:val="18"/>
        </w:rPr>
        <w:t>.</w:t>
      </w:r>
    </w:p>
    <w:p w14:paraId="0F52E1BF"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 xml:space="preserve">Ruggeri, G.; Mazzocchi, C.; Corsi, S.; </w:t>
      </w:r>
      <w:proofErr w:type="spellStart"/>
      <w:r w:rsidRPr="001B3536">
        <w:rPr>
          <w:sz w:val="18"/>
          <w:szCs w:val="18"/>
        </w:rPr>
        <w:t>Ranzenigo</w:t>
      </w:r>
      <w:proofErr w:type="spellEnd"/>
      <w:r w:rsidRPr="001B3536">
        <w:rPr>
          <w:sz w:val="18"/>
          <w:szCs w:val="18"/>
        </w:rPr>
        <w:t>, B. No More Glass Bottles? Canned Wine and Italian Consumers.</w:t>
      </w:r>
      <w:r w:rsidRPr="001B3536">
        <w:rPr>
          <w:i/>
          <w:sz w:val="18"/>
          <w:szCs w:val="18"/>
        </w:rPr>
        <w:t xml:space="preserve"> Foods </w:t>
      </w:r>
      <w:r w:rsidRPr="001B3536">
        <w:rPr>
          <w:b/>
          <w:sz w:val="18"/>
          <w:szCs w:val="18"/>
        </w:rPr>
        <w:t>2022</w:t>
      </w:r>
      <w:r w:rsidRPr="001B3536">
        <w:rPr>
          <w:sz w:val="18"/>
          <w:szCs w:val="18"/>
        </w:rPr>
        <w:t xml:space="preserve">, </w:t>
      </w:r>
      <w:r w:rsidRPr="001B3536">
        <w:rPr>
          <w:i/>
          <w:sz w:val="18"/>
          <w:szCs w:val="18"/>
        </w:rPr>
        <w:t>11</w:t>
      </w:r>
      <w:r w:rsidRPr="001B3536">
        <w:rPr>
          <w:sz w:val="18"/>
          <w:szCs w:val="18"/>
        </w:rPr>
        <w:t>, 1106. https://doi.org/10.3390/foods11081106.</w:t>
      </w:r>
    </w:p>
    <w:p w14:paraId="79AB28AA"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Gonen, L.D.; Tavor, T.; Spiegel, U. Adapting and Thriving: Global Warming and the Wine Industry.</w:t>
      </w:r>
      <w:r w:rsidRPr="001B3536">
        <w:rPr>
          <w:i/>
          <w:sz w:val="18"/>
          <w:szCs w:val="18"/>
        </w:rPr>
        <w:t xml:space="preserve"> </w:t>
      </w:r>
      <w:r w:rsidRPr="001B3536">
        <w:rPr>
          <w:i/>
          <w:iCs/>
          <w:sz w:val="18"/>
          <w:szCs w:val="18"/>
        </w:rPr>
        <w:t>Sage Open</w:t>
      </w:r>
      <w:r w:rsidRPr="001B3536">
        <w:rPr>
          <w:i/>
          <w:sz w:val="18"/>
          <w:szCs w:val="18"/>
        </w:rPr>
        <w:t xml:space="preserve"> </w:t>
      </w:r>
      <w:r w:rsidRPr="001B3536">
        <w:rPr>
          <w:b/>
          <w:bCs/>
          <w:sz w:val="18"/>
          <w:szCs w:val="18"/>
        </w:rPr>
        <w:t>2024</w:t>
      </w:r>
      <w:r w:rsidRPr="001B3536">
        <w:rPr>
          <w:sz w:val="18"/>
          <w:szCs w:val="18"/>
        </w:rPr>
        <w:t xml:space="preserve">, </w:t>
      </w:r>
      <w:r w:rsidRPr="001B3536">
        <w:rPr>
          <w:i/>
          <w:iCs/>
          <w:sz w:val="18"/>
          <w:szCs w:val="18"/>
        </w:rPr>
        <w:t>14</w:t>
      </w:r>
      <w:r w:rsidRPr="001B3536">
        <w:rPr>
          <w:sz w:val="18"/>
          <w:szCs w:val="18"/>
        </w:rPr>
        <w:t>, 21582440241227750. https://doi.org/10.1177/21582440241227750.</w:t>
      </w:r>
    </w:p>
    <w:p w14:paraId="3643EF27" w14:textId="77777777" w:rsidR="00D64BEF" w:rsidRPr="001B3536" w:rsidRDefault="00D64BEF" w:rsidP="00D64BEF">
      <w:pPr>
        <w:pStyle w:val="Bibliography"/>
        <w:numPr>
          <w:ilvl w:val="0"/>
          <w:numId w:val="32"/>
        </w:numPr>
        <w:adjustRightInd w:val="0"/>
        <w:snapToGrid w:val="0"/>
        <w:ind w:left="425" w:hanging="425"/>
        <w:rPr>
          <w:sz w:val="18"/>
          <w:szCs w:val="18"/>
        </w:rPr>
      </w:pPr>
      <w:proofErr w:type="spellStart"/>
      <w:r w:rsidRPr="001B3536">
        <w:rPr>
          <w:sz w:val="18"/>
          <w:szCs w:val="18"/>
        </w:rPr>
        <w:t>Gerini</w:t>
      </w:r>
      <w:proofErr w:type="spellEnd"/>
      <w:r w:rsidRPr="001B3536">
        <w:rPr>
          <w:sz w:val="18"/>
          <w:szCs w:val="18"/>
        </w:rPr>
        <w:t>, F.; Dominici, A.; Casini, L. The Effects of the COVID-19 Pandemic on the Mass Market Retailing of Wine in Italy.</w:t>
      </w:r>
      <w:r w:rsidRPr="001B3536">
        <w:rPr>
          <w:i/>
          <w:sz w:val="18"/>
          <w:szCs w:val="18"/>
        </w:rPr>
        <w:t xml:space="preserve"> </w:t>
      </w:r>
      <w:r w:rsidRPr="001B3536">
        <w:rPr>
          <w:i/>
          <w:iCs/>
          <w:sz w:val="18"/>
          <w:szCs w:val="18"/>
        </w:rPr>
        <w:t>Foods</w:t>
      </w:r>
      <w:r w:rsidRPr="001B3536">
        <w:rPr>
          <w:i/>
          <w:sz w:val="18"/>
          <w:szCs w:val="18"/>
        </w:rPr>
        <w:t xml:space="preserve"> </w:t>
      </w:r>
      <w:r w:rsidRPr="001B3536">
        <w:rPr>
          <w:b/>
          <w:bCs/>
          <w:sz w:val="18"/>
          <w:szCs w:val="18"/>
        </w:rPr>
        <w:t>2021</w:t>
      </w:r>
      <w:r w:rsidRPr="001B3536">
        <w:rPr>
          <w:sz w:val="18"/>
          <w:szCs w:val="18"/>
        </w:rPr>
        <w:t xml:space="preserve">, </w:t>
      </w:r>
      <w:r w:rsidRPr="001B3536">
        <w:rPr>
          <w:i/>
          <w:iCs/>
          <w:sz w:val="18"/>
          <w:szCs w:val="18"/>
        </w:rPr>
        <w:t>10</w:t>
      </w:r>
      <w:r w:rsidRPr="001B3536">
        <w:rPr>
          <w:sz w:val="18"/>
          <w:szCs w:val="18"/>
        </w:rPr>
        <w:t>, 2674. https://doi.org/10.3390/foods10112674.</w:t>
      </w:r>
    </w:p>
    <w:p w14:paraId="673A8C7F" w14:textId="77777777" w:rsidR="00D64BEF" w:rsidRPr="001B3536" w:rsidRDefault="00D64BEF" w:rsidP="00D64BEF">
      <w:pPr>
        <w:pStyle w:val="Bibliography"/>
        <w:numPr>
          <w:ilvl w:val="0"/>
          <w:numId w:val="32"/>
        </w:numPr>
        <w:adjustRightInd w:val="0"/>
        <w:snapToGrid w:val="0"/>
        <w:ind w:left="425" w:hanging="425"/>
        <w:rPr>
          <w:sz w:val="18"/>
          <w:szCs w:val="18"/>
        </w:rPr>
      </w:pPr>
      <w:proofErr w:type="spellStart"/>
      <w:r w:rsidRPr="001B3536">
        <w:rPr>
          <w:sz w:val="18"/>
          <w:szCs w:val="18"/>
        </w:rPr>
        <w:t>Versari</w:t>
      </w:r>
      <w:proofErr w:type="spellEnd"/>
      <w:r w:rsidRPr="001B3536">
        <w:rPr>
          <w:sz w:val="18"/>
          <w:szCs w:val="18"/>
        </w:rPr>
        <w:t xml:space="preserve">, A.; Ricci, A.; Moreno, C.P.; </w:t>
      </w:r>
      <w:proofErr w:type="spellStart"/>
      <w:r w:rsidRPr="001B3536">
        <w:rPr>
          <w:sz w:val="18"/>
          <w:szCs w:val="18"/>
        </w:rPr>
        <w:t>Parpinello</w:t>
      </w:r>
      <w:proofErr w:type="spellEnd"/>
      <w:r w:rsidRPr="001B3536">
        <w:rPr>
          <w:sz w:val="18"/>
          <w:szCs w:val="18"/>
        </w:rPr>
        <w:t>, G.P. Packaging of Wine in Aluminum Cans—A Review.</w:t>
      </w:r>
      <w:r w:rsidRPr="001B3536">
        <w:rPr>
          <w:i/>
          <w:sz w:val="18"/>
          <w:szCs w:val="18"/>
        </w:rPr>
        <w:t xml:space="preserve"> </w:t>
      </w:r>
      <w:r w:rsidRPr="001B3536">
        <w:rPr>
          <w:i/>
          <w:iCs/>
          <w:sz w:val="18"/>
          <w:szCs w:val="18"/>
        </w:rPr>
        <w:t xml:space="preserve">Am. J. Enol. </w:t>
      </w:r>
      <w:proofErr w:type="spellStart"/>
      <w:r w:rsidRPr="001B3536">
        <w:rPr>
          <w:i/>
          <w:iCs/>
          <w:sz w:val="18"/>
          <w:szCs w:val="18"/>
        </w:rPr>
        <w:t>Vitic</w:t>
      </w:r>
      <w:proofErr w:type="spellEnd"/>
      <w:r w:rsidRPr="001B3536">
        <w:rPr>
          <w:i/>
          <w:iCs/>
          <w:sz w:val="18"/>
          <w:szCs w:val="18"/>
        </w:rPr>
        <w:t>.</w:t>
      </w:r>
      <w:r w:rsidRPr="001B3536">
        <w:rPr>
          <w:i/>
          <w:sz w:val="18"/>
          <w:szCs w:val="18"/>
        </w:rPr>
        <w:t xml:space="preserve"> </w:t>
      </w:r>
      <w:r w:rsidRPr="001B3536">
        <w:rPr>
          <w:b/>
          <w:bCs/>
          <w:sz w:val="18"/>
          <w:szCs w:val="18"/>
        </w:rPr>
        <w:t>2023</w:t>
      </w:r>
      <w:r w:rsidRPr="001B3536">
        <w:rPr>
          <w:sz w:val="18"/>
          <w:szCs w:val="18"/>
        </w:rPr>
        <w:t xml:space="preserve">, </w:t>
      </w:r>
      <w:r w:rsidRPr="001B3536">
        <w:rPr>
          <w:i/>
          <w:iCs/>
          <w:sz w:val="18"/>
          <w:szCs w:val="18"/>
        </w:rPr>
        <w:t>74</w:t>
      </w:r>
      <w:r w:rsidRPr="001B3536">
        <w:rPr>
          <w:sz w:val="18"/>
          <w:szCs w:val="18"/>
        </w:rPr>
        <w:t>, 0740022. https://doi.org/10.5344/ajev.2023.22071.</w:t>
      </w:r>
    </w:p>
    <w:p w14:paraId="4C2CE277"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lastRenderedPageBreak/>
        <w:t xml:space="preserve">Nesselhauf, L.; Deker, J.S.; </w:t>
      </w:r>
      <w:proofErr w:type="spellStart"/>
      <w:r w:rsidRPr="001B3536">
        <w:rPr>
          <w:sz w:val="18"/>
          <w:szCs w:val="18"/>
        </w:rPr>
        <w:t>Fleuchaus</w:t>
      </w:r>
      <w:proofErr w:type="spellEnd"/>
      <w:r w:rsidRPr="001B3536">
        <w:rPr>
          <w:sz w:val="18"/>
          <w:szCs w:val="18"/>
        </w:rPr>
        <w:t>, R. Information and Involvement: The Influence on the Acceptance of Innovative Wine Packaging.</w:t>
      </w:r>
      <w:r w:rsidRPr="001B3536">
        <w:rPr>
          <w:i/>
          <w:sz w:val="18"/>
          <w:szCs w:val="18"/>
        </w:rPr>
        <w:t xml:space="preserve"> </w:t>
      </w:r>
      <w:r w:rsidRPr="001B3536">
        <w:rPr>
          <w:i/>
          <w:iCs/>
          <w:sz w:val="18"/>
          <w:szCs w:val="18"/>
        </w:rPr>
        <w:t>Int. J. Wine Bus. Res.</w:t>
      </w:r>
      <w:r w:rsidRPr="001B3536">
        <w:rPr>
          <w:i/>
          <w:sz w:val="18"/>
          <w:szCs w:val="18"/>
        </w:rPr>
        <w:t xml:space="preserve"> </w:t>
      </w:r>
      <w:r w:rsidRPr="001B3536">
        <w:rPr>
          <w:b/>
          <w:bCs/>
          <w:sz w:val="18"/>
          <w:szCs w:val="18"/>
        </w:rPr>
        <w:t>2017</w:t>
      </w:r>
      <w:r w:rsidRPr="001B3536">
        <w:rPr>
          <w:sz w:val="18"/>
          <w:szCs w:val="18"/>
        </w:rPr>
        <w:t xml:space="preserve">, </w:t>
      </w:r>
      <w:r w:rsidRPr="001B3536">
        <w:rPr>
          <w:i/>
          <w:iCs/>
          <w:sz w:val="18"/>
          <w:szCs w:val="18"/>
        </w:rPr>
        <w:t>29</w:t>
      </w:r>
      <w:r w:rsidRPr="001B3536">
        <w:rPr>
          <w:sz w:val="18"/>
          <w:szCs w:val="18"/>
        </w:rPr>
        <w:t>, 285–298. https://doi.org/10.1108/IJWBR-08-2016-0026.</w:t>
      </w:r>
    </w:p>
    <w:p w14:paraId="70F8D282"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Ferrara, C.; Migliaro, V.; Ventura, F.; De Feo, G. An Economic and Environmental Analysis of Wine Packaging Systems in Italy: A Life Cycle (LC) Approach.</w:t>
      </w:r>
      <w:r w:rsidRPr="001B3536">
        <w:rPr>
          <w:i/>
          <w:sz w:val="18"/>
          <w:szCs w:val="18"/>
        </w:rPr>
        <w:t xml:space="preserve"> </w:t>
      </w:r>
      <w:r w:rsidRPr="001B3536">
        <w:rPr>
          <w:i/>
          <w:iCs/>
          <w:sz w:val="18"/>
          <w:szCs w:val="18"/>
        </w:rPr>
        <w:t>Sci. Total Environ.</w:t>
      </w:r>
      <w:r w:rsidRPr="001B3536">
        <w:rPr>
          <w:i/>
          <w:sz w:val="18"/>
          <w:szCs w:val="18"/>
        </w:rPr>
        <w:t xml:space="preserve"> </w:t>
      </w:r>
      <w:r w:rsidRPr="001B3536">
        <w:rPr>
          <w:b/>
          <w:bCs/>
          <w:sz w:val="18"/>
          <w:szCs w:val="18"/>
        </w:rPr>
        <w:t>2023</w:t>
      </w:r>
      <w:r w:rsidRPr="001B3536">
        <w:rPr>
          <w:sz w:val="18"/>
          <w:szCs w:val="18"/>
        </w:rPr>
        <w:t xml:space="preserve">, </w:t>
      </w:r>
      <w:r w:rsidRPr="001B3536">
        <w:rPr>
          <w:i/>
          <w:iCs/>
          <w:sz w:val="18"/>
          <w:szCs w:val="18"/>
        </w:rPr>
        <w:t>857</w:t>
      </w:r>
      <w:r w:rsidRPr="001B3536">
        <w:rPr>
          <w:sz w:val="18"/>
          <w:szCs w:val="18"/>
        </w:rPr>
        <w:t>, 159323. https://doi.org/10.1016/j.scitotenv.2022.159323.</w:t>
      </w:r>
    </w:p>
    <w:p w14:paraId="14B0B8EB" w14:textId="77777777" w:rsidR="00D64BEF" w:rsidRPr="001B3536" w:rsidRDefault="00D64BEF" w:rsidP="00D64BEF">
      <w:pPr>
        <w:pStyle w:val="Bibliography"/>
        <w:numPr>
          <w:ilvl w:val="0"/>
          <w:numId w:val="32"/>
        </w:numPr>
        <w:adjustRightInd w:val="0"/>
        <w:snapToGrid w:val="0"/>
        <w:ind w:left="425" w:hanging="425"/>
        <w:rPr>
          <w:sz w:val="18"/>
          <w:szCs w:val="18"/>
        </w:rPr>
      </w:pPr>
      <w:proofErr w:type="spellStart"/>
      <w:r w:rsidRPr="001B3536">
        <w:rPr>
          <w:sz w:val="18"/>
          <w:szCs w:val="18"/>
        </w:rPr>
        <w:t>Mierczynska</w:t>
      </w:r>
      <w:proofErr w:type="spellEnd"/>
      <w:r w:rsidRPr="001B3536">
        <w:rPr>
          <w:sz w:val="18"/>
          <w:szCs w:val="18"/>
        </w:rPr>
        <w:t>-Vasilev, A. The Future of Wine Packaging—A Perspective.</w:t>
      </w:r>
      <w:r w:rsidRPr="001B3536">
        <w:rPr>
          <w:i/>
          <w:sz w:val="18"/>
          <w:szCs w:val="18"/>
        </w:rPr>
        <w:t xml:space="preserve"> Sustain. Agric. Environ. </w:t>
      </w:r>
      <w:r w:rsidRPr="001B3536">
        <w:rPr>
          <w:b/>
          <w:sz w:val="18"/>
          <w:szCs w:val="18"/>
        </w:rPr>
        <w:t>2024</w:t>
      </w:r>
      <w:r w:rsidRPr="001B3536">
        <w:rPr>
          <w:sz w:val="18"/>
          <w:szCs w:val="18"/>
        </w:rPr>
        <w:t xml:space="preserve">, </w:t>
      </w:r>
      <w:r w:rsidRPr="001B3536">
        <w:rPr>
          <w:i/>
          <w:sz w:val="18"/>
          <w:szCs w:val="18"/>
        </w:rPr>
        <w:t>1</w:t>
      </w:r>
      <w:r w:rsidRPr="001B3536">
        <w:rPr>
          <w:sz w:val="18"/>
          <w:szCs w:val="18"/>
        </w:rPr>
        <w:t>, 3506. https://doi.org/</w:t>
      </w:r>
      <w:commentRangeStart w:id="28"/>
      <w:r w:rsidRPr="009E75FF">
        <w:rPr>
          <w:sz w:val="18"/>
          <w:szCs w:val="18"/>
          <w:highlight w:val="yellow"/>
        </w:rPr>
        <w:t>10.1002/sae2.3506</w:t>
      </w:r>
      <w:commentRangeEnd w:id="28"/>
      <w:r>
        <w:rPr>
          <w:rStyle w:val="CommentReference"/>
        </w:rPr>
        <w:commentReference w:id="28"/>
      </w:r>
      <w:r w:rsidRPr="001B3536">
        <w:rPr>
          <w:sz w:val="18"/>
          <w:szCs w:val="18"/>
        </w:rPr>
        <w:t>.</w:t>
      </w:r>
    </w:p>
    <w:p w14:paraId="5AB2D43B" w14:textId="77777777" w:rsidR="00D64BEF" w:rsidRPr="001B3536" w:rsidRDefault="00D64BEF" w:rsidP="00D64BEF">
      <w:pPr>
        <w:pStyle w:val="Bibliography"/>
        <w:numPr>
          <w:ilvl w:val="0"/>
          <w:numId w:val="32"/>
        </w:numPr>
        <w:adjustRightInd w:val="0"/>
        <w:snapToGrid w:val="0"/>
        <w:ind w:left="425" w:hanging="425"/>
        <w:rPr>
          <w:sz w:val="18"/>
          <w:szCs w:val="18"/>
        </w:rPr>
      </w:pPr>
      <w:proofErr w:type="spellStart"/>
      <w:r w:rsidRPr="001B3536">
        <w:rPr>
          <w:sz w:val="18"/>
          <w:szCs w:val="18"/>
        </w:rPr>
        <w:t>Tchouakeu</w:t>
      </w:r>
      <w:proofErr w:type="spellEnd"/>
      <w:r w:rsidRPr="001B3536">
        <w:rPr>
          <w:sz w:val="18"/>
          <w:szCs w:val="18"/>
        </w:rPr>
        <w:t xml:space="preserve"> </w:t>
      </w:r>
      <w:proofErr w:type="spellStart"/>
      <w:r w:rsidRPr="001B3536">
        <w:rPr>
          <w:sz w:val="18"/>
          <w:szCs w:val="18"/>
        </w:rPr>
        <w:t>Betnga</w:t>
      </w:r>
      <w:proofErr w:type="spellEnd"/>
      <w:r w:rsidRPr="001B3536">
        <w:rPr>
          <w:sz w:val="18"/>
          <w:szCs w:val="18"/>
        </w:rPr>
        <w:t xml:space="preserve">, P.F.; Longo, E.; </w:t>
      </w:r>
      <w:proofErr w:type="spellStart"/>
      <w:r w:rsidRPr="001B3536">
        <w:rPr>
          <w:sz w:val="18"/>
          <w:szCs w:val="18"/>
        </w:rPr>
        <w:t>Poggesi</w:t>
      </w:r>
      <w:proofErr w:type="spellEnd"/>
      <w:r w:rsidRPr="001B3536">
        <w:rPr>
          <w:sz w:val="18"/>
          <w:szCs w:val="18"/>
        </w:rPr>
        <w:t>, S.; Boselli, E. Effects of Transport Conditions on the Stability and Sensory Quality of Wines.</w:t>
      </w:r>
      <w:r w:rsidRPr="001B3536">
        <w:rPr>
          <w:i/>
          <w:sz w:val="18"/>
          <w:szCs w:val="18"/>
        </w:rPr>
        <w:t xml:space="preserve"> </w:t>
      </w:r>
      <w:r w:rsidRPr="001B3536">
        <w:rPr>
          <w:i/>
          <w:iCs/>
          <w:sz w:val="18"/>
          <w:szCs w:val="18"/>
        </w:rPr>
        <w:t>OENO One</w:t>
      </w:r>
      <w:r w:rsidRPr="001B3536">
        <w:rPr>
          <w:i/>
          <w:sz w:val="18"/>
          <w:szCs w:val="18"/>
        </w:rPr>
        <w:t xml:space="preserve"> </w:t>
      </w:r>
      <w:r w:rsidRPr="001B3536">
        <w:rPr>
          <w:b/>
          <w:bCs/>
          <w:sz w:val="18"/>
          <w:szCs w:val="18"/>
        </w:rPr>
        <w:t>2021</w:t>
      </w:r>
      <w:r w:rsidRPr="001B3536">
        <w:rPr>
          <w:sz w:val="18"/>
          <w:szCs w:val="18"/>
        </w:rPr>
        <w:t xml:space="preserve">, </w:t>
      </w:r>
      <w:r w:rsidRPr="001B3536">
        <w:rPr>
          <w:i/>
          <w:iCs/>
          <w:sz w:val="18"/>
          <w:szCs w:val="18"/>
        </w:rPr>
        <w:t>55</w:t>
      </w:r>
      <w:r w:rsidRPr="001B3536">
        <w:rPr>
          <w:sz w:val="18"/>
          <w:szCs w:val="18"/>
        </w:rPr>
        <w:t>, 197–208. https://doi.org/10.20870/oeno-one.2021.55.2.4524.</w:t>
      </w:r>
    </w:p>
    <w:p w14:paraId="1984B281"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Chung, H.-J.; Son, J.-H.; Park, E.-Y.; Kim, E.-J.; Lim, S.-T. Effect of Vibration and Storage on Some Physico-Chemical Properties of a Commercial Red Wine.</w:t>
      </w:r>
      <w:r w:rsidRPr="001B3536">
        <w:rPr>
          <w:i/>
          <w:sz w:val="18"/>
          <w:szCs w:val="18"/>
        </w:rPr>
        <w:t xml:space="preserve"> </w:t>
      </w:r>
      <w:r w:rsidRPr="001B3536">
        <w:rPr>
          <w:i/>
          <w:iCs/>
          <w:sz w:val="18"/>
          <w:szCs w:val="18"/>
        </w:rPr>
        <w:t>J. Food Compos. Anal.</w:t>
      </w:r>
      <w:r w:rsidRPr="001B3536">
        <w:rPr>
          <w:i/>
          <w:sz w:val="18"/>
          <w:szCs w:val="18"/>
        </w:rPr>
        <w:t xml:space="preserve"> </w:t>
      </w:r>
      <w:r w:rsidRPr="001B3536">
        <w:rPr>
          <w:b/>
          <w:bCs/>
          <w:sz w:val="18"/>
          <w:szCs w:val="18"/>
        </w:rPr>
        <w:t>2008</w:t>
      </w:r>
      <w:r w:rsidRPr="001B3536">
        <w:rPr>
          <w:sz w:val="18"/>
          <w:szCs w:val="18"/>
        </w:rPr>
        <w:t xml:space="preserve">, </w:t>
      </w:r>
      <w:r w:rsidRPr="001B3536">
        <w:rPr>
          <w:i/>
          <w:iCs/>
          <w:sz w:val="18"/>
          <w:szCs w:val="18"/>
        </w:rPr>
        <w:t>21</w:t>
      </w:r>
      <w:r w:rsidRPr="001B3536">
        <w:rPr>
          <w:sz w:val="18"/>
          <w:szCs w:val="18"/>
        </w:rPr>
        <w:t>, 655–659. https://doi.org/10.1016/j.jfca.2008.07.004.</w:t>
      </w:r>
    </w:p>
    <w:p w14:paraId="12C0B4E4" w14:textId="77777777" w:rsidR="00D64BEF" w:rsidRPr="001B3536" w:rsidRDefault="00D64BEF" w:rsidP="00D64BEF">
      <w:pPr>
        <w:pStyle w:val="Bibliography"/>
        <w:numPr>
          <w:ilvl w:val="0"/>
          <w:numId w:val="32"/>
        </w:numPr>
        <w:adjustRightInd w:val="0"/>
        <w:snapToGrid w:val="0"/>
        <w:ind w:left="425" w:hanging="425"/>
        <w:rPr>
          <w:sz w:val="18"/>
          <w:szCs w:val="18"/>
        </w:rPr>
      </w:pPr>
      <w:proofErr w:type="spellStart"/>
      <w:r w:rsidRPr="001B3536">
        <w:rPr>
          <w:sz w:val="18"/>
          <w:szCs w:val="18"/>
        </w:rPr>
        <w:t>Ghidossi</w:t>
      </w:r>
      <w:proofErr w:type="spellEnd"/>
      <w:r w:rsidRPr="001B3536">
        <w:rPr>
          <w:sz w:val="18"/>
          <w:szCs w:val="18"/>
        </w:rPr>
        <w:t xml:space="preserve">, R.; </w:t>
      </w:r>
      <w:proofErr w:type="spellStart"/>
      <w:r w:rsidRPr="001B3536">
        <w:rPr>
          <w:sz w:val="18"/>
          <w:szCs w:val="18"/>
        </w:rPr>
        <w:t>Poupot</w:t>
      </w:r>
      <w:proofErr w:type="spellEnd"/>
      <w:r w:rsidRPr="001B3536">
        <w:rPr>
          <w:sz w:val="18"/>
          <w:szCs w:val="18"/>
        </w:rPr>
        <w:t xml:space="preserve">, C.; </w:t>
      </w:r>
      <w:proofErr w:type="spellStart"/>
      <w:r w:rsidRPr="001B3536">
        <w:rPr>
          <w:sz w:val="18"/>
          <w:szCs w:val="18"/>
        </w:rPr>
        <w:t>Thibon</w:t>
      </w:r>
      <w:proofErr w:type="spellEnd"/>
      <w:r w:rsidRPr="001B3536">
        <w:rPr>
          <w:sz w:val="18"/>
          <w:szCs w:val="18"/>
        </w:rPr>
        <w:t xml:space="preserve">, C.; Pons, A.; Darriet, P.; Riquier, L.; De Revel, G.; </w:t>
      </w:r>
      <w:proofErr w:type="spellStart"/>
      <w:r w:rsidRPr="001B3536">
        <w:rPr>
          <w:sz w:val="18"/>
          <w:szCs w:val="18"/>
        </w:rPr>
        <w:t>Mietton</w:t>
      </w:r>
      <w:proofErr w:type="spellEnd"/>
      <w:r w:rsidRPr="001B3536">
        <w:rPr>
          <w:sz w:val="18"/>
          <w:szCs w:val="18"/>
        </w:rPr>
        <w:t xml:space="preserve"> </w:t>
      </w:r>
      <w:proofErr w:type="spellStart"/>
      <w:r w:rsidRPr="001B3536">
        <w:rPr>
          <w:sz w:val="18"/>
          <w:szCs w:val="18"/>
        </w:rPr>
        <w:t>Peuchot</w:t>
      </w:r>
      <w:proofErr w:type="spellEnd"/>
      <w:r w:rsidRPr="001B3536">
        <w:rPr>
          <w:sz w:val="18"/>
          <w:szCs w:val="18"/>
        </w:rPr>
        <w:t>, M. The Influence of Packaging on Wine Conservation.</w:t>
      </w:r>
      <w:r w:rsidRPr="001B3536">
        <w:rPr>
          <w:i/>
          <w:sz w:val="18"/>
          <w:szCs w:val="18"/>
        </w:rPr>
        <w:t xml:space="preserve"> </w:t>
      </w:r>
      <w:r w:rsidRPr="001B3536">
        <w:rPr>
          <w:i/>
          <w:iCs/>
          <w:sz w:val="18"/>
          <w:szCs w:val="18"/>
        </w:rPr>
        <w:t>Food Control</w:t>
      </w:r>
      <w:r w:rsidRPr="001B3536">
        <w:rPr>
          <w:i/>
          <w:sz w:val="18"/>
          <w:szCs w:val="18"/>
        </w:rPr>
        <w:t xml:space="preserve"> </w:t>
      </w:r>
      <w:r w:rsidRPr="001B3536">
        <w:rPr>
          <w:b/>
          <w:bCs/>
          <w:sz w:val="18"/>
          <w:szCs w:val="18"/>
        </w:rPr>
        <w:t>2012</w:t>
      </w:r>
      <w:r w:rsidRPr="001B3536">
        <w:rPr>
          <w:sz w:val="18"/>
          <w:szCs w:val="18"/>
        </w:rPr>
        <w:t xml:space="preserve">, </w:t>
      </w:r>
      <w:r w:rsidRPr="001B3536">
        <w:rPr>
          <w:i/>
          <w:iCs/>
          <w:sz w:val="18"/>
          <w:szCs w:val="18"/>
        </w:rPr>
        <w:t>23</w:t>
      </w:r>
      <w:r w:rsidRPr="001B3536">
        <w:rPr>
          <w:sz w:val="18"/>
          <w:szCs w:val="18"/>
        </w:rPr>
        <w:t>, 302–311. https://doi.org/10.1016/j.foodcont.2011.06.003.</w:t>
      </w:r>
    </w:p>
    <w:p w14:paraId="05E840E2"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Scrimgeour, N.; Nordestgaard, S.; Lloyd, N.D.R.; Wilkes, E.N. Exploring the Effect of Elevated Storage Temperature on Wine Composition.</w:t>
      </w:r>
      <w:r w:rsidRPr="001B3536">
        <w:rPr>
          <w:i/>
          <w:sz w:val="18"/>
          <w:szCs w:val="18"/>
        </w:rPr>
        <w:t xml:space="preserve"> Aust. J. Grape Wine Res. </w:t>
      </w:r>
      <w:r w:rsidRPr="001B3536">
        <w:rPr>
          <w:b/>
          <w:sz w:val="18"/>
          <w:szCs w:val="18"/>
        </w:rPr>
        <w:t>2015</w:t>
      </w:r>
      <w:r w:rsidRPr="001B3536">
        <w:rPr>
          <w:sz w:val="18"/>
          <w:szCs w:val="18"/>
        </w:rPr>
        <w:t xml:space="preserve">, </w:t>
      </w:r>
      <w:r w:rsidRPr="001B3536">
        <w:rPr>
          <w:i/>
          <w:sz w:val="18"/>
          <w:szCs w:val="18"/>
        </w:rPr>
        <w:t>21</w:t>
      </w:r>
      <w:r w:rsidRPr="001B3536">
        <w:rPr>
          <w:sz w:val="18"/>
          <w:szCs w:val="18"/>
        </w:rPr>
        <w:t>, 713–722. https://doi.org/10.1111/ajgw.12196.</w:t>
      </w:r>
    </w:p>
    <w:p w14:paraId="3A0DDE77"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Hopfer, H.; Buffon, P.A.; Ebeler, S.E.; Heymann, H. The Combined Effects of Storage Temperature and Packaging on the Sensory, Chemical, and Physical Properties of a Cabernet Sauvignon Wine.</w:t>
      </w:r>
      <w:r w:rsidRPr="001B3536">
        <w:rPr>
          <w:i/>
          <w:sz w:val="18"/>
          <w:szCs w:val="18"/>
        </w:rPr>
        <w:t xml:space="preserve"> J. Agric. Food Chem. </w:t>
      </w:r>
      <w:r w:rsidRPr="001B3536">
        <w:rPr>
          <w:b/>
          <w:sz w:val="18"/>
          <w:szCs w:val="18"/>
        </w:rPr>
        <w:t>2013</w:t>
      </w:r>
      <w:r w:rsidRPr="001B3536">
        <w:rPr>
          <w:sz w:val="18"/>
          <w:szCs w:val="18"/>
        </w:rPr>
        <w:t xml:space="preserve">, </w:t>
      </w:r>
      <w:r w:rsidRPr="001B3536">
        <w:rPr>
          <w:i/>
          <w:sz w:val="18"/>
          <w:szCs w:val="18"/>
        </w:rPr>
        <w:t>61</w:t>
      </w:r>
      <w:r w:rsidRPr="001B3536">
        <w:rPr>
          <w:sz w:val="18"/>
          <w:szCs w:val="18"/>
        </w:rPr>
        <w:t>, 3320–3334. https://doi.org/10.1021/jf3051736.</w:t>
      </w:r>
    </w:p>
    <w:p w14:paraId="411C5632"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 xml:space="preserve">Mercanti, N.; Macaluso, M.; Pieracci, Y.; </w:t>
      </w:r>
      <w:proofErr w:type="spellStart"/>
      <w:r w:rsidRPr="001B3536">
        <w:rPr>
          <w:sz w:val="18"/>
          <w:szCs w:val="18"/>
        </w:rPr>
        <w:t>Bertonelli</w:t>
      </w:r>
      <w:proofErr w:type="spellEnd"/>
      <w:r w:rsidRPr="001B3536">
        <w:rPr>
          <w:sz w:val="18"/>
          <w:szCs w:val="18"/>
        </w:rPr>
        <w:t xml:space="preserve">, L.; Flamini, G.; </w:t>
      </w:r>
      <w:proofErr w:type="spellStart"/>
      <w:r w:rsidRPr="001B3536">
        <w:rPr>
          <w:sz w:val="18"/>
          <w:szCs w:val="18"/>
        </w:rPr>
        <w:t>Zinnai</w:t>
      </w:r>
      <w:proofErr w:type="spellEnd"/>
      <w:r w:rsidRPr="001B3536">
        <w:rPr>
          <w:sz w:val="18"/>
          <w:szCs w:val="18"/>
        </w:rPr>
        <w:t>, A. Influence of Microbial Treatments on Vine Growth and Must Quality: Preliminary Results.</w:t>
      </w:r>
      <w:r w:rsidRPr="001B3536">
        <w:rPr>
          <w:i/>
          <w:sz w:val="18"/>
          <w:szCs w:val="18"/>
        </w:rPr>
        <w:t xml:space="preserve"> Plants </w:t>
      </w:r>
      <w:r w:rsidRPr="001B3536">
        <w:rPr>
          <w:b/>
          <w:sz w:val="18"/>
          <w:szCs w:val="18"/>
        </w:rPr>
        <w:t>2024</w:t>
      </w:r>
      <w:r w:rsidRPr="001B3536">
        <w:rPr>
          <w:sz w:val="18"/>
          <w:szCs w:val="18"/>
        </w:rPr>
        <w:t xml:space="preserve">, </w:t>
      </w:r>
      <w:r w:rsidRPr="001B3536">
        <w:rPr>
          <w:i/>
          <w:sz w:val="18"/>
          <w:szCs w:val="18"/>
        </w:rPr>
        <w:t>13</w:t>
      </w:r>
      <w:r w:rsidRPr="001B3536">
        <w:rPr>
          <w:sz w:val="18"/>
          <w:szCs w:val="18"/>
        </w:rPr>
        <w:t>, 3168. https://doi.org/10.3390/plants13223168.</w:t>
      </w:r>
    </w:p>
    <w:p w14:paraId="77238345"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Malherbe, S.; Bauer, F.F.; Du Toit, M. Understanding Problem Fermentations—A Review.</w:t>
      </w:r>
      <w:r w:rsidRPr="001B3536">
        <w:rPr>
          <w:i/>
          <w:sz w:val="18"/>
          <w:szCs w:val="18"/>
        </w:rPr>
        <w:t xml:space="preserve"> S. Afr. J. Enol. </w:t>
      </w:r>
      <w:proofErr w:type="spellStart"/>
      <w:r w:rsidRPr="001B3536">
        <w:rPr>
          <w:i/>
          <w:sz w:val="18"/>
          <w:szCs w:val="18"/>
        </w:rPr>
        <w:t>Vitic</w:t>
      </w:r>
      <w:proofErr w:type="spellEnd"/>
      <w:r w:rsidRPr="001B3536">
        <w:rPr>
          <w:i/>
          <w:sz w:val="18"/>
          <w:szCs w:val="18"/>
        </w:rPr>
        <w:t xml:space="preserve">. </w:t>
      </w:r>
      <w:r w:rsidRPr="001B3536">
        <w:rPr>
          <w:b/>
          <w:sz w:val="18"/>
          <w:szCs w:val="18"/>
        </w:rPr>
        <w:t>2007</w:t>
      </w:r>
      <w:r w:rsidRPr="001B3536">
        <w:rPr>
          <w:sz w:val="18"/>
          <w:szCs w:val="18"/>
        </w:rPr>
        <w:t xml:space="preserve">, </w:t>
      </w:r>
      <w:r w:rsidRPr="001B3536">
        <w:rPr>
          <w:i/>
          <w:sz w:val="18"/>
          <w:szCs w:val="18"/>
        </w:rPr>
        <w:t>28</w:t>
      </w:r>
      <w:r w:rsidRPr="001B3536">
        <w:rPr>
          <w:sz w:val="18"/>
          <w:szCs w:val="18"/>
        </w:rPr>
        <w:t>, 169–186. https://doi.org/10.21548/28-2-1471.</w:t>
      </w:r>
    </w:p>
    <w:p w14:paraId="286FD65E"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 xml:space="preserve">Mercanti, N.; Pieracci, Y.; Macaluso, M.; Fedel, M.; </w:t>
      </w:r>
      <w:proofErr w:type="spellStart"/>
      <w:r w:rsidRPr="001B3536">
        <w:rPr>
          <w:sz w:val="18"/>
          <w:szCs w:val="18"/>
        </w:rPr>
        <w:t>Brazzarola</w:t>
      </w:r>
      <w:proofErr w:type="spellEnd"/>
      <w:r w:rsidRPr="001B3536">
        <w:rPr>
          <w:sz w:val="18"/>
          <w:szCs w:val="18"/>
        </w:rPr>
        <w:t xml:space="preserve">, F.; Palla, F.; Verdini, P.G.; </w:t>
      </w:r>
      <w:proofErr w:type="spellStart"/>
      <w:r w:rsidRPr="001B3536">
        <w:rPr>
          <w:sz w:val="18"/>
          <w:szCs w:val="18"/>
        </w:rPr>
        <w:t>Zinnai</w:t>
      </w:r>
      <w:proofErr w:type="spellEnd"/>
      <w:r w:rsidRPr="001B3536">
        <w:rPr>
          <w:sz w:val="18"/>
          <w:szCs w:val="18"/>
        </w:rPr>
        <w:t>, A. Exploring Red Wine Aging: Comparative Analysis of Cellar and Sea Underwater Aging on Chemical Composition and Quality.</w:t>
      </w:r>
      <w:r w:rsidRPr="001B3536">
        <w:rPr>
          <w:i/>
          <w:sz w:val="18"/>
          <w:szCs w:val="18"/>
        </w:rPr>
        <w:t xml:space="preserve"> Foods </w:t>
      </w:r>
      <w:r w:rsidRPr="001B3536">
        <w:rPr>
          <w:b/>
          <w:sz w:val="18"/>
          <w:szCs w:val="18"/>
        </w:rPr>
        <w:t>2024</w:t>
      </w:r>
      <w:r w:rsidRPr="001B3536">
        <w:rPr>
          <w:sz w:val="18"/>
          <w:szCs w:val="18"/>
        </w:rPr>
        <w:t xml:space="preserve">, </w:t>
      </w:r>
      <w:r w:rsidRPr="001B3536">
        <w:rPr>
          <w:i/>
          <w:sz w:val="18"/>
          <w:szCs w:val="18"/>
        </w:rPr>
        <w:t>13</w:t>
      </w:r>
      <w:r w:rsidRPr="001B3536">
        <w:rPr>
          <w:sz w:val="18"/>
          <w:szCs w:val="18"/>
        </w:rPr>
        <w:t>, 1812. https://doi.org/10.3390/foods13121812.</w:t>
      </w:r>
    </w:p>
    <w:p w14:paraId="657FA7FE"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 xml:space="preserve">TE Connectivity. </w:t>
      </w:r>
      <w:r w:rsidRPr="001B3536">
        <w:rPr>
          <w:i/>
          <w:iCs/>
          <w:sz w:val="18"/>
          <w:szCs w:val="18"/>
        </w:rPr>
        <w:t>MS5803-05BA Miniature Altimeter and Diving Module—Data Sheet</w:t>
      </w:r>
      <w:r w:rsidRPr="001B3536">
        <w:rPr>
          <w:sz w:val="18"/>
          <w:szCs w:val="18"/>
        </w:rPr>
        <w:t>; TE Connectivity: Schaffhausen, Switzerland, 2017.</w:t>
      </w:r>
    </w:p>
    <w:p w14:paraId="6D5C9EED"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Adafruit Industries. ESP-M2 Board (ESP8285)—Product Documentation. Available online: https://www.adafruit.com (accessed on 15 July 2026).</w:t>
      </w:r>
    </w:p>
    <w:p w14:paraId="1549DA45" w14:textId="77777777" w:rsidR="00D64BEF" w:rsidRPr="001B3536" w:rsidRDefault="00D64BEF" w:rsidP="00D64BEF">
      <w:pPr>
        <w:pStyle w:val="Bibliography"/>
        <w:numPr>
          <w:ilvl w:val="0"/>
          <w:numId w:val="32"/>
        </w:numPr>
        <w:adjustRightInd w:val="0"/>
        <w:snapToGrid w:val="0"/>
        <w:ind w:left="425" w:hanging="425"/>
        <w:rPr>
          <w:sz w:val="18"/>
          <w:szCs w:val="18"/>
        </w:rPr>
      </w:pPr>
      <w:proofErr w:type="spellStart"/>
      <w:r w:rsidRPr="001B3536">
        <w:rPr>
          <w:sz w:val="18"/>
          <w:szCs w:val="18"/>
        </w:rPr>
        <w:t>Langsrud</w:t>
      </w:r>
      <w:proofErr w:type="spellEnd"/>
      <w:r w:rsidRPr="001B3536">
        <w:rPr>
          <w:sz w:val="18"/>
          <w:szCs w:val="18"/>
        </w:rPr>
        <w:t>, Ø. ANOVA for Unbalanced Data: Use Type II Instead of Type III Sums of Squares.</w:t>
      </w:r>
      <w:r w:rsidRPr="001B3536">
        <w:rPr>
          <w:i/>
          <w:sz w:val="18"/>
          <w:szCs w:val="18"/>
        </w:rPr>
        <w:t xml:space="preserve"> Stat. </w:t>
      </w:r>
      <w:proofErr w:type="spellStart"/>
      <w:r w:rsidRPr="001B3536">
        <w:rPr>
          <w:i/>
          <w:sz w:val="18"/>
          <w:szCs w:val="18"/>
        </w:rPr>
        <w:t>Comput</w:t>
      </w:r>
      <w:proofErr w:type="spellEnd"/>
      <w:r w:rsidRPr="001B3536">
        <w:rPr>
          <w:i/>
          <w:sz w:val="18"/>
          <w:szCs w:val="18"/>
        </w:rPr>
        <w:t xml:space="preserve">. </w:t>
      </w:r>
      <w:r w:rsidRPr="001B3536">
        <w:rPr>
          <w:b/>
          <w:sz w:val="18"/>
          <w:szCs w:val="18"/>
        </w:rPr>
        <w:t>2003</w:t>
      </w:r>
      <w:r w:rsidRPr="001B3536">
        <w:rPr>
          <w:sz w:val="18"/>
          <w:szCs w:val="18"/>
        </w:rPr>
        <w:t xml:space="preserve">, </w:t>
      </w:r>
      <w:r w:rsidRPr="001B3536">
        <w:rPr>
          <w:i/>
          <w:sz w:val="18"/>
          <w:szCs w:val="18"/>
        </w:rPr>
        <w:t>13</w:t>
      </w:r>
      <w:r w:rsidRPr="001B3536">
        <w:rPr>
          <w:sz w:val="18"/>
          <w:szCs w:val="18"/>
        </w:rPr>
        <w:t>, 163–167. https://doi.org/10.1023/A:1023260610025.</w:t>
      </w:r>
    </w:p>
    <w:p w14:paraId="4D473965" w14:textId="77777777" w:rsidR="00D64BEF" w:rsidRPr="001B3536" w:rsidRDefault="00D64BEF" w:rsidP="00D64BEF">
      <w:pPr>
        <w:pStyle w:val="Bibliography"/>
        <w:numPr>
          <w:ilvl w:val="0"/>
          <w:numId w:val="32"/>
        </w:numPr>
        <w:adjustRightInd w:val="0"/>
        <w:snapToGrid w:val="0"/>
        <w:ind w:left="425" w:hanging="425"/>
        <w:rPr>
          <w:sz w:val="18"/>
          <w:szCs w:val="18"/>
        </w:rPr>
      </w:pPr>
      <w:r w:rsidRPr="001B3536">
        <w:rPr>
          <w:sz w:val="18"/>
          <w:szCs w:val="18"/>
        </w:rPr>
        <w:t xml:space="preserve">Seabold, S.; </w:t>
      </w:r>
      <w:proofErr w:type="spellStart"/>
      <w:r w:rsidRPr="001B3536">
        <w:rPr>
          <w:sz w:val="18"/>
          <w:szCs w:val="18"/>
        </w:rPr>
        <w:t>Perktold</w:t>
      </w:r>
      <w:proofErr w:type="spellEnd"/>
      <w:r w:rsidRPr="001B3536">
        <w:rPr>
          <w:sz w:val="18"/>
          <w:szCs w:val="18"/>
        </w:rPr>
        <w:t xml:space="preserve">, J. </w:t>
      </w:r>
      <w:proofErr w:type="spellStart"/>
      <w:r w:rsidRPr="001B3536">
        <w:rPr>
          <w:sz w:val="18"/>
          <w:szCs w:val="18"/>
        </w:rPr>
        <w:t>Statsmodels</w:t>
      </w:r>
      <w:proofErr w:type="spellEnd"/>
      <w:r w:rsidRPr="001B3536">
        <w:rPr>
          <w:sz w:val="18"/>
          <w:szCs w:val="18"/>
        </w:rPr>
        <w:t xml:space="preserve">: Econometric and Statistical Modeling with Python. In </w:t>
      </w:r>
      <w:r w:rsidRPr="001B3536">
        <w:rPr>
          <w:i/>
          <w:iCs/>
          <w:sz w:val="18"/>
          <w:szCs w:val="18"/>
        </w:rPr>
        <w:t>Proceedings of the 9th Python in Science Conference</w:t>
      </w:r>
      <w:r w:rsidRPr="001B3536">
        <w:rPr>
          <w:sz w:val="18"/>
          <w:szCs w:val="18"/>
        </w:rPr>
        <w:t xml:space="preserve">; </w:t>
      </w:r>
      <w:commentRangeStart w:id="29"/>
      <w:r w:rsidRPr="001B3536">
        <w:rPr>
          <w:sz w:val="18"/>
          <w:szCs w:val="18"/>
          <w:highlight w:val="yellow"/>
        </w:rPr>
        <w:t>Austin, TX, USA</w:t>
      </w:r>
      <w:commentRangeEnd w:id="29"/>
      <w:r>
        <w:rPr>
          <w:rStyle w:val="CommentReference"/>
        </w:rPr>
        <w:commentReference w:id="29"/>
      </w:r>
      <w:r w:rsidRPr="001B3536">
        <w:rPr>
          <w:sz w:val="18"/>
          <w:szCs w:val="18"/>
        </w:rPr>
        <w:t>, 2010; pp. 92–96. https://doi.org/10.25080/Majora-92bf1922-011.</w:t>
      </w:r>
    </w:p>
    <w:p w14:paraId="2AAF52C4" w14:textId="4ED5091B" w:rsidR="001C1F99" w:rsidRPr="00D64BEF" w:rsidRDefault="00D64BEF" w:rsidP="008D4C81">
      <w:pPr>
        <w:pStyle w:val="MDPI63notes"/>
      </w:pPr>
      <w:r w:rsidRPr="000037FD">
        <w:rPr>
          <w:b/>
        </w:rPr>
        <w:t>Disclaimer/Publisher’s Note:</w:t>
      </w:r>
      <w:r w:rsidRPr="000037FD">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1C1F99" w:rsidRPr="00D64BEF" w:rsidSect="00544786">
      <w:headerReference w:type="even" r:id="rId19"/>
      <w:headerReference w:type="default" r:id="rId20"/>
      <w:footerReference w:type="default" r:id="rId21"/>
      <w:headerReference w:type="first" r:id="rId22"/>
      <w:footerReference w:type="first" r:id="rId23"/>
      <w:type w:val="continuous"/>
      <w:pgSz w:w="11906" w:h="16838" w:code="9"/>
      <w:pgMar w:top="1417" w:right="720" w:bottom="907" w:left="720" w:header="720" w:footer="612" w:gutter="0"/>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DPI" w:date="2026-09-02T11:25:00Z" w:initials="M">
    <w:p w14:paraId="6D3A9CF5" w14:textId="77777777" w:rsidR="0033410B" w:rsidRPr="0033410B" w:rsidRDefault="0033410B" w:rsidP="0033410B">
      <w:pPr>
        <w:autoSpaceDE w:val="0"/>
        <w:autoSpaceDN w:val="0"/>
        <w:adjustRightInd w:val="0"/>
        <w:spacing w:line="240" w:lineRule="auto"/>
        <w:jc w:val="left"/>
        <w:rPr>
          <w:rFonts w:cs="Palatino Linotype"/>
        </w:rPr>
      </w:pPr>
      <w:r>
        <w:rPr>
          <w:rStyle w:val="CommentReference"/>
        </w:rPr>
        <w:annotationRef/>
      </w:r>
      <w:r w:rsidRPr="0033410B">
        <w:rPr>
          <w:rFonts w:cs="Palatino Linotype"/>
          <w:highlight w:val="green"/>
        </w:rPr>
        <w:t>Notes for Authors</w:t>
      </w:r>
    </w:p>
    <w:p w14:paraId="7CA45E1C" w14:textId="77777777" w:rsidR="0033410B" w:rsidRPr="0033410B" w:rsidRDefault="0033410B" w:rsidP="0033410B">
      <w:pPr>
        <w:autoSpaceDE w:val="0"/>
        <w:autoSpaceDN w:val="0"/>
        <w:adjustRightInd w:val="0"/>
        <w:spacing w:line="240" w:lineRule="auto"/>
        <w:jc w:val="left"/>
        <w:rPr>
          <w:rFonts w:cs="Palatino Linotype"/>
        </w:rPr>
      </w:pPr>
      <w:r w:rsidRPr="0033410B">
        <w:rPr>
          <w:rFonts w:cs="Palatino Linotype"/>
        </w:rPr>
        <w:t>1. The initial layout for your manuscript was done by our layout team. Please do not change the layout, otherwise we cannot proceed to the next step.</w:t>
      </w:r>
    </w:p>
    <w:p w14:paraId="48BB42CB" w14:textId="77777777" w:rsidR="0033410B" w:rsidRPr="0033410B" w:rsidRDefault="0033410B" w:rsidP="0033410B">
      <w:pPr>
        <w:autoSpaceDE w:val="0"/>
        <w:autoSpaceDN w:val="0"/>
        <w:adjustRightInd w:val="0"/>
        <w:spacing w:line="240" w:lineRule="auto"/>
        <w:jc w:val="left"/>
        <w:rPr>
          <w:rFonts w:cs="Palatino Linotype"/>
        </w:rPr>
      </w:pPr>
      <w:r w:rsidRPr="0033410B">
        <w:rPr>
          <w:rFonts w:cs="Palatino Linotype"/>
        </w:rPr>
        <w:t>2. Please do not delete our comments.</w:t>
      </w:r>
    </w:p>
    <w:p w14:paraId="52FE51DE" w14:textId="77777777" w:rsidR="0033410B" w:rsidRPr="0033410B" w:rsidRDefault="0033410B" w:rsidP="0033410B">
      <w:pPr>
        <w:autoSpaceDE w:val="0"/>
        <w:autoSpaceDN w:val="0"/>
        <w:adjustRightInd w:val="0"/>
        <w:spacing w:line="240" w:lineRule="auto"/>
        <w:jc w:val="left"/>
        <w:rPr>
          <w:rFonts w:eastAsia="微软雅黑" w:cs="Palatino Linotype"/>
        </w:rPr>
      </w:pPr>
      <w:r w:rsidRPr="0033410B">
        <w:rPr>
          <w:rFonts w:cs="Palatino Linotype"/>
        </w:rPr>
        <w:t xml:space="preserve">3. Please revise and answer all questions that we proposed. Such as: </w:t>
      </w:r>
      <w:r w:rsidRPr="0033410B">
        <w:rPr>
          <w:rFonts w:ascii="微软雅黑" w:eastAsia="微软雅黑" w:cs="微软雅黑"/>
        </w:rPr>
        <w:t>“</w:t>
      </w:r>
      <w:r w:rsidRPr="0033410B">
        <w:rPr>
          <w:rFonts w:eastAsia="微软雅黑" w:cs="Palatino Linotype"/>
        </w:rPr>
        <w:t>It should be italic</w:t>
      </w:r>
      <w:r w:rsidRPr="0033410B">
        <w:rPr>
          <w:rFonts w:ascii="微软雅黑" w:eastAsia="微软雅黑" w:cs="微软雅黑"/>
        </w:rPr>
        <w:t>”</w:t>
      </w:r>
      <w:r w:rsidRPr="0033410B">
        <w:rPr>
          <w:rFonts w:eastAsia="微软雅黑" w:cs="Palatino Linotype"/>
        </w:rPr>
        <w:t xml:space="preserve">; </w:t>
      </w:r>
      <w:r w:rsidRPr="0033410B">
        <w:rPr>
          <w:rFonts w:ascii="微软雅黑" w:eastAsia="微软雅黑" w:cs="微软雅黑"/>
        </w:rPr>
        <w:t>“</w:t>
      </w:r>
      <w:r w:rsidRPr="0033410B">
        <w:rPr>
          <w:rFonts w:eastAsia="微软雅黑" w:cs="Palatino Linotype"/>
        </w:rPr>
        <w:t>I confirm</w:t>
      </w:r>
      <w:r w:rsidRPr="0033410B">
        <w:rPr>
          <w:rFonts w:ascii="微软雅黑" w:eastAsia="微软雅黑" w:cs="微软雅黑"/>
        </w:rPr>
        <w:t>”</w:t>
      </w:r>
      <w:r w:rsidRPr="0033410B">
        <w:rPr>
          <w:rFonts w:eastAsia="微软雅黑" w:cs="Palatino Linotype"/>
        </w:rPr>
        <w:t xml:space="preserve">; </w:t>
      </w:r>
      <w:r w:rsidRPr="0033410B">
        <w:rPr>
          <w:rFonts w:ascii="微软雅黑" w:eastAsia="微软雅黑" w:cs="微软雅黑"/>
        </w:rPr>
        <w:t>“</w:t>
      </w:r>
      <w:r w:rsidRPr="0033410B">
        <w:rPr>
          <w:rFonts w:eastAsia="微软雅黑" w:cs="Palatino Linotype"/>
        </w:rPr>
        <w:t>I have checked and revised all.</w:t>
      </w:r>
      <w:r w:rsidRPr="0033410B">
        <w:rPr>
          <w:rFonts w:ascii="微软雅黑" w:eastAsia="微软雅黑" w:cs="微软雅黑"/>
        </w:rPr>
        <w:t>”</w:t>
      </w:r>
    </w:p>
    <w:p w14:paraId="01978F9D" w14:textId="77777777" w:rsidR="0033410B" w:rsidRPr="0033410B" w:rsidRDefault="0033410B" w:rsidP="0033410B">
      <w:pPr>
        <w:autoSpaceDE w:val="0"/>
        <w:autoSpaceDN w:val="0"/>
        <w:adjustRightInd w:val="0"/>
        <w:spacing w:line="240" w:lineRule="auto"/>
        <w:jc w:val="left"/>
        <w:rPr>
          <w:rFonts w:eastAsia="微软雅黑" w:cs="Palatino Linotype"/>
        </w:rPr>
      </w:pPr>
      <w:r w:rsidRPr="0033410B">
        <w:rPr>
          <w:rFonts w:eastAsia="微软雅黑" w:cs="Palatino Linotype"/>
        </w:rPr>
        <w:t xml:space="preserve">4. </w:t>
      </w:r>
      <w:r w:rsidRPr="0033410B">
        <w:rPr>
          <w:rFonts w:eastAsia="微软雅黑" w:cs="Palatino Linotype"/>
          <w:highlight w:val="yellow"/>
        </w:rPr>
        <w:t>Please directly correct on this version</w:t>
      </w:r>
      <w:r w:rsidRPr="0033410B">
        <w:rPr>
          <w:rFonts w:eastAsia="微软雅黑" w:cs="Palatino Linotype"/>
        </w:rPr>
        <w:t xml:space="preserve">. </w:t>
      </w:r>
    </w:p>
    <w:p w14:paraId="2E6D24F8" w14:textId="77777777" w:rsidR="0033410B" w:rsidRPr="0033410B" w:rsidRDefault="0033410B" w:rsidP="0033410B">
      <w:pPr>
        <w:autoSpaceDE w:val="0"/>
        <w:autoSpaceDN w:val="0"/>
        <w:adjustRightInd w:val="0"/>
        <w:spacing w:line="240" w:lineRule="auto"/>
        <w:jc w:val="left"/>
        <w:rPr>
          <w:rFonts w:eastAsia="微软雅黑" w:cs="Palatino Linotype"/>
        </w:rPr>
      </w:pPr>
      <w:r w:rsidRPr="0033410B">
        <w:rPr>
          <w:rFonts w:eastAsia="微软雅黑" w:cs="Palatino Linotype"/>
        </w:rPr>
        <w:t>5. Please make sure that all the symbols in the paper are of the same format.</w:t>
      </w:r>
    </w:p>
    <w:p w14:paraId="7F8E7FE5" w14:textId="7F92B87C" w:rsidR="0033410B" w:rsidRPr="0033410B" w:rsidRDefault="0033410B" w:rsidP="0033410B">
      <w:pPr>
        <w:autoSpaceDE w:val="0"/>
        <w:autoSpaceDN w:val="0"/>
        <w:adjustRightInd w:val="0"/>
        <w:spacing w:line="240" w:lineRule="auto"/>
        <w:jc w:val="left"/>
        <w:rPr>
          <w:rFonts w:eastAsia="微软雅黑" w:cs="Palatino Linotype"/>
        </w:rPr>
      </w:pPr>
      <w:r w:rsidRPr="0033410B">
        <w:rPr>
          <w:rFonts w:eastAsia="微软雅黑" w:cs="Palatino Linotype"/>
        </w:rPr>
        <w:t xml:space="preserve">6. Please pay special attention to </w:t>
      </w:r>
      <w:r w:rsidRPr="0033410B">
        <w:rPr>
          <w:rFonts w:eastAsia="微软雅黑" w:cs="Palatino Linotype"/>
          <w:highlight w:val="green"/>
        </w:rPr>
        <w:t>green highlights</w:t>
      </w:r>
      <w:r w:rsidRPr="0033410B">
        <w:rPr>
          <w:rFonts w:eastAsia="微软雅黑" w:cs="Palatino Linotype"/>
        </w:rPr>
        <w:t>. The manuscript will not be published if these problems are not solved.</w:t>
      </w:r>
    </w:p>
  </w:comment>
  <w:comment w:id="1" w:author="MDPI" w:date="2026-09-01T17:19:00Z" w:initials="M">
    <w:p w14:paraId="58E9EF47" w14:textId="77777777" w:rsidR="00D777D0" w:rsidRDefault="00D777D0">
      <w:pPr>
        <w:pStyle w:val="CommentText"/>
      </w:pPr>
      <w:r>
        <w:rPr>
          <w:rStyle w:val="CommentReference"/>
        </w:rPr>
        <w:annotationRef/>
      </w:r>
      <w:r>
        <w:t>Please carefully check the accuracy of names and affiliations.</w:t>
      </w:r>
    </w:p>
    <w:p w14:paraId="2DCF6FAB" w14:textId="77777777" w:rsidR="0033410B" w:rsidRPr="0033410B" w:rsidRDefault="0033410B" w:rsidP="0033410B">
      <w:pPr>
        <w:autoSpaceDE w:val="0"/>
        <w:autoSpaceDN w:val="0"/>
        <w:adjustRightInd w:val="0"/>
        <w:spacing w:line="240" w:lineRule="auto"/>
        <w:jc w:val="left"/>
        <w:rPr>
          <w:rFonts w:cs="Palatino Linotype"/>
        </w:rPr>
      </w:pPr>
      <w:r w:rsidRPr="0033410B">
        <w:rPr>
          <w:rFonts w:cs="Palatino Linotype"/>
        </w:rPr>
        <w:t>Please note that after the article has been accepted:</w:t>
      </w:r>
    </w:p>
    <w:p w14:paraId="09FBBDE7" w14:textId="77777777" w:rsidR="0033410B" w:rsidRPr="0033410B" w:rsidRDefault="0033410B" w:rsidP="0033410B">
      <w:pPr>
        <w:autoSpaceDE w:val="0"/>
        <w:autoSpaceDN w:val="0"/>
        <w:adjustRightInd w:val="0"/>
        <w:spacing w:line="240" w:lineRule="auto"/>
        <w:jc w:val="left"/>
        <w:rPr>
          <w:rFonts w:cs="Palatino Linotype"/>
          <w:highlight w:val="green"/>
        </w:rPr>
      </w:pPr>
      <w:r w:rsidRPr="0033410B">
        <w:rPr>
          <w:rFonts w:cs="Palatino Linotype"/>
          <w:highlight w:val="green"/>
        </w:rPr>
        <w:t xml:space="preserve">Only minor revisions </w:t>
      </w:r>
      <w:r w:rsidRPr="0033410B">
        <w:rPr>
          <w:rFonts w:cs="Palatino Linotype"/>
          <w:color w:val="auto"/>
        </w:rPr>
        <w:t xml:space="preserve">(typos in names and affiliations, changes in affiliation order, additional department/college information in affiliations, etc.) can be made. </w:t>
      </w:r>
    </w:p>
    <w:p w14:paraId="049F4121" w14:textId="061B0C1F" w:rsidR="0033410B" w:rsidRPr="0033410B" w:rsidRDefault="0033410B" w:rsidP="0033410B">
      <w:pPr>
        <w:autoSpaceDE w:val="0"/>
        <w:autoSpaceDN w:val="0"/>
        <w:adjustRightInd w:val="0"/>
        <w:spacing w:line="240" w:lineRule="auto"/>
        <w:jc w:val="left"/>
        <w:rPr>
          <w:rFonts w:cs="Palatino Linotype"/>
          <w:highlight w:val="green"/>
          <w:lang w:val="zh-CN"/>
        </w:rPr>
      </w:pPr>
      <w:r w:rsidRPr="0033410B">
        <w:rPr>
          <w:rFonts w:cs="Palatino Linotype"/>
          <w:highlight w:val="green"/>
        </w:rPr>
        <w:t xml:space="preserve">Major revisions </w:t>
      </w:r>
      <w:r w:rsidRPr="0033410B">
        <w:rPr>
          <w:rFonts w:cs="Palatino Linotype"/>
          <w:color w:val="auto"/>
        </w:rPr>
        <w:t xml:space="preserve">(changing author order, adding or removing authors/affiliations) are not recommended once the paper is accepted. </w:t>
      </w:r>
      <w:r>
        <w:rPr>
          <w:rFonts w:cs="Palatino Linotype"/>
          <w:color w:val="auto"/>
          <w:lang w:val="zh-CN"/>
        </w:rPr>
        <w:t>Please confirm</w:t>
      </w:r>
      <w:r>
        <w:rPr>
          <w:rFonts w:cs="Palatino Linotype"/>
          <w:color w:val="auto"/>
        </w:rPr>
        <w:t>.</w:t>
      </w:r>
    </w:p>
  </w:comment>
  <w:comment w:id="2" w:author="MDPI" w:date="2026-09-01T17:26:00Z" w:initials="M">
    <w:p w14:paraId="221F45EE" w14:textId="0A362381" w:rsidR="00005254" w:rsidRDefault="00005254">
      <w:pPr>
        <w:pStyle w:val="CommentText"/>
      </w:pPr>
      <w:r>
        <w:rPr>
          <w:rStyle w:val="CommentReference"/>
        </w:rPr>
        <w:annotationRef/>
      </w:r>
      <w:r>
        <w:t>The name of this author is different from the one submitted online at susy.mdpi.com. Please confirm which one is correct.</w:t>
      </w:r>
    </w:p>
  </w:comment>
  <w:comment w:id="3" w:author="MDPI" w:date="2026-09-01T17:49:00Z" w:initials="M">
    <w:p w14:paraId="6EBB0D30" w14:textId="3A6AC703" w:rsidR="00882628" w:rsidRDefault="00882628">
      <w:pPr>
        <w:pStyle w:val="CommentText"/>
      </w:pPr>
      <w:r>
        <w:rPr>
          <w:rStyle w:val="CommentReference"/>
        </w:rPr>
        <w:annotationRef/>
      </w:r>
      <w:r>
        <w:t>The email is different from the one submitted online at susy.mdpi.com. Please confirm which one is correct.</w:t>
      </w:r>
    </w:p>
  </w:comment>
  <w:comment w:id="4" w:author="MDPI" w:date="2026-09-02T11:26:00Z" w:initials="M">
    <w:p w14:paraId="0297DA9E" w14:textId="77777777" w:rsidR="006D008C" w:rsidRDefault="006D008C" w:rsidP="006D008C">
      <w:pPr>
        <w:autoSpaceDE w:val="0"/>
        <w:autoSpaceDN w:val="0"/>
        <w:adjustRightInd w:val="0"/>
        <w:spacing w:line="240" w:lineRule="auto"/>
        <w:jc w:val="left"/>
        <w:rPr>
          <w:rFonts w:cs="Palatino Linotype"/>
          <w:highlight w:val="green"/>
        </w:rPr>
      </w:pPr>
      <w:r>
        <w:rPr>
          <w:rStyle w:val="CommentReference"/>
        </w:rPr>
        <w:annotationRef/>
      </w:r>
      <w:r>
        <w:rPr>
          <w:rFonts w:cs="Palatino Linotype"/>
          <w:highlight w:val="green"/>
        </w:rPr>
        <w:t xml:space="preserve">Methods: </w:t>
      </w:r>
    </w:p>
    <w:p w14:paraId="16AA986C" w14:textId="77777777" w:rsidR="006D008C" w:rsidRDefault="006D008C" w:rsidP="006D008C">
      <w:pPr>
        <w:autoSpaceDE w:val="0"/>
        <w:autoSpaceDN w:val="0"/>
        <w:adjustRightInd w:val="0"/>
        <w:spacing w:line="240" w:lineRule="auto"/>
        <w:jc w:val="left"/>
        <w:rPr>
          <w:rFonts w:cs="Palatino Linotype"/>
          <w:highlight w:val="green"/>
        </w:rPr>
      </w:pPr>
      <w:r>
        <w:rPr>
          <w:rFonts w:cs="Palatino Linotype"/>
        </w:rPr>
        <w:t xml:space="preserve">For this section please double check that the following details are provided for all cases: </w:t>
      </w:r>
    </w:p>
    <w:p w14:paraId="29A6237B" w14:textId="77777777" w:rsidR="006D008C" w:rsidRDefault="006D008C" w:rsidP="006D008C">
      <w:pPr>
        <w:autoSpaceDE w:val="0"/>
        <w:autoSpaceDN w:val="0"/>
        <w:adjustRightInd w:val="0"/>
        <w:spacing w:line="240" w:lineRule="auto"/>
        <w:jc w:val="left"/>
        <w:rPr>
          <w:rFonts w:cs="Palatino Linotype"/>
          <w:highlight w:val="green"/>
        </w:rPr>
      </w:pPr>
      <w:r>
        <w:rPr>
          <w:rFonts w:cs="Palatino Linotype"/>
          <w:highlight w:val="green"/>
        </w:rPr>
        <w:t xml:space="preserve">1. The name of the manufacturer, </w:t>
      </w:r>
      <w:r>
        <w:rPr>
          <w:rFonts w:cs="Palatino Linotype"/>
          <w:b/>
          <w:bCs/>
          <w:highlight w:val="green"/>
        </w:rPr>
        <w:t>City</w:t>
      </w:r>
      <w:r>
        <w:rPr>
          <w:rFonts w:cs="Palatino Linotype"/>
          <w:highlight w:val="green"/>
        </w:rPr>
        <w:t xml:space="preserve">, and </w:t>
      </w:r>
      <w:r>
        <w:rPr>
          <w:rFonts w:cs="Palatino Linotype"/>
          <w:b/>
          <w:bCs/>
          <w:highlight w:val="green"/>
        </w:rPr>
        <w:t xml:space="preserve">Country </w:t>
      </w:r>
      <w:r>
        <w:rPr>
          <w:rFonts w:cs="Palatino Linotype"/>
          <w:highlight w:val="green"/>
        </w:rPr>
        <w:t xml:space="preserve">from where the equipment was sourced (company, agents) should be provided (in their first appearance). </w:t>
      </w:r>
    </w:p>
    <w:p w14:paraId="65ABF1A9" w14:textId="77777777" w:rsidR="006D008C" w:rsidRDefault="006D008C" w:rsidP="006D008C">
      <w:pPr>
        <w:autoSpaceDE w:val="0"/>
        <w:autoSpaceDN w:val="0"/>
        <w:adjustRightInd w:val="0"/>
        <w:spacing w:line="240" w:lineRule="auto"/>
        <w:jc w:val="left"/>
        <w:rPr>
          <w:rFonts w:cs="Palatino Linotype"/>
          <w:highlight w:val="green"/>
        </w:rPr>
      </w:pPr>
      <w:r>
        <w:rPr>
          <w:rFonts w:cs="Palatino Linotype"/>
          <w:highlight w:val="green"/>
        </w:rPr>
        <w:t xml:space="preserve">2. For the sake of science, all used software should provide the </w:t>
      </w:r>
      <w:r>
        <w:rPr>
          <w:rFonts w:cs="Palatino Linotype"/>
          <w:b/>
          <w:bCs/>
          <w:highlight w:val="green"/>
        </w:rPr>
        <w:t>version number</w:t>
      </w:r>
      <w:r>
        <w:rPr>
          <w:rFonts w:cs="Palatino Linotype"/>
          <w:highlight w:val="green"/>
        </w:rPr>
        <w:t>.</w:t>
      </w:r>
    </w:p>
    <w:p w14:paraId="1062C148" w14:textId="77777777" w:rsidR="006D008C" w:rsidRDefault="006D008C" w:rsidP="006D008C">
      <w:pPr>
        <w:autoSpaceDE w:val="0"/>
        <w:autoSpaceDN w:val="0"/>
        <w:adjustRightInd w:val="0"/>
        <w:spacing w:line="240" w:lineRule="auto"/>
        <w:jc w:val="left"/>
        <w:rPr>
          <w:rFonts w:cs="Palatino Linotype"/>
          <w:highlight w:val="green"/>
        </w:rPr>
      </w:pPr>
    </w:p>
    <w:p w14:paraId="310C03E8" w14:textId="6A9B9205" w:rsidR="006D008C" w:rsidRPr="006D008C" w:rsidRDefault="006D008C" w:rsidP="006D008C">
      <w:pPr>
        <w:autoSpaceDE w:val="0"/>
        <w:autoSpaceDN w:val="0"/>
        <w:adjustRightInd w:val="0"/>
        <w:spacing w:line="240" w:lineRule="auto"/>
        <w:jc w:val="left"/>
        <w:rPr>
          <w:rFonts w:cs="Palatino Linotype"/>
        </w:rPr>
      </w:pPr>
      <w:r>
        <w:rPr>
          <w:rFonts w:cs="Palatino Linotype"/>
        </w:rPr>
        <w:t>Those not provided will be added by prioritizing a search from Google.</w:t>
      </w:r>
    </w:p>
  </w:comment>
  <w:comment w:id="5" w:author="MDPI" w:date="2026-09-01T17:18:00Z" w:initials="M">
    <w:p w14:paraId="22C3822E" w14:textId="7EC9843B" w:rsidR="0090383E" w:rsidRDefault="0090383E">
      <w:pPr>
        <w:pStyle w:val="CommentText"/>
      </w:pPr>
      <w:r>
        <w:rPr>
          <w:rStyle w:val="CommentReference"/>
        </w:rPr>
        <w:annotationRef/>
      </w:r>
      <w:r>
        <w:t>Please confirm whether “n” is a variable and should therefore appear in italics. The following highlights are the same.</w:t>
      </w:r>
    </w:p>
  </w:comment>
  <w:comment w:id="6" w:author="MDPI" w:date="2026-09-01T17:29:00Z" w:initials="M">
    <w:p w14:paraId="729CC184" w14:textId="06790C88" w:rsidR="00FF2197" w:rsidRDefault="00FF2197">
      <w:pPr>
        <w:pStyle w:val="CommentText"/>
      </w:pPr>
      <w:r>
        <w:rPr>
          <w:rStyle w:val="CommentReference"/>
        </w:rPr>
        <w:annotationRef/>
      </w:r>
      <w:r>
        <w:t>Please note that changes to the position/size of figures or tables may occur during the production stage.</w:t>
      </w:r>
    </w:p>
  </w:comment>
  <w:comment w:id="7" w:author="MDPI" w:date="2026-09-02T11:26:00Z" w:initials="M">
    <w:p w14:paraId="42DA05A2" w14:textId="26405C20" w:rsidR="008D5686" w:rsidRDefault="008D5686">
      <w:pPr>
        <w:pStyle w:val="CommentText"/>
      </w:pPr>
      <w:r>
        <w:rPr>
          <w:rStyle w:val="CommentReference"/>
        </w:rPr>
        <w:annotationRef/>
      </w:r>
      <w:r>
        <w:t>Please conduct a thorough check of all figures and their captions before returning your proof.</w:t>
      </w:r>
    </w:p>
  </w:comment>
  <w:comment w:id="8" w:author="MDPI" w:date="2026-09-01T17:10:00Z" w:initials="M">
    <w:p w14:paraId="0E3676D1" w14:textId="77777777" w:rsidR="009046A3" w:rsidRDefault="009046A3">
      <w:pPr>
        <w:pStyle w:val="CommentText"/>
      </w:pPr>
      <w:r>
        <w:rPr>
          <w:rStyle w:val="CommentReference"/>
        </w:rPr>
        <w:annotationRef/>
      </w:r>
      <w:r>
        <w:t>Please confirm the alignment change in the whole table.</w:t>
      </w:r>
    </w:p>
  </w:comment>
  <w:comment w:id="9" w:author="MDPI" w:date="2026-09-01T17:21:00Z" w:initials="M">
    <w:p w14:paraId="061BF393" w14:textId="77777777" w:rsidR="00FD2F49" w:rsidRDefault="00FD2F49">
      <w:pPr>
        <w:pStyle w:val="CommentText"/>
      </w:pPr>
      <w:r>
        <w:rPr>
          <w:rStyle w:val="CommentReference"/>
        </w:rPr>
        <w:annotationRef/>
      </w:r>
      <w:r w:rsidRPr="007D23EE">
        <w:t>We moved Figures/Tables right after their first citation in the main text. Please confirm the revision in the whole paper.</w:t>
      </w:r>
    </w:p>
  </w:comment>
  <w:comment w:id="10" w:author="MDPI" w:date="2026-09-01T17:12:00Z" w:initials="M">
    <w:p w14:paraId="6590649F" w14:textId="77777777" w:rsidR="00FD2F49" w:rsidRDefault="00FD2F49">
      <w:pPr>
        <w:pStyle w:val="CommentText"/>
      </w:pPr>
      <w:r>
        <w:rPr>
          <w:rStyle w:val="CommentReference"/>
        </w:rPr>
        <w:annotationRef/>
      </w:r>
      <w:r>
        <w:t>Please confirm the alignment change in the whole table.</w:t>
      </w:r>
    </w:p>
  </w:comment>
  <w:comment w:id="11" w:author="MDPI" w:date="2026-09-01T17:33:00Z" w:initials="M">
    <w:p w14:paraId="6F7120C5" w14:textId="77777777" w:rsidR="00C3788C" w:rsidRDefault="00C3788C">
      <w:pPr>
        <w:pStyle w:val="CommentText"/>
      </w:pPr>
      <w:r>
        <w:rPr>
          <w:rStyle w:val="CommentReference"/>
        </w:rPr>
        <w:annotationRef/>
      </w:r>
      <w:r>
        <w:t xml:space="preserve">We added a space. Please confirm. </w:t>
      </w:r>
      <w:r w:rsidRPr="00C3788C">
        <w:t xml:space="preserve">The </w:t>
      </w:r>
      <w:r>
        <w:t>next</w:t>
      </w:r>
      <w:r w:rsidRPr="00C3788C">
        <w:t xml:space="preserve"> highlight</w:t>
      </w:r>
      <w:r>
        <w:t xml:space="preserve"> i</w:t>
      </w:r>
      <w:r w:rsidRPr="00C3788C">
        <w:t>s the same.</w:t>
      </w:r>
    </w:p>
  </w:comment>
  <w:comment w:id="12" w:author="MDPI" w:date="2026-09-01T17:12:00Z" w:initials="M">
    <w:p w14:paraId="5C8414F7" w14:textId="77777777" w:rsidR="00FD2F49" w:rsidRDefault="00FD2F49">
      <w:pPr>
        <w:pStyle w:val="CommentText"/>
      </w:pPr>
      <w:r>
        <w:rPr>
          <w:rStyle w:val="CommentReference"/>
        </w:rPr>
        <w:annotationRef/>
      </w:r>
      <w:r>
        <w:t>We changed the final row into a table footer. Please confirm.</w:t>
      </w:r>
    </w:p>
  </w:comment>
  <w:comment w:id="13" w:author="MDPI" w:date="2026-09-01T17:51:00Z" w:initials="M">
    <w:p w14:paraId="246AF658" w14:textId="07ECACB4" w:rsidR="0039354A" w:rsidRDefault="0039354A">
      <w:pPr>
        <w:pStyle w:val="CommentText"/>
      </w:pPr>
      <w:r>
        <w:rPr>
          <w:rStyle w:val="CommentReference"/>
        </w:rPr>
        <w:annotationRef/>
      </w:r>
      <w:r>
        <w:t xml:space="preserve">This section heading is a duplicate of Section </w:t>
      </w:r>
      <w:r w:rsidRPr="0039354A">
        <w:t>3.1</w:t>
      </w:r>
      <w:r>
        <w:t>, please confirm whether it can be retained or should be revised.</w:t>
      </w:r>
    </w:p>
  </w:comment>
  <w:comment w:id="14" w:author="MDPI" w:date="2026-09-01T17:51:00Z" w:initials="M">
    <w:p w14:paraId="7A5D4CAF" w14:textId="0B296483" w:rsidR="0039354A" w:rsidRDefault="0039354A">
      <w:pPr>
        <w:pStyle w:val="CommentText"/>
      </w:pPr>
      <w:r>
        <w:rPr>
          <w:rStyle w:val="CommentReference"/>
        </w:rPr>
        <w:annotationRef/>
      </w:r>
      <w:r>
        <w:t xml:space="preserve">This section heading is a duplicate of Section </w:t>
      </w:r>
      <w:r w:rsidRPr="0039354A">
        <w:t>3.2</w:t>
      </w:r>
      <w:r>
        <w:t>, please confirm whether it can be retained or should be revised.</w:t>
      </w:r>
    </w:p>
  </w:comment>
  <w:comment w:id="15" w:author="MDPI" w:date="2026-09-01T17:37:00Z" w:initials="M">
    <w:p w14:paraId="0BBEE15A" w14:textId="59C9AD21" w:rsidR="005D22B4" w:rsidRDefault="005D22B4">
      <w:pPr>
        <w:pStyle w:val="CommentText"/>
      </w:pPr>
      <w:r>
        <w:rPr>
          <w:rStyle w:val="CommentReference"/>
        </w:rPr>
        <w:annotationRef/>
      </w:r>
      <w:r>
        <w:t>Please ensure all variables/values in the equation appear in the same format in the text (normal/italic/bold/subscript/superscript).</w:t>
      </w:r>
    </w:p>
  </w:comment>
  <w:comment w:id="16" w:author="MDPI" w:date="2026-09-01T17:11:00Z" w:initials="M">
    <w:p w14:paraId="0BB69474" w14:textId="41D9DF00" w:rsidR="001261A3" w:rsidRDefault="001261A3">
      <w:pPr>
        <w:pStyle w:val="CommentText"/>
      </w:pPr>
      <w:r>
        <w:rPr>
          <w:rStyle w:val="CommentReference"/>
        </w:rPr>
        <w:annotationRef/>
      </w:r>
      <w:r w:rsidRPr="001261A3">
        <w:t>The sentence or paragraph which start as capitalized letter below the single-line formula should be indented. Please confirm whether to keep no-indent.</w:t>
      </w:r>
    </w:p>
  </w:comment>
  <w:comment w:id="17" w:author="MDPI" w:date="2026-09-01T17:40:00Z" w:initials="M">
    <w:p w14:paraId="30504240" w14:textId="30AA91D8" w:rsidR="00673AE6" w:rsidRDefault="00673AE6">
      <w:pPr>
        <w:pStyle w:val="CommentText"/>
      </w:pPr>
      <w:r>
        <w:rPr>
          <w:rStyle w:val="CommentReference"/>
        </w:rPr>
        <w:annotationRef/>
      </w:r>
      <w:r>
        <w:t xml:space="preserve">Please change the hyphen (-) between numbers into an </w:t>
      </w:r>
      <w:proofErr w:type="spellStart"/>
      <w:r>
        <w:t>en</w:t>
      </w:r>
      <w:proofErr w:type="spellEnd"/>
      <w:r>
        <w:t xml:space="preserve"> dash (–, “U+2013”), e.g., “2019-2022” should be “2019–2022” and “0-9” should be “0–9”.</w:t>
      </w:r>
    </w:p>
  </w:comment>
  <w:comment w:id="18" w:author="MDPI" w:date="2026-09-01T17:56:00Z" w:initials="M">
    <w:p w14:paraId="0DDE433E" w14:textId="6A53D116" w:rsidR="000A5F0C" w:rsidRDefault="000A5F0C">
      <w:pPr>
        <w:pStyle w:val="CommentText"/>
      </w:pPr>
      <w:r>
        <w:rPr>
          <w:rStyle w:val="CommentReference"/>
        </w:rPr>
        <w:annotationRef/>
      </w:r>
      <w:r>
        <w:t>Please confirm if shaded bands are in subfigure A need explanation.</w:t>
      </w:r>
    </w:p>
  </w:comment>
  <w:comment w:id="19" w:author="MDPI" w:date="2026-09-01T17:22:00Z" w:initials="M">
    <w:p w14:paraId="32E4EF5C" w14:textId="2515FCBB" w:rsidR="0026550C" w:rsidRDefault="0026550C">
      <w:pPr>
        <w:pStyle w:val="CommentText"/>
      </w:pPr>
      <w:r>
        <w:rPr>
          <w:rStyle w:val="CommentReference"/>
        </w:rPr>
        <w:annotationRef/>
      </w:r>
      <w:r>
        <w:t>Please confirm if the figure caption should be unified with the one in source.</w:t>
      </w:r>
    </w:p>
  </w:comment>
  <w:comment w:id="20" w:author="MDPI" w:date="2026-09-01T17:13:00Z" w:initials="M">
    <w:p w14:paraId="49E16A65" w14:textId="2202B5C6" w:rsidR="00F77936" w:rsidRDefault="00F77936">
      <w:pPr>
        <w:pStyle w:val="CommentText"/>
      </w:pPr>
      <w:r>
        <w:rPr>
          <w:rStyle w:val="CommentReference"/>
        </w:rPr>
        <w:annotationRef/>
      </w:r>
      <w:r>
        <w:t>Information regarding the funder and the funding number should be provided. Please check the accuracy of funding data and any other information carefully.</w:t>
      </w:r>
    </w:p>
  </w:comment>
  <w:comment w:id="23" w:author="MDPI" w:date="2026-09-02T11:44:00Z" w:initials="M">
    <w:p w14:paraId="71ACB626" w14:textId="384E78C0" w:rsidR="00116026" w:rsidRDefault="00116026">
      <w:pPr>
        <w:pStyle w:val="CommentText"/>
        <w:rPr>
          <w:rFonts w:hint="eastAsia"/>
        </w:rPr>
      </w:pPr>
      <w:r>
        <w:rPr>
          <w:rStyle w:val="CommentReference"/>
        </w:rPr>
        <w:annotationRef/>
      </w:r>
      <w:r>
        <w:t>We changed this to a standard note. Please confirm this revision</w:t>
      </w:r>
      <w:r>
        <w:rPr>
          <w:rFonts w:hint="eastAsia"/>
        </w:rPr>
        <w:t>, and check if any materials need uploaded.</w:t>
      </w:r>
    </w:p>
  </w:comment>
  <w:comment w:id="26" w:author="MDPI" w:date="2026-09-01T17:19:00Z" w:initials="M">
    <w:p w14:paraId="659D559A" w14:textId="77777777" w:rsidR="00D64BEF" w:rsidRDefault="00D64BEF" w:rsidP="00D64BEF">
      <w:pPr>
        <w:pStyle w:val="CommentText"/>
      </w:pPr>
      <w:r>
        <w:rPr>
          <w:rStyle w:val="CommentReference"/>
        </w:rPr>
        <w:annotationRef/>
      </w:r>
      <w:r>
        <w:t>We added the location of the publisher. Please confirm.</w:t>
      </w:r>
    </w:p>
  </w:comment>
  <w:comment w:id="27" w:author="MDPI" w:date="2026-09-01T17:20:00Z" w:initials="M">
    <w:p w14:paraId="295553AF" w14:textId="77777777" w:rsidR="00D64BEF" w:rsidRDefault="00D64BEF" w:rsidP="00D64BEF">
      <w:pPr>
        <w:pStyle w:val="CommentText"/>
      </w:pPr>
      <w:r>
        <w:rPr>
          <w:rStyle w:val="CommentReference"/>
        </w:rPr>
        <w:annotationRef/>
      </w:r>
      <w:r>
        <w:t>we revised the page number according to Google Scholar, please confirm</w:t>
      </w:r>
    </w:p>
  </w:comment>
  <w:comment w:id="28" w:author="MDPI" w:date="2026-09-01T17:24:00Z" w:initials="M">
    <w:p w14:paraId="49781B9E" w14:textId="77777777" w:rsidR="00D64BEF" w:rsidRPr="00431E13" w:rsidRDefault="00D64BEF" w:rsidP="00D64BEF">
      <w:pPr>
        <w:pStyle w:val="CommentText"/>
        <w:rPr>
          <w:color w:val="FF0000"/>
        </w:rPr>
      </w:pPr>
      <w:r w:rsidRPr="00431E13">
        <w:rPr>
          <w:rStyle w:val="CommentReference"/>
          <w:color w:val="FF0000"/>
        </w:rPr>
        <w:annotationRef/>
      </w:r>
      <w:r w:rsidRPr="00431E13">
        <w:rPr>
          <w:color w:val="FF0000"/>
        </w:rPr>
        <w:t>DOI information is invalid; please revise it.</w:t>
      </w:r>
    </w:p>
  </w:comment>
  <w:comment w:id="29" w:author="MDPI" w:date="2026-09-01T17:20:00Z" w:initials="M">
    <w:p w14:paraId="1FC85B56" w14:textId="77777777" w:rsidR="00D64BEF" w:rsidRDefault="00D64BEF" w:rsidP="00D64BEF">
      <w:pPr>
        <w:pStyle w:val="CommentText"/>
      </w:pPr>
      <w:r>
        <w:rPr>
          <w:rStyle w:val="CommentReference"/>
        </w:rPr>
        <w:annotationRef/>
      </w:r>
      <w:r>
        <w:t>please add publisher name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8E7FE5" w15:done="0"/>
  <w15:commentEx w15:paraId="049F4121" w15:done="0"/>
  <w15:commentEx w15:paraId="221F45EE" w15:done="0"/>
  <w15:commentEx w15:paraId="6EBB0D30" w15:done="0"/>
  <w15:commentEx w15:paraId="310C03E8" w15:done="0"/>
  <w15:commentEx w15:paraId="22C3822E" w15:done="0"/>
  <w15:commentEx w15:paraId="729CC184" w15:done="0"/>
  <w15:commentEx w15:paraId="42DA05A2" w15:done="0"/>
  <w15:commentEx w15:paraId="0E3676D1" w15:done="0"/>
  <w15:commentEx w15:paraId="061BF393" w15:done="0"/>
  <w15:commentEx w15:paraId="6590649F" w15:done="0"/>
  <w15:commentEx w15:paraId="6F7120C5" w15:done="0"/>
  <w15:commentEx w15:paraId="5C8414F7" w15:done="0"/>
  <w15:commentEx w15:paraId="246AF658" w15:done="0"/>
  <w15:commentEx w15:paraId="7A5D4CAF" w15:done="0"/>
  <w15:commentEx w15:paraId="0BBEE15A" w15:done="0"/>
  <w15:commentEx w15:paraId="0BB69474" w15:done="0"/>
  <w15:commentEx w15:paraId="30504240" w15:done="0"/>
  <w15:commentEx w15:paraId="0DDE433E" w15:done="0"/>
  <w15:commentEx w15:paraId="32E4EF5C" w15:done="0"/>
  <w15:commentEx w15:paraId="49E16A65" w15:done="0"/>
  <w15:commentEx w15:paraId="71ACB626" w15:done="0"/>
  <w15:commentEx w15:paraId="659D559A" w15:done="0"/>
  <w15:commentEx w15:paraId="295553AF" w15:done="0"/>
  <w15:commentEx w15:paraId="49781B9E" w15:done="0"/>
  <w15:commentEx w15:paraId="1FC85B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552AAA" w16cex:dateUtc="2026-09-02T03:25:00Z"/>
  <w16cex:commentExtensible w16cex:durableId="774AEF42" w16cex:dateUtc="2026-09-01T09:19:00Z"/>
  <w16cex:commentExtensible w16cex:durableId="54345364" w16cex:dateUtc="2026-09-01T09:26:00Z"/>
  <w16cex:commentExtensible w16cex:durableId="66785FA2" w16cex:dateUtc="2026-09-01T09:49:00Z"/>
  <w16cex:commentExtensible w16cex:durableId="1CC2BDEE" w16cex:dateUtc="2026-09-02T03:26:00Z"/>
  <w16cex:commentExtensible w16cex:durableId="4459EE97" w16cex:dateUtc="2026-09-01T09:18:00Z"/>
  <w16cex:commentExtensible w16cex:durableId="27319E21" w16cex:dateUtc="2026-09-01T09:29:00Z"/>
  <w16cex:commentExtensible w16cex:durableId="0CD78133" w16cex:dateUtc="2026-09-02T03:26:00Z"/>
  <w16cex:commentExtensible w16cex:durableId="0D0C0D29" w16cex:dateUtc="2026-09-01T09:10:00Z"/>
  <w16cex:commentExtensible w16cex:durableId="31BF631A" w16cex:dateUtc="2026-09-01T09:21:00Z"/>
  <w16cex:commentExtensible w16cex:durableId="18655606" w16cex:dateUtc="2026-09-01T09:12:00Z"/>
  <w16cex:commentExtensible w16cex:durableId="2519D8F4" w16cex:dateUtc="2026-09-01T09:33:00Z"/>
  <w16cex:commentExtensible w16cex:durableId="79E2AE61" w16cex:dateUtc="2026-09-01T09:12:00Z"/>
  <w16cex:commentExtensible w16cex:durableId="2ED7C15E" w16cex:dateUtc="2026-09-01T09:51:00Z"/>
  <w16cex:commentExtensible w16cex:durableId="51B84EB1" w16cex:dateUtc="2026-09-01T09:51:00Z"/>
  <w16cex:commentExtensible w16cex:durableId="15C96749" w16cex:dateUtc="2026-09-01T09:37:00Z"/>
  <w16cex:commentExtensible w16cex:durableId="231FC578" w16cex:dateUtc="2026-09-01T09:11:00Z"/>
  <w16cex:commentExtensible w16cex:durableId="381A7FF8" w16cex:dateUtc="2026-09-01T09:40:00Z"/>
  <w16cex:commentExtensible w16cex:durableId="60211B6A" w16cex:dateUtc="2026-09-01T09:56:00Z"/>
  <w16cex:commentExtensible w16cex:durableId="18057C01" w16cex:dateUtc="2026-09-01T09:22:00Z"/>
  <w16cex:commentExtensible w16cex:durableId="3260C81C" w16cex:dateUtc="2026-09-01T09:13:00Z"/>
  <w16cex:commentExtensible w16cex:durableId="6F7AF86E" w16cex:dateUtc="2026-09-02T03:44:00Z"/>
  <w16cex:commentExtensible w16cex:durableId="3A37E033" w16cex:dateUtc="2026-09-01T09:19:00Z"/>
  <w16cex:commentExtensible w16cex:durableId="0962BDF6" w16cex:dateUtc="2026-09-01T09:20:00Z"/>
  <w16cex:commentExtensible w16cex:durableId="1515FFEE" w16cex:dateUtc="2026-09-01T09:24:00Z"/>
  <w16cex:commentExtensible w16cex:durableId="1DFADF2F" w16cex:dateUtc="2026-09-01T0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8E7FE5" w16cid:durableId="13552AAA"/>
  <w16cid:commentId w16cid:paraId="049F4121" w16cid:durableId="774AEF42"/>
  <w16cid:commentId w16cid:paraId="221F45EE" w16cid:durableId="54345364"/>
  <w16cid:commentId w16cid:paraId="6EBB0D30" w16cid:durableId="66785FA2"/>
  <w16cid:commentId w16cid:paraId="310C03E8" w16cid:durableId="1CC2BDEE"/>
  <w16cid:commentId w16cid:paraId="22C3822E" w16cid:durableId="4459EE97"/>
  <w16cid:commentId w16cid:paraId="729CC184" w16cid:durableId="27319E21"/>
  <w16cid:commentId w16cid:paraId="42DA05A2" w16cid:durableId="0CD78133"/>
  <w16cid:commentId w16cid:paraId="0E3676D1" w16cid:durableId="0D0C0D29"/>
  <w16cid:commentId w16cid:paraId="061BF393" w16cid:durableId="31BF631A"/>
  <w16cid:commentId w16cid:paraId="6590649F" w16cid:durableId="18655606"/>
  <w16cid:commentId w16cid:paraId="6F7120C5" w16cid:durableId="2519D8F4"/>
  <w16cid:commentId w16cid:paraId="5C8414F7" w16cid:durableId="79E2AE61"/>
  <w16cid:commentId w16cid:paraId="246AF658" w16cid:durableId="2ED7C15E"/>
  <w16cid:commentId w16cid:paraId="7A5D4CAF" w16cid:durableId="51B84EB1"/>
  <w16cid:commentId w16cid:paraId="0BBEE15A" w16cid:durableId="15C96749"/>
  <w16cid:commentId w16cid:paraId="0BB69474" w16cid:durableId="231FC578"/>
  <w16cid:commentId w16cid:paraId="30504240" w16cid:durableId="381A7FF8"/>
  <w16cid:commentId w16cid:paraId="0DDE433E" w16cid:durableId="60211B6A"/>
  <w16cid:commentId w16cid:paraId="32E4EF5C" w16cid:durableId="18057C01"/>
  <w16cid:commentId w16cid:paraId="49E16A65" w16cid:durableId="3260C81C"/>
  <w16cid:commentId w16cid:paraId="71ACB626" w16cid:durableId="6F7AF86E"/>
  <w16cid:commentId w16cid:paraId="659D559A" w16cid:durableId="3A37E033"/>
  <w16cid:commentId w16cid:paraId="295553AF" w16cid:durableId="0962BDF6"/>
  <w16cid:commentId w16cid:paraId="49781B9E" w16cid:durableId="1515FFEE"/>
  <w16cid:commentId w16cid:paraId="1FC85B56" w16cid:durableId="1DFADF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460C1" w14:textId="77777777" w:rsidR="0011103E" w:rsidRPr="007839E8" w:rsidRDefault="0011103E">
      <w:pPr>
        <w:spacing w:line="240" w:lineRule="auto"/>
      </w:pPr>
      <w:r w:rsidRPr="007839E8">
        <w:separator/>
      </w:r>
    </w:p>
  </w:endnote>
  <w:endnote w:type="continuationSeparator" w:id="0">
    <w:p w14:paraId="7B182CF9" w14:textId="77777777" w:rsidR="0011103E" w:rsidRPr="007839E8" w:rsidRDefault="0011103E">
      <w:pPr>
        <w:spacing w:line="240" w:lineRule="auto"/>
      </w:pPr>
      <w:r w:rsidRPr="007839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3806" w14:textId="77777777" w:rsidR="001C76F6" w:rsidRPr="005732C5" w:rsidRDefault="005732C5" w:rsidP="005732C5">
    <w:pPr>
      <w:pStyle w:val="Footer"/>
      <w:spacing w:line="240" w:lineRule="auto"/>
      <w:jc w:val="right"/>
    </w:pPr>
    <w:r w:rsidRPr="009F420B">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45BD" w14:textId="77777777" w:rsidR="00C93562" w:rsidRPr="007839E8" w:rsidRDefault="00C93562" w:rsidP="00092EF2">
    <w:pPr>
      <w:pBdr>
        <w:top w:val="single" w:sz="4" w:space="0" w:color="000000"/>
      </w:pBdr>
      <w:tabs>
        <w:tab w:val="right" w:pos="8844"/>
      </w:tabs>
      <w:adjustRightInd w:val="0"/>
      <w:snapToGrid w:val="0"/>
      <w:spacing w:before="480" w:line="100" w:lineRule="exact"/>
      <w:jc w:val="left"/>
      <w:rPr>
        <w:i/>
        <w:sz w:val="16"/>
        <w:szCs w:val="16"/>
      </w:rPr>
    </w:pPr>
  </w:p>
  <w:p w14:paraId="1636563B" w14:textId="77777777" w:rsidR="001C76F6" w:rsidRPr="007839E8" w:rsidRDefault="001C76F6" w:rsidP="00526502">
    <w:pPr>
      <w:tabs>
        <w:tab w:val="right" w:pos="10466"/>
      </w:tabs>
      <w:adjustRightInd w:val="0"/>
      <w:snapToGrid w:val="0"/>
      <w:spacing w:line="240" w:lineRule="auto"/>
      <w:rPr>
        <w:sz w:val="16"/>
        <w:szCs w:val="16"/>
      </w:rPr>
    </w:pPr>
    <w:r w:rsidRPr="007839E8">
      <w:rPr>
        <w:i/>
        <w:sz w:val="16"/>
        <w:szCs w:val="16"/>
      </w:rPr>
      <w:t xml:space="preserve">Foods </w:t>
    </w:r>
    <w:r w:rsidR="005732C5">
      <w:rPr>
        <w:b/>
        <w:bCs/>
        <w:iCs/>
        <w:sz w:val="16"/>
        <w:szCs w:val="16"/>
      </w:rPr>
      <w:t>2026</w:t>
    </w:r>
    <w:r w:rsidR="007E13A0" w:rsidRPr="007839E8">
      <w:rPr>
        <w:bCs/>
        <w:iCs/>
        <w:sz w:val="16"/>
        <w:szCs w:val="16"/>
      </w:rPr>
      <w:t>,</w:t>
    </w:r>
    <w:r w:rsidR="008D4C81" w:rsidRPr="007839E8">
      <w:rPr>
        <w:bCs/>
        <w:i/>
        <w:iCs/>
        <w:sz w:val="16"/>
        <w:szCs w:val="16"/>
      </w:rPr>
      <w:t xml:space="preserve"> </w:t>
    </w:r>
    <w:r w:rsidR="005732C5">
      <w:rPr>
        <w:bCs/>
        <w:i/>
        <w:iCs/>
        <w:sz w:val="16"/>
        <w:szCs w:val="16"/>
      </w:rPr>
      <w:t>15</w:t>
    </w:r>
    <w:r w:rsidR="007E13A0" w:rsidRPr="007839E8">
      <w:rPr>
        <w:bCs/>
        <w:iCs/>
        <w:sz w:val="16"/>
        <w:szCs w:val="16"/>
      </w:rPr>
      <w:t xml:space="preserve">, </w:t>
    </w:r>
    <w:r w:rsidR="00AE6E21" w:rsidRPr="007839E8">
      <w:rPr>
        <w:bCs/>
        <w:iCs/>
        <w:sz w:val="16"/>
        <w:szCs w:val="16"/>
      </w:rPr>
      <w:t>x</w:t>
    </w:r>
    <w:r w:rsidR="00526502" w:rsidRPr="007839E8">
      <w:rPr>
        <w:sz w:val="16"/>
        <w:szCs w:val="16"/>
      </w:rPr>
      <w:tab/>
    </w:r>
    <w:r w:rsidR="005732C5" w:rsidRPr="009F420B">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A66C9" w14:textId="77777777" w:rsidR="0011103E" w:rsidRPr="007839E8" w:rsidRDefault="0011103E">
      <w:pPr>
        <w:spacing w:line="240" w:lineRule="auto"/>
      </w:pPr>
      <w:r w:rsidRPr="007839E8">
        <w:separator/>
      </w:r>
    </w:p>
  </w:footnote>
  <w:footnote w:type="continuationSeparator" w:id="0">
    <w:p w14:paraId="60BD4B91" w14:textId="77777777" w:rsidR="0011103E" w:rsidRPr="007839E8" w:rsidRDefault="0011103E">
      <w:pPr>
        <w:spacing w:line="240" w:lineRule="auto"/>
      </w:pPr>
      <w:r w:rsidRPr="007839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6DE6" w14:textId="77777777" w:rsidR="001C76F6" w:rsidRPr="007839E8" w:rsidRDefault="001C76F6" w:rsidP="001C76F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731E" w14:textId="77777777" w:rsidR="00C93562" w:rsidRPr="007839E8" w:rsidRDefault="001C76F6" w:rsidP="00526502">
    <w:pPr>
      <w:tabs>
        <w:tab w:val="right" w:pos="10466"/>
      </w:tabs>
      <w:adjustRightInd w:val="0"/>
      <w:snapToGrid w:val="0"/>
      <w:spacing w:line="240" w:lineRule="auto"/>
      <w:rPr>
        <w:sz w:val="16"/>
      </w:rPr>
    </w:pPr>
    <w:r w:rsidRPr="007839E8">
      <w:rPr>
        <w:i/>
        <w:sz w:val="16"/>
      </w:rPr>
      <w:t xml:space="preserve">Foods </w:t>
    </w:r>
    <w:r w:rsidR="005732C5">
      <w:rPr>
        <w:b/>
        <w:sz w:val="16"/>
      </w:rPr>
      <w:t>2026</w:t>
    </w:r>
    <w:r w:rsidR="007E13A0" w:rsidRPr="007839E8">
      <w:rPr>
        <w:sz w:val="16"/>
      </w:rPr>
      <w:t>,</w:t>
    </w:r>
    <w:r w:rsidR="008D4C81" w:rsidRPr="007839E8">
      <w:rPr>
        <w:i/>
        <w:sz w:val="16"/>
      </w:rPr>
      <w:t xml:space="preserve"> </w:t>
    </w:r>
    <w:r w:rsidR="005732C5">
      <w:rPr>
        <w:i/>
        <w:sz w:val="16"/>
      </w:rPr>
      <w:t>15</w:t>
    </w:r>
    <w:r w:rsidR="00AE6E21" w:rsidRPr="007839E8">
      <w:rPr>
        <w:sz w:val="16"/>
      </w:rPr>
      <w:t xml:space="preserve">, x </w:t>
    </w:r>
    <w:r w:rsidR="008D4C81" w:rsidRPr="007839E8">
      <w:rPr>
        <w:sz w:val="16"/>
      </w:rPr>
      <w:t>FOR PEER REVIEW</w:t>
    </w:r>
    <w:r w:rsidR="008D4C81" w:rsidRPr="007839E8">
      <w:rPr>
        <w:sz w:val="16"/>
      </w:rPr>
      <w:ptab w:relativeTo="margin" w:alignment="right" w:leader="none"/>
    </w:r>
    <w:r w:rsidR="008D4C81" w:rsidRPr="007839E8">
      <w:rPr>
        <w:sz w:val="16"/>
      </w:rPr>
      <w:fldChar w:fldCharType="begin"/>
    </w:r>
    <w:r w:rsidR="008D4C81" w:rsidRPr="007839E8">
      <w:rPr>
        <w:sz w:val="16"/>
      </w:rPr>
      <w:instrText xml:space="preserve"> PAGE   \* MERGEFORMAT </w:instrText>
    </w:r>
    <w:r w:rsidR="008D4C81" w:rsidRPr="007839E8">
      <w:rPr>
        <w:sz w:val="16"/>
      </w:rPr>
      <w:fldChar w:fldCharType="separate"/>
    </w:r>
    <w:r w:rsidR="008D4C81" w:rsidRPr="007839E8">
      <w:rPr>
        <w:sz w:val="16"/>
      </w:rPr>
      <w:t>2</w:t>
    </w:r>
    <w:r w:rsidR="008D4C81" w:rsidRPr="007839E8">
      <w:rPr>
        <w:sz w:val="16"/>
      </w:rPr>
      <w:fldChar w:fldCharType="end"/>
    </w:r>
    <w:r w:rsidR="008D4C81" w:rsidRPr="007839E8">
      <w:rPr>
        <w:sz w:val="16"/>
      </w:rPr>
      <w:t xml:space="preserve"> of </w:t>
    </w:r>
    <w:r w:rsidR="008D4C81" w:rsidRPr="007839E8">
      <w:rPr>
        <w:sz w:val="16"/>
      </w:rPr>
      <w:fldChar w:fldCharType="begin"/>
    </w:r>
    <w:r w:rsidR="008D4C81" w:rsidRPr="007839E8">
      <w:rPr>
        <w:sz w:val="16"/>
      </w:rPr>
      <w:instrText xml:space="preserve"> NUMPAGES   \* MERGEFORMAT </w:instrText>
    </w:r>
    <w:r w:rsidR="008D4C81" w:rsidRPr="007839E8">
      <w:rPr>
        <w:sz w:val="16"/>
      </w:rPr>
      <w:fldChar w:fldCharType="separate"/>
    </w:r>
    <w:r w:rsidR="008D4C81" w:rsidRPr="007839E8">
      <w:rPr>
        <w:sz w:val="16"/>
      </w:rPr>
      <w:t>8</w:t>
    </w:r>
    <w:r w:rsidR="008D4C81" w:rsidRPr="007839E8">
      <w:rPr>
        <w:sz w:val="16"/>
      </w:rPr>
      <w:fldChar w:fldCharType="end"/>
    </w:r>
  </w:p>
  <w:p w14:paraId="65F60C08" w14:textId="77777777" w:rsidR="001C76F6" w:rsidRPr="007839E8" w:rsidRDefault="001C76F6" w:rsidP="00092EF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93562" w:rsidRPr="007839E8" w14:paraId="31517423" w14:textId="77777777" w:rsidTr="003767D5">
      <w:trPr>
        <w:trHeight w:val="686"/>
      </w:trPr>
      <w:tc>
        <w:tcPr>
          <w:tcW w:w="3679" w:type="dxa"/>
          <w:vAlign w:val="center"/>
        </w:tcPr>
        <w:p w14:paraId="23EC00F4" w14:textId="77777777" w:rsidR="00C93562" w:rsidRPr="007839E8" w:rsidRDefault="00AF0B89" w:rsidP="00526502">
          <w:pPr>
            <w:pStyle w:val="Header"/>
            <w:pBdr>
              <w:bottom w:val="none" w:sz="0" w:space="0" w:color="auto"/>
            </w:pBdr>
            <w:jc w:val="left"/>
            <w:rPr>
              <w:rFonts w:eastAsia="等线"/>
              <w:b/>
              <w:bCs/>
            </w:rPr>
          </w:pPr>
          <w:r w:rsidRPr="007839E8">
            <w:rPr>
              <w:rFonts w:eastAsia="等线"/>
              <w:b/>
              <w:bCs/>
              <w:noProof/>
            </w:rPr>
            <w:drawing>
              <wp:inline distT="0" distB="0" distL="0" distR="0" wp14:anchorId="4FB8FA43" wp14:editId="06E67667">
                <wp:extent cx="1037408" cy="432000"/>
                <wp:effectExtent l="0" t="0" r="0" b="6350"/>
                <wp:docPr id="184609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90743" name=""/>
                        <pic:cNvPicPr/>
                      </pic:nvPicPr>
                      <pic:blipFill>
                        <a:blip r:embed="rId1"/>
                        <a:stretch>
                          <a:fillRect/>
                        </a:stretch>
                      </pic:blipFill>
                      <pic:spPr>
                        <a:xfrm>
                          <a:off x="0" y="0"/>
                          <a:ext cx="1037408" cy="432000"/>
                        </a:xfrm>
                        <a:prstGeom prst="rect">
                          <a:avLst/>
                        </a:prstGeom>
                      </pic:spPr>
                    </pic:pic>
                  </a:graphicData>
                </a:graphic>
              </wp:inline>
            </w:drawing>
          </w:r>
        </w:p>
      </w:tc>
      <w:tc>
        <w:tcPr>
          <w:tcW w:w="4535" w:type="dxa"/>
          <w:vAlign w:val="center"/>
        </w:tcPr>
        <w:p w14:paraId="2FED6696" w14:textId="77777777" w:rsidR="00C93562" w:rsidRPr="007839E8" w:rsidRDefault="00C93562" w:rsidP="00526502">
          <w:pPr>
            <w:pStyle w:val="Header"/>
            <w:pBdr>
              <w:bottom w:val="none" w:sz="0" w:space="0" w:color="auto"/>
            </w:pBdr>
            <w:rPr>
              <w:rFonts w:eastAsia="等线"/>
              <w:b/>
              <w:bCs/>
            </w:rPr>
          </w:pPr>
        </w:p>
      </w:tc>
      <w:tc>
        <w:tcPr>
          <w:tcW w:w="2273" w:type="dxa"/>
          <w:vAlign w:val="center"/>
        </w:tcPr>
        <w:p w14:paraId="41854915" w14:textId="77777777" w:rsidR="00C93562" w:rsidRPr="007839E8" w:rsidRDefault="003767D5" w:rsidP="003767D5">
          <w:pPr>
            <w:pStyle w:val="Header"/>
            <w:pBdr>
              <w:bottom w:val="none" w:sz="0" w:space="0" w:color="auto"/>
            </w:pBdr>
            <w:jc w:val="right"/>
            <w:rPr>
              <w:rFonts w:eastAsia="等线"/>
              <w:b/>
              <w:bCs/>
            </w:rPr>
          </w:pPr>
          <w:r w:rsidRPr="007839E8">
            <w:rPr>
              <w:rFonts w:eastAsia="等线"/>
              <w:b/>
              <w:bCs/>
              <w:noProof/>
            </w:rPr>
            <w:drawing>
              <wp:inline distT="0" distB="0" distL="0" distR="0" wp14:anchorId="10A0876B" wp14:editId="2253A147">
                <wp:extent cx="540000" cy="360000"/>
                <wp:effectExtent l="0" t="0" r="0" b="2540"/>
                <wp:docPr id="333099079" name="Picture 1"/>
                <wp:cNvGraphicFramePr/>
                <a:graphic xmlns:a="http://schemas.openxmlformats.org/drawingml/2006/main">
                  <a:graphicData uri="http://schemas.openxmlformats.org/drawingml/2006/picture">
                    <pic:pic xmlns:pic="http://schemas.openxmlformats.org/drawingml/2006/picture">
                      <pic:nvPicPr>
                        <pic:cNvPr id="333099079" name=""/>
                        <pic:cNvPicPr/>
                      </pic:nvPicPr>
                      <pic:blipFill>
                        <a:blip r:embed="rId2"/>
                        <a:stretch>
                          <a:fillRect/>
                        </a:stretch>
                      </pic:blipFill>
                      <pic:spPr>
                        <a:xfrm>
                          <a:off x="0" y="0"/>
                          <a:ext cx="540000" cy="360000"/>
                        </a:xfrm>
                        <a:prstGeom prst="rect">
                          <a:avLst/>
                        </a:prstGeom>
                      </pic:spPr>
                    </pic:pic>
                  </a:graphicData>
                </a:graphic>
              </wp:inline>
            </w:drawing>
          </w:r>
        </w:p>
      </w:tc>
    </w:tr>
  </w:tbl>
  <w:p w14:paraId="1CE11D76" w14:textId="77777777" w:rsidR="001C76F6" w:rsidRPr="007839E8" w:rsidRDefault="001C76F6" w:rsidP="008D4C81">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6105"/>
    <w:multiLevelType w:val="hybridMultilevel"/>
    <w:tmpl w:val="AF40D5FA"/>
    <w:lvl w:ilvl="0" w:tplc="B462B7F4">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B58D9"/>
    <w:multiLevelType w:val="hybridMultilevel"/>
    <w:tmpl w:val="81D40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B8901EB2"/>
    <w:lvl w:ilvl="0" w:tplc="5720F22A">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131C1B"/>
    <w:multiLevelType w:val="hybridMultilevel"/>
    <w:tmpl w:val="F876924A"/>
    <w:lvl w:ilvl="0" w:tplc="1B26082E">
      <w:start w:val="1"/>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1950411F"/>
    <w:multiLevelType w:val="hybridMultilevel"/>
    <w:tmpl w:val="EA14BD68"/>
    <w:lvl w:ilvl="0" w:tplc="304C3A3C">
      <w:start w:val="2"/>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 w15:restartNumberingAfterBreak="0">
    <w:nsid w:val="1E0C6F5D"/>
    <w:multiLevelType w:val="hybridMultilevel"/>
    <w:tmpl w:val="1B9C8672"/>
    <w:lvl w:ilvl="0" w:tplc="FD08D17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6"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8"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E1CB5"/>
    <w:multiLevelType w:val="hybridMultilevel"/>
    <w:tmpl w:val="E6CCB62A"/>
    <w:lvl w:ilvl="0" w:tplc="B1B86ED0">
      <w:start w:val="3"/>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1" w15:restartNumberingAfterBreak="0">
    <w:nsid w:val="3DD6696D"/>
    <w:multiLevelType w:val="multilevel"/>
    <w:tmpl w:val="7F10F886"/>
    <w:lvl w:ilvl="0">
      <w:start w:val="1"/>
      <w:numFmt w:val="bullet"/>
      <w:lvlText w:val=""/>
      <w:lvlJc w:val="left"/>
      <w:pPr>
        <w:tabs>
          <w:tab w:val="num" w:pos="0"/>
        </w:tabs>
        <w:ind w:left="2760" w:hanging="360"/>
      </w:pPr>
      <w:rPr>
        <w:rFonts w:ascii="Symbol" w:hAnsi="Symbol" w:cs="Symbol" w:hint="default"/>
      </w:rPr>
    </w:lvl>
    <w:lvl w:ilvl="1">
      <w:start w:val="1"/>
      <w:numFmt w:val="bullet"/>
      <w:lvlText w:val="o"/>
      <w:lvlJc w:val="left"/>
      <w:pPr>
        <w:tabs>
          <w:tab w:val="num" w:pos="0"/>
        </w:tabs>
        <w:ind w:left="3480" w:hanging="360"/>
      </w:pPr>
      <w:rPr>
        <w:rFonts w:ascii="Courier New" w:hAnsi="Courier New" w:cs="Courier New" w:hint="default"/>
      </w:rPr>
    </w:lvl>
    <w:lvl w:ilvl="2">
      <w:start w:val="1"/>
      <w:numFmt w:val="bullet"/>
      <w:lvlText w:val=""/>
      <w:lvlJc w:val="left"/>
      <w:pPr>
        <w:tabs>
          <w:tab w:val="num" w:pos="0"/>
        </w:tabs>
        <w:ind w:left="4200" w:hanging="360"/>
      </w:pPr>
      <w:rPr>
        <w:rFonts w:ascii="Wingdings" w:hAnsi="Wingdings" w:cs="Wingdings" w:hint="default"/>
      </w:rPr>
    </w:lvl>
    <w:lvl w:ilvl="3">
      <w:start w:val="1"/>
      <w:numFmt w:val="bullet"/>
      <w:lvlText w:val=""/>
      <w:lvlJc w:val="left"/>
      <w:pPr>
        <w:tabs>
          <w:tab w:val="num" w:pos="0"/>
        </w:tabs>
        <w:ind w:left="4920" w:hanging="360"/>
      </w:pPr>
      <w:rPr>
        <w:rFonts w:ascii="Symbol" w:hAnsi="Symbol" w:cs="Symbol" w:hint="default"/>
      </w:rPr>
    </w:lvl>
    <w:lvl w:ilvl="4">
      <w:start w:val="1"/>
      <w:numFmt w:val="bullet"/>
      <w:lvlText w:val="o"/>
      <w:lvlJc w:val="left"/>
      <w:pPr>
        <w:tabs>
          <w:tab w:val="num" w:pos="0"/>
        </w:tabs>
        <w:ind w:left="5640" w:hanging="360"/>
      </w:pPr>
      <w:rPr>
        <w:rFonts w:ascii="Courier New" w:hAnsi="Courier New" w:cs="Courier New" w:hint="default"/>
      </w:rPr>
    </w:lvl>
    <w:lvl w:ilvl="5">
      <w:start w:val="1"/>
      <w:numFmt w:val="bullet"/>
      <w:lvlText w:val=""/>
      <w:lvlJc w:val="left"/>
      <w:pPr>
        <w:tabs>
          <w:tab w:val="num" w:pos="0"/>
        </w:tabs>
        <w:ind w:left="6360" w:hanging="360"/>
      </w:pPr>
      <w:rPr>
        <w:rFonts w:ascii="Wingdings" w:hAnsi="Wingdings" w:cs="Wingdings" w:hint="default"/>
      </w:rPr>
    </w:lvl>
    <w:lvl w:ilvl="6">
      <w:start w:val="1"/>
      <w:numFmt w:val="bullet"/>
      <w:lvlText w:val=""/>
      <w:lvlJc w:val="left"/>
      <w:pPr>
        <w:tabs>
          <w:tab w:val="num" w:pos="0"/>
        </w:tabs>
        <w:ind w:left="7080" w:hanging="360"/>
      </w:pPr>
      <w:rPr>
        <w:rFonts w:ascii="Symbol" w:hAnsi="Symbol" w:cs="Symbol" w:hint="default"/>
      </w:rPr>
    </w:lvl>
    <w:lvl w:ilvl="7">
      <w:start w:val="1"/>
      <w:numFmt w:val="bullet"/>
      <w:lvlText w:val="o"/>
      <w:lvlJc w:val="left"/>
      <w:pPr>
        <w:tabs>
          <w:tab w:val="num" w:pos="0"/>
        </w:tabs>
        <w:ind w:left="7800" w:hanging="360"/>
      </w:pPr>
      <w:rPr>
        <w:rFonts w:ascii="Courier New" w:hAnsi="Courier New" w:cs="Courier New" w:hint="default"/>
      </w:rPr>
    </w:lvl>
    <w:lvl w:ilvl="8">
      <w:start w:val="1"/>
      <w:numFmt w:val="bullet"/>
      <w:lvlText w:val=""/>
      <w:lvlJc w:val="left"/>
      <w:pPr>
        <w:tabs>
          <w:tab w:val="num" w:pos="0"/>
        </w:tabs>
        <w:ind w:left="8520" w:hanging="360"/>
      </w:pPr>
      <w:rPr>
        <w:rFonts w:ascii="Wingdings" w:hAnsi="Wingdings" w:cs="Wingdings" w:hint="default"/>
      </w:rPr>
    </w:lvl>
  </w:abstractNum>
  <w:abstractNum w:abstractNumId="12" w15:restartNumberingAfterBreak="0">
    <w:nsid w:val="44DA1CB9"/>
    <w:multiLevelType w:val="hybridMultilevel"/>
    <w:tmpl w:val="CCC8D13C"/>
    <w:lvl w:ilvl="0" w:tplc="4B545C06">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075B53"/>
    <w:multiLevelType w:val="hybridMultilevel"/>
    <w:tmpl w:val="37762540"/>
    <w:lvl w:ilvl="0" w:tplc="0842200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5" w15:restartNumberingAfterBreak="0">
    <w:nsid w:val="6D7F75A7"/>
    <w:multiLevelType w:val="hybridMultilevel"/>
    <w:tmpl w:val="A508BCE8"/>
    <w:lvl w:ilvl="0" w:tplc="C642578A">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6"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1A26FB"/>
    <w:multiLevelType w:val="hybridMultilevel"/>
    <w:tmpl w:val="366C2B86"/>
    <w:lvl w:ilvl="0" w:tplc="5B38DB86">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885720">
    <w:abstractNumId w:val="7"/>
  </w:num>
  <w:num w:numId="2" w16cid:durableId="764572956">
    <w:abstractNumId w:val="10"/>
  </w:num>
  <w:num w:numId="3" w16cid:durableId="227352354">
    <w:abstractNumId w:val="6"/>
  </w:num>
  <w:num w:numId="4" w16cid:durableId="18915716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9691103">
    <w:abstractNumId w:val="8"/>
  </w:num>
  <w:num w:numId="6" w16cid:durableId="1652782770">
    <w:abstractNumId w:val="14"/>
  </w:num>
  <w:num w:numId="7" w16cid:durableId="1587806861">
    <w:abstractNumId w:val="5"/>
  </w:num>
  <w:num w:numId="8" w16cid:durableId="803699944">
    <w:abstractNumId w:val="14"/>
  </w:num>
  <w:num w:numId="9" w16cid:durableId="621880201">
    <w:abstractNumId w:val="5"/>
  </w:num>
  <w:num w:numId="10" w16cid:durableId="1156216967">
    <w:abstractNumId w:val="14"/>
  </w:num>
  <w:num w:numId="11" w16cid:durableId="1685089984">
    <w:abstractNumId w:val="5"/>
  </w:num>
  <w:num w:numId="12" w16cid:durableId="1053700392">
    <w:abstractNumId w:val="16"/>
  </w:num>
  <w:num w:numId="13" w16cid:durableId="362941748">
    <w:abstractNumId w:val="14"/>
  </w:num>
  <w:num w:numId="14" w16cid:durableId="47727350">
    <w:abstractNumId w:val="5"/>
  </w:num>
  <w:num w:numId="15" w16cid:durableId="498693611">
    <w:abstractNumId w:val="2"/>
  </w:num>
  <w:num w:numId="16" w16cid:durableId="1534729667">
    <w:abstractNumId w:val="13"/>
  </w:num>
  <w:num w:numId="17" w16cid:durableId="598948950">
    <w:abstractNumId w:val="2"/>
  </w:num>
  <w:num w:numId="18" w16cid:durableId="348987493">
    <w:abstractNumId w:val="14"/>
  </w:num>
  <w:num w:numId="19" w16cid:durableId="66347879">
    <w:abstractNumId w:val="5"/>
  </w:num>
  <w:num w:numId="20" w16cid:durableId="1117678135">
    <w:abstractNumId w:val="2"/>
  </w:num>
  <w:num w:numId="21" w16cid:durableId="235281920">
    <w:abstractNumId w:val="17"/>
  </w:num>
  <w:num w:numId="22" w16cid:durableId="338586943">
    <w:abstractNumId w:val="15"/>
  </w:num>
  <w:num w:numId="23" w16cid:durableId="399911571">
    <w:abstractNumId w:val="12"/>
  </w:num>
  <w:num w:numId="24" w16cid:durableId="978152813">
    <w:abstractNumId w:val="11"/>
  </w:num>
  <w:num w:numId="25" w16cid:durableId="685710298">
    <w:abstractNumId w:val="14"/>
  </w:num>
  <w:num w:numId="26" w16cid:durableId="1039935947">
    <w:abstractNumId w:val="5"/>
  </w:num>
  <w:num w:numId="27" w16cid:durableId="91708645">
    <w:abstractNumId w:val="0"/>
  </w:num>
  <w:num w:numId="28" w16cid:durableId="365958140">
    <w:abstractNumId w:val="2"/>
  </w:num>
  <w:num w:numId="29" w16cid:durableId="147132100">
    <w:abstractNumId w:val="3"/>
  </w:num>
  <w:num w:numId="30" w16cid:durableId="1514488332">
    <w:abstractNumId w:val="4"/>
  </w:num>
  <w:num w:numId="31" w16cid:durableId="725179732">
    <w:abstractNumId w:val="9"/>
  </w:num>
  <w:num w:numId="32" w16cid:durableId="8188099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PI">
    <w15:presenceInfo w15:providerId="None" w15:userId="MDP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AE"/>
    <w:rsid w:val="00005239"/>
    <w:rsid w:val="00005254"/>
    <w:rsid w:val="00006EC4"/>
    <w:rsid w:val="000154C2"/>
    <w:rsid w:val="00020432"/>
    <w:rsid w:val="0002739F"/>
    <w:rsid w:val="0003109D"/>
    <w:rsid w:val="00032C71"/>
    <w:rsid w:val="000345D6"/>
    <w:rsid w:val="000407A2"/>
    <w:rsid w:val="000573A9"/>
    <w:rsid w:val="000655E2"/>
    <w:rsid w:val="000725BF"/>
    <w:rsid w:val="00080FE0"/>
    <w:rsid w:val="00087F26"/>
    <w:rsid w:val="00092EF2"/>
    <w:rsid w:val="000A1516"/>
    <w:rsid w:val="000A5B83"/>
    <w:rsid w:val="000A5F0C"/>
    <w:rsid w:val="000A7182"/>
    <w:rsid w:val="000B4426"/>
    <w:rsid w:val="000C1507"/>
    <w:rsid w:val="000C4C13"/>
    <w:rsid w:val="000C64CD"/>
    <w:rsid w:val="000E24F4"/>
    <w:rsid w:val="00102DF8"/>
    <w:rsid w:val="0011103E"/>
    <w:rsid w:val="00116026"/>
    <w:rsid w:val="0012030C"/>
    <w:rsid w:val="001222D0"/>
    <w:rsid w:val="00124D69"/>
    <w:rsid w:val="001260D5"/>
    <w:rsid w:val="001261A3"/>
    <w:rsid w:val="001273E0"/>
    <w:rsid w:val="00134BB8"/>
    <w:rsid w:val="0013793B"/>
    <w:rsid w:val="00152411"/>
    <w:rsid w:val="001600FE"/>
    <w:rsid w:val="00160266"/>
    <w:rsid w:val="001669D0"/>
    <w:rsid w:val="001676D7"/>
    <w:rsid w:val="00175630"/>
    <w:rsid w:val="001766EA"/>
    <w:rsid w:val="001836DF"/>
    <w:rsid w:val="0018545E"/>
    <w:rsid w:val="001A30E8"/>
    <w:rsid w:val="001A535F"/>
    <w:rsid w:val="001B2C94"/>
    <w:rsid w:val="001C1F99"/>
    <w:rsid w:val="001C69E7"/>
    <w:rsid w:val="001C76F6"/>
    <w:rsid w:val="001D0CDE"/>
    <w:rsid w:val="001D3E0E"/>
    <w:rsid w:val="001D4068"/>
    <w:rsid w:val="001E2AEB"/>
    <w:rsid w:val="001F0198"/>
    <w:rsid w:val="00204BE3"/>
    <w:rsid w:val="00243653"/>
    <w:rsid w:val="00243770"/>
    <w:rsid w:val="00243FFC"/>
    <w:rsid w:val="00247843"/>
    <w:rsid w:val="002519D0"/>
    <w:rsid w:val="00254361"/>
    <w:rsid w:val="002551AE"/>
    <w:rsid w:val="0026134B"/>
    <w:rsid w:val="00265034"/>
    <w:rsid w:val="0026550C"/>
    <w:rsid w:val="002713E0"/>
    <w:rsid w:val="00273BC1"/>
    <w:rsid w:val="00275B44"/>
    <w:rsid w:val="00280DBB"/>
    <w:rsid w:val="002919AD"/>
    <w:rsid w:val="00295161"/>
    <w:rsid w:val="002A3D1A"/>
    <w:rsid w:val="002B3A4B"/>
    <w:rsid w:val="002B4A2A"/>
    <w:rsid w:val="002C2175"/>
    <w:rsid w:val="002C33E2"/>
    <w:rsid w:val="002C4A16"/>
    <w:rsid w:val="002C755E"/>
    <w:rsid w:val="002D26D3"/>
    <w:rsid w:val="002D6A12"/>
    <w:rsid w:val="002E3A10"/>
    <w:rsid w:val="002E7247"/>
    <w:rsid w:val="002F50D8"/>
    <w:rsid w:val="002F57DE"/>
    <w:rsid w:val="003042BE"/>
    <w:rsid w:val="003049E8"/>
    <w:rsid w:val="00312DD0"/>
    <w:rsid w:val="003137C5"/>
    <w:rsid w:val="00313D10"/>
    <w:rsid w:val="0032161A"/>
    <w:rsid w:val="00326141"/>
    <w:rsid w:val="00333563"/>
    <w:rsid w:val="0033410B"/>
    <w:rsid w:val="00334387"/>
    <w:rsid w:val="003346FC"/>
    <w:rsid w:val="00350B3B"/>
    <w:rsid w:val="00357CAF"/>
    <w:rsid w:val="00360274"/>
    <w:rsid w:val="0036134F"/>
    <w:rsid w:val="00370115"/>
    <w:rsid w:val="003767D5"/>
    <w:rsid w:val="003914DF"/>
    <w:rsid w:val="0039354A"/>
    <w:rsid w:val="003A4B7F"/>
    <w:rsid w:val="003B7044"/>
    <w:rsid w:val="003D0598"/>
    <w:rsid w:val="003D0C5A"/>
    <w:rsid w:val="003D45E9"/>
    <w:rsid w:val="003D4F4C"/>
    <w:rsid w:val="003F26A8"/>
    <w:rsid w:val="003F312B"/>
    <w:rsid w:val="00401D30"/>
    <w:rsid w:val="004064B7"/>
    <w:rsid w:val="00415B9C"/>
    <w:rsid w:val="004232BB"/>
    <w:rsid w:val="00426AF3"/>
    <w:rsid w:val="004315EE"/>
    <w:rsid w:val="00431E13"/>
    <w:rsid w:val="004359FE"/>
    <w:rsid w:val="00440BF6"/>
    <w:rsid w:val="004445F2"/>
    <w:rsid w:val="00453C34"/>
    <w:rsid w:val="00465665"/>
    <w:rsid w:val="00466168"/>
    <w:rsid w:val="00476ADE"/>
    <w:rsid w:val="00487324"/>
    <w:rsid w:val="004A4199"/>
    <w:rsid w:val="004A4322"/>
    <w:rsid w:val="004A5012"/>
    <w:rsid w:val="004B41B0"/>
    <w:rsid w:val="004C2A09"/>
    <w:rsid w:val="004C6A4F"/>
    <w:rsid w:val="004D278C"/>
    <w:rsid w:val="004E2043"/>
    <w:rsid w:val="004E4834"/>
    <w:rsid w:val="00501E16"/>
    <w:rsid w:val="00507625"/>
    <w:rsid w:val="0051010D"/>
    <w:rsid w:val="0051425B"/>
    <w:rsid w:val="00517646"/>
    <w:rsid w:val="00526502"/>
    <w:rsid w:val="00526ADB"/>
    <w:rsid w:val="00527202"/>
    <w:rsid w:val="00527533"/>
    <w:rsid w:val="00527CEB"/>
    <w:rsid w:val="0053139C"/>
    <w:rsid w:val="0053255F"/>
    <w:rsid w:val="00544786"/>
    <w:rsid w:val="00545B32"/>
    <w:rsid w:val="0055562C"/>
    <w:rsid w:val="00560B0A"/>
    <w:rsid w:val="005732C5"/>
    <w:rsid w:val="005811F5"/>
    <w:rsid w:val="005A21A7"/>
    <w:rsid w:val="005A3D16"/>
    <w:rsid w:val="005B5B5A"/>
    <w:rsid w:val="005C70B1"/>
    <w:rsid w:val="005D22B4"/>
    <w:rsid w:val="005D41F1"/>
    <w:rsid w:val="005D7A37"/>
    <w:rsid w:val="005E2769"/>
    <w:rsid w:val="005F2CB2"/>
    <w:rsid w:val="0060137B"/>
    <w:rsid w:val="00621D36"/>
    <w:rsid w:val="00624CAE"/>
    <w:rsid w:val="00634BA3"/>
    <w:rsid w:val="00642798"/>
    <w:rsid w:val="00644961"/>
    <w:rsid w:val="00651A46"/>
    <w:rsid w:val="00652F0C"/>
    <w:rsid w:val="00673AE6"/>
    <w:rsid w:val="00676D2D"/>
    <w:rsid w:val="006815DA"/>
    <w:rsid w:val="00681632"/>
    <w:rsid w:val="00681D08"/>
    <w:rsid w:val="00685C15"/>
    <w:rsid w:val="00692264"/>
    <w:rsid w:val="00692393"/>
    <w:rsid w:val="006A1B40"/>
    <w:rsid w:val="006A1DB6"/>
    <w:rsid w:val="006A4809"/>
    <w:rsid w:val="006A69B7"/>
    <w:rsid w:val="006C2EF8"/>
    <w:rsid w:val="006D008C"/>
    <w:rsid w:val="006E4337"/>
    <w:rsid w:val="006E45CF"/>
    <w:rsid w:val="006E5513"/>
    <w:rsid w:val="006F3A1F"/>
    <w:rsid w:val="006F74EC"/>
    <w:rsid w:val="007072D4"/>
    <w:rsid w:val="0071296A"/>
    <w:rsid w:val="00720209"/>
    <w:rsid w:val="00722FFB"/>
    <w:rsid w:val="0072365C"/>
    <w:rsid w:val="00736A91"/>
    <w:rsid w:val="00764704"/>
    <w:rsid w:val="007839E8"/>
    <w:rsid w:val="00784160"/>
    <w:rsid w:val="0078520C"/>
    <w:rsid w:val="00796463"/>
    <w:rsid w:val="007A41F2"/>
    <w:rsid w:val="007B2A2C"/>
    <w:rsid w:val="007B57CF"/>
    <w:rsid w:val="007C039F"/>
    <w:rsid w:val="007C392C"/>
    <w:rsid w:val="007C5C3D"/>
    <w:rsid w:val="007D23EE"/>
    <w:rsid w:val="007D2DC3"/>
    <w:rsid w:val="007D39A8"/>
    <w:rsid w:val="007D5729"/>
    <w:rsid w:val="007E13A0"/>
    <w:rsid w:val="007E20DF"/>
    <w:rsid w:val="007E74F3"/>
    <w:rsid w:val="007F292D"/>
    <w:rsid w:val="007F39D3"/>
    <w:rsid w:val="007F500F"/>
    <w:rsid w:val="00801969"/>
    <w:rsid w:val="00817DF9"/>
    <w:rsid w:val="00826878"/>
    <w:rsid w:val="00827233"/>
    <w:rsid w:val="00835224"/>
    <w:rsid w:val="00837B97"/>
    <w:rsid w:val="00841227"/>
    <w:rsid w:val="00847C63"/>
    <w:rsid w:val="008579E6"/>
    <w:rsid w:val="008604C3"/>
    <w:rsid w:val="00862790"/>
    <w:rsid w:val="008641B9"/>
    <w:rsid w:val="00865AC6"/>
    <w:rsid w:val="008703A8"/>
    <w:rsid w:val="00873D51"/>
    <w:rsid w:val="00877113"/>
    <w:rsid w:val="00882628"/>
    <w:rsid w:val="0089468B"/>
    <w:rsid w:val="008A1C69"/>
    <w:rsid w:val="008A5041"/>
    <w:rsid w:val="008A7E9A"/>
    <w:rsid w:val="008B21FD"/>
    <w:rsid w:val="008B289A"/>
    <w:rsid w:val="008C305C"/>
    <w:rsid w:val="008C39D0"/>
    <w:rsid w:val="008D4C81"/>
    <w:rsid w:val="008D54DA"/>
    <w:rsid w:val="008D5686"/>
    <w:rsid w:val="008E2664"/>
    <w:rsid w:val="008E652D"/>
    <w:rsid w:val="008F00A1"/>
    <w:rsid w:val="008F058F"/>
    <w:rsid w:val="008F3627"/>
    <w:rsid w:val="0090193C"/>
    <w:rsid w:val="0090383E"/>
    <w:rsid w:val="009046A3"/>
    <w:rsid w:val="00906D45"/>
    <w:rsid w:val="00915C7D"/>
    <w:rsid w:val="00924029"/>
    <w:rsid w:val="0092741D"/>
    <w:rsid w:val="0093135B"/>
    <w:rsid w:val="00932FF5"/>
    <w:rsid w:val="0094430B"/>
    <w:rsid w:val="009476CE"/>
    <w:rsid w:val="00954EA5"/>
    <w:rsid w:val="00967C33"/>
    <w:rsid w:val="00972A99"/>
    <w:rsid w:val="0097491F"/>
    <w:rsid w:val="009871EE"/>
    <w:rsid w:val="009A28F8"/>
    <w:rsid w:val="009A3783"/>
    <w:rsid w:val="009B0F42"/>
    <w:rsid w:val="009B1312"/>
    <w:rsid w:val="009B6934"/>
    <w:rsid w:val="009C17B8"/>
    <w:rsid w:val="009D5720"/>
    <w:rsid w:val="009E0DEB"/>
    <w:rsid w:val="009F2B63"/>
    <w:rsid w:val="009F36FA"/>
    <w:rsid w:val="009F420B"/>
    <w:rsid w:val="009F70E6"/>
    <w:rsid w:val="00A31EFC"/>
    <w:rsid w:val="00A338EE"/>
    <w:rsid w:val="00A40A4C"/>
    <w:rsid w:val="00A50198"/>
    <w:rsid w:val="00A50652"/>
    <w:rsid w:val="00A534CD"/>
    <w:rsid w:val="00A5352B"/>
    <w:rsid w:val="00A73289"/>
    <w:rsid w:val="00A82F41"/>
    <w:rsid w:val="00A83C93"/>
    <w:rsid w:val="00A84455"/>
    <w:rsid w:val="00A863D2"/>
    <w:rsid w:val="00AA4043"/>
    <w:rsid w:val="00AC3148"/>
    <w:rsid w:val="00AD12E5"/>
    <w:rsid w:val="00AD547E"/>
    <w:rsid w:val="00AD7352"/>
    <w:rsid w:val="00AE2FA4"/>
    <w:rsid w:val="00AE6E21"/>
    <w:rsid w:val="00AF0B89"/>
    <w:rsid w:val="00AF4EF1"/>
    <w:rsid w:val="00AF6A72"/>
    <w:rsid w:val="00B04262"/>
    <w:rsid w:val="00B05DC9"/>
    <w:rsid w:val="00B078C0"/>
    <w:rsid w:val="00B1595F"/>
    <w:rsid w:val="00B15A05"/>
    <w:rsid w:val="00B2067C"/>
    <w:rsid w:val="00B2597C"/>
    <w:rsid w:val="00B30B32"/>
    <w:rsid w:val="00B367BC"/>
    <w:rsid w:val="00B3719B"/>
    <w:rsid w:val="00B43F42"/>
    <w:rsid w:val="00B61C94"/>
    <w:rsid w:val="00B64D92"/>
    <w:rsid w:val="00B70808"/>
    <w:rsid w:val="00B916AE"/>
    <w:rsid w:val="00B93694"/>
    <w:rsid w:val="00BA4502"/>
    <w:rsid w:val="00BA4916"/>
    <w:rsid w:val="00BA732E"/>
    <w:rsid w:val="00BB291E"/>
    <w:rsid w:val="00BC02DA"/>
    <w:rsid w:val="00BC0CB4"/>
    <w:rsid w:val="00BE01A2"/>
    <w:rsid w:val="00BE4A23"/>
    <w:rsid w:val="00BE5440"/>
    <w:rsid w:val="00BE5A33"/>
    <w:rsid w:val="00BF0B9D"/>
    <w:rsid w:val="00BF1202"/>
    <w:rsid w:val="00C10209"/>
    <w:rsid w:val="00C1211E"/>
    <w:rsid w:val="00C3788C"/>
    <w:rsid w:val="00C42C23"/>
    <w:rsid w:val="00C471D1"/>
    <w:rsid w:val="00C54134"/>
    <w:rsid w:val="00C54ADC"/>
    <w:rsid w:val="00C7267E"/>
    <w:rsid w:val="00C7793F"/>
    <w:rsid w:val="00C80AB5"/>
    <w:rsid w:val="00C92553"/>
    <w:rsid w:val="00C93562"/>
    <w:rsid w:val="00C93F20"/>
    <w:rsid w:val="00CA5FEB"/>
    <w:rsid w:val="00CB3C6D"/>
    <w:rsid w:val="00CC5F55"/>
    <w:rsid w:val="00CC7ED9"/>
    <w:rsid w:val="00CD2B32"/>
    <w:rsid w:val="00CD4A25"/>
    <w:rsid w:val="00CE0600"/>
    <w:rsid w:val="00CE121B"/>
    <w:rsid w:val="00CF276C"/>
    <w:rsid w:val="00D036B1"/>
    <w:rsid w:val="00D20599"/>
    <w:rsid w:val="00D25AB1"/>
    <w:rsid w:val="00D25BCE"/>
    <w:rsid w:val="00D30FE8"/>
    <w:rsid w:val="00D36703"/>
    <w:rsid w:val="00D55C50"/>
    <w:rsid w:val="00D603AF"/>
    <w:rsid w:val="00D60805"/>
    <w:rsid w:val="00D64BEF"/>
    <w:rsid w:val="00D72988"/>
    <w:rsid w:val="00D777D0"/>
    <w:rsid w:val="00D809CF"/>
    <w:rsid w:val="00D82592"/>
    <w:rsid w:val="00D8306D"/>
    <w:rsid w:val="00D84B0A"/>
    <w:rsid w:val="00D931D1"/>
    <w:rsid w:val="00D952B3"/>
    <w:rsid w:val="00D97297"/>
    <w:rsid w:val="00DA05D1"/>
    <w:rsid w:val="00DB0887"/>
    <w:rsid w:val="00DB493F"/>
    <w:rsid w:val="00DC4CCD"/>
    <w:rsid w:val="00DF25E8"/>
    <w:rsid w:val="00DF395F"/>
    <w:rsid w:val="00E014E9"/>
    <w:rsid w:val="00E05F48"/>
    <w:rsid w:val="00E069C0"/>
    <w:rsid w:val="00E072BA"/>
    <w:rsid w:val="00E1136E"/>
    <w:rsid w:val="00E1348D"/>
    <w:rsid w:val="00E220D5"/>
    <w:rsid w:val="00E24B0B"/>
    <w:rsid w:val="00E276ED"/>
    <w:rsid w:val="00E30B9E"/>
    <w:rsid w:val="00E3292F"/>
    <w:rsid w:val="00E34BE6"/>
    <w:rsid w:val="00E4281E"/>
    <w:rsid w:val="00E5223B"/>
    <w:rsid w:val="00E57F2F"/>
    <w:rsid w:val="00E62255"/>
    <w:rsid w:val="00E6287B"/>
    <w:rsid w:val="00E63FA8"/>
    <w:rsid w:val="00EA5F4C"/>
    <w:rsid w:val="00EA6B3E"/>
    <w:rsid w:val="00EA78F2"/>
    <w:rsid w:val="00EA7FD8"/>
    <w:rsid w:val="00EC6D4F"/>
    <w:rsid w:val="00EE3CDB"/>
    <w:rsid w:val="00EE674F"/>
    <w:rsid w:val="00EE682D"/>
    <w:rsid w:val="00EF0198"/>
    <w:rsid w:val="00F00870"/>
    <w:rsid w:val="00F25161"/>
    <w:rsid w:val="00F34FEE"/>
    <w:rsid w:val="00F46911"/>
    <w:rsid w:val="00F75691"/>
    <w:rsid w:val="00F77936"/>
    <w:rsid w:val="00F866AC"/>
    <w:rsid w:val="00F940EF"/>
    <w:rsid w:val="00FA2F11"/>
    <w:rsid w:val="00FA359D"/>
    <w:rsid w:val="00FA39C7"/>
    <w:rsid w:val="00FA3BD6"/>
    <w:rsid w:val="00FB5747"/>
    <w:rsid w:val="00FB7ED1"/>
    <w:rsid w:val="00FC69D1"/>
    <w:rsid w:val="00FD2F49"/>
    <w:rsid w:val="00FD4496"/>
    <w:rsid w:val="00FD7915"/>
    <w:rsid w:val="00FE504C"/>
    <w:rsid w:val="00FE727E"/>
    <w:rsid w:val="00FF12A9"/>
    <w:rsid w:val="00FF21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67ACD7"/>
  <w15:chartTrackingRefBased/>
  <w15:docId w15:val="{87473F87-EBBD-4EF5-A3D4-52BBF5B19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99"/>
    <w:pPr>
      <w:spacing w:line="280" w:lineRule="atLeast"/>
      <w:jc w:val="both"/>
    </w:pPr>
    <w:rPr>
      <w:rFonts w:ascii="Palatino Linotype" w:hAnsi="Palatino Linotype"/>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544786"/>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544786"/>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544786"/>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544786"/>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544786"/>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54478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54478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544786"/>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eNormal"/>
    <w:uiPriority w:val="99"/>
    <w:rsid w:val="0024365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C1F99"/>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C1F99"/>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1C1F99"/>
    <w:rPr>
      <w:rFonts w:ascii="Palatino Linotype" w:hAnsi="Palatino Linotype"/>
      <w:noProof/>
      <w:color w:val="000000"/>
      <w:szCs w:val="18"/>
    </w:rPr>
  </w:style>
  <w:style w:type="paragraph" w:styleId="Header">
    <w:name w:val="header"/>
    <w:basedOn w:val="Normal"/>
    <w:link w:val="HeaderChar"/>
    <w:uiPriority w:val="99"/>
    <w:rsid w:val="001C1F99"/>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1C1F99"/>
    <w:rPr>
      <w:rFonts w:ascii="Palatino Linotype" w:hAnsi="Palatino Linotype"/>
      <w:noProof/>
      <w:color w:val="000000"/>
      <w:szCs w:val="18"/>
    </w:rPr>
  </w:style>
  <w:style w:type="paragraph" w:customStyle="1" w:styleId="MDPI32textnoindent">
    <w:name w:val="MDPI_3.2_text_no_indent"/>
    <w:basedOn w:val="MDPI31text"/>
    <w:qFormat/>
    <w:rsid w:val="00544786"/>
    <w:pPr>
      <w:ind w:firstLine="0"/>
    </w:pPr>
  </w:style>
  <w:style w:type="paragraph" w:customStyle="1" w:styleId="MDPI31text">
    <w:name w:val="MDPI_3.1_text"/>
    <w:qFormat/>
    <w:rsid w:val="0054478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54478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54478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54478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544786"/>
    <w:pPr>
      <w:numPr>
        <w:numId w:val="25"/>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9046A3"/>
    <w:pPr>
      <w:numPr>
        <w:numId w:val="26"/>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54478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54478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544786"/>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544786"/>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544786"/>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544786"/>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544786"/>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23heading3">
    <w:name w:val="MDPI_2.3_heading3"/>
    <w:qFormat/>
    <w:rsid w:val="0054478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54478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54478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544786"/>
    <w:pPr>
      <w:numPr>
        <w:numId w:val="28"/>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rsid w:val="001C1F99"/>
    <w:rPr>
      <w:rFonts w:cs="Tahoma"/>
      <w:szCs w:val="18"/>
    </w:rPr>
  </w:style>
  <w:style w:type="character" w:customStyle="1" w:styleId="BalloonTextChar">
    <w:name w:val="Balloon Text Char"/>
    <w:link w:val="BalloonText"/>
    <w:uiPriority w:val="99"/>
    <w:rsid w:val="001C1F99"/>
    <w:rPr>
      <w:rFonts w:ascii="Palatino Linotype" w:hAnsi="Palatino Linotype" w:cs="Tahoma"/>
      <w:noProof/>
      <w:color w:val="000000"/>
      <w:szCs w:val="18"/>
    </w:rPr>
  </w:style>
  <w:style w:type="character" w:styleId="LineNumber">
    <w:name w:val="line number"/>
    <w:uiPriority w:val="99"/>
    <w:rsid w:val="00CF276C"/>
    <w:rPr>
      <w:rFonts w:ascii="Palatino Linotype" w:hAnsi="Palatino Linotype"/>
      <w:sz w:val="16"/>
    </w:rPr>
  </w:style>
  <w:style w:type="table" w:customStyle="1" w:styleId="MDPI41threelinetable">
    <w:name w:val="MDPI_4.1_three_line_table"/>
    <w:basedOn w:val="TableNormal"/>
    <w:uiPriority w:val="99"/>
    <w:rsid w:val="00544786"/>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1C1F99"/>
    <w:rPr>
      <w:color w:val="0000FF"/>
      <w:u w:val="single"/>
    </w:rPr>
  </w:style>
  <w:style w:type="character" w:styleId="UnresolvedMention">
    <w:name w:val="Unresolved Mention"/>
    <w:uiPriority w:val="99"/>
    <w:semiHidden/>
    <w:unhideWhenUsed/>
    <w:rsid w:val="00527533"/>
    <w:rPr>
      <w:color w:val="605E5C"/>
      <w:shd w:val="clear" w:color="auto" w:fill="E1DFDD"/>
    </w:rPr>
  </w:style>
  <w:style w:type="table" w:styleId="PlainTable4">
    <w:name w:val="Plain Table 4"/>
    <w:basedOn w:val="TableNormal"/>
    <w:uiPriority w:val="44"/>
    <w:rsid w:val="007E13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54478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82theorem">
    <w:name w:val="MDPI_8.2_theorem"/>
    <w:qFormat/>
    <w:rsid w:val="0054478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54478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61citation">
    <w:name w:val="MDPI_6.1_citation"/>
    <w:qFormat/>
    <w:rsid w:val="00544786"/>
    <w:pPr>
      <w:adjustRightInd w:val="0"/>
      <w:snapToGrid w:val="0"/>
      <w:spacing w:after="120" w:line="240" w:lineRule="atLeast"/>
      <w:ind w:right="113"/>
    </w:pPr>
    <w:rPr>
      <w:rFonts w:ascii="Palatino Linotype" w:hAnsi="Palatino Linotype" w:cs="Cordia New"/>
      <w:sz w:val="14"/>
      <w:szCs w:val="22"/>
      <w14:ligatures w14:val="standardContextual"/>
    </w:rPr>
  </w:style>
  <w:style w:type="paragraph" w:customStyle="1" w:styleId="MDPI62backmatter">
    <w:name w:val="MDPI_6.2_back_matter"/>
    <w:qFormat/>
    <w:rsid w:val="00544786"/>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544786"/>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544786"/>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544786"/>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544786"/>
    <w:pPr>
      <w:adjustRightInd w:val="0"/>
      <w:snapToGrid w:val="0"/>
      <w:spacing w:before="240" w:after="120" w:line="280" w:lineRule="atLeast"/>
      <w:jc w:val="center"/>
    </w:pPr>
    <w:rPr>
      <w:rFonts w:ascii="Palatino Linotype" w:eastAsiaTheme="minorEastAsia" w:hAnsi="Palatino Linotype"/>
      <w:noProof/>
      <w:color w:val="000000"/>
      <w:sz w:val="18"/>
      <w:lang w:bidi="en-US"/>
      <w14:ligatures w14:val="standardContextual"/>
    </w:rPr>
  </w:style>
  <w:style w:type="paragraph" w:customStyle="1" w:styleId="MDPI72copyright">
    <w:name w:val="MDPI_7.2_copyright"/>
    <w:qFormat/>
    <w:rsid w:val="00544786"/>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544786"/>
    <w:rPr>
      <w:rFonts w:ascii="Palatino Linotype" w:hAnsi="Palatino Linotype"/>
      <w:color w:val="000000" w:themeColor="text1"/>
      <w:lang w:val="en-CA"/>
      <w14:ligatures w14:val="standardContextual"/>
    </w:rPr>
    <w:tblPr>
      <w:tblCellMar>
        <w:left w:w="0" w:type="dxa"/>
        <w:right w:w="0" w:type="dxa"/>
      </w:tblCellMar>
    </w:tblPr>
  </w:style>
  <w:style w:type="character" w:customStyle="1" w:styleId="apple-converted-space">
    <w:name w:val="apple-converted-space"/>
    <w:rsid w:val="001C1F99"/>
  </w:style>
  <w:style w:type="paragraph" w:styleId="Bibliography">
    <w:name w:val="Bibliography"/>
    <w:basedOn w:val="Normal"/>
    <w:next w:val="Normal"/>
    <w:uiPriority w:val="37"/>
    <w:unhideWhenUsed/>
    <w:rsid w:val="001C1F99"/>
  </w:style>
  <w:style w:type="paragraph" w:styleId="BodyText">
    <w:name w:val="Body Text"/>
    <w:link w:val="BodyTextChar"/>
    <w:rsid w:val="001C1F99"/>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1C1F99"/>
    <w:rPr>
      <w:rFonts w:ascii="Palatino Linotype" w:hAnsi="Palatino Linotype"/>
      <w:color w:val="000000"/>
      <w:sz w:val="24"/>
      <w:lang w:eastAsia="de-DE"/>
    </w:rPr>
  </w:style>
  <w:style w:type="character" w:styleId="CommentReference">
    <w:name w:val="annotation reference"/>
    <w:rsid w:val="001C1F99"/>
    <w:rPr>
      <w:sz w:val="21"/>
      <w:szCs w:val="21"/>
    </w:rPr>
  </w:style>
  <w:style w:type="paragraph" w:styleId="CommentText">
    <w:name w:val="annotation text"/>
    <w:basedOn w:val="Normal"/>
    <w:link w:val="CommentTextChar"/>
    <w:rsid w:val="001C1F99"/>
  </w:style>
  <w:style w:type="character" w:customStyle="1" w:styleId="CommentTextChar">
    <w:name w:val="Comment Text Char"/>
    <w:link w:val="CommentText"/>
    <w:rsid w:val="001C1F99"/>
    <w:rPr>
      <w:rFonts w:ascii="Palatino Linotype" w:hAnsi="Palatino Linotype"/>
      <w:noProof/>
      <w:color w:val="000000"/>
    </w:rPr>
  </w:style>
  <w:style w:type="paragraph" w:styleId="CommentSubject">
    <w:name w:val="annotation subject"/>
    <w:basedOn w:val="CommentText"/>
    <w:next w:val="CommentText"/>
    <w:link w:val="CommentSubjectChar"/>
    <w:rsid w:val="001C1F99"/>
    <w:rPr>
      <w:b/>
      <w:bCs/>
    </w:rPr>
  </w:style>
  <w:style w:type="character" w:customStyle="1" w:styleId="CommentSubjectChar">
    <w:name w:val="Comment Subject Char"/>
    <w:link w:val="CommentSubject"/>
    <w:rsid w:val="001C1F99"/>
    <w:rPr>
      <w:rFonts w:ascii="Palatino Linotype" w:hAnsi="Palatino Linotype"/>
      <w:b/>
      <w:bCs/>
      <w:noProof/>
      <w:color w:val="000000"/>
    </w:rPr>
  </w:style>
  <w:style w:type="character" w:styleId="EndnoteReference">
    <w:name w:val="endnote reference"/>
    <w:rsid w:val="001C1F99"/>
    <w:rPr>
      <w:vertAlign w:val="superscript"/>
    </w:rPr>
  </w:style>
  <w:style w:type="paragraph" w:styleId="EndnoteText">
    <w:name w:val="endnote text"/>
    <w:basedOn w:val="Normal"/>
    <w:link w:val="EndnoteTextChar"/>
    <w:semiHidden/>
    <w:unhideWhenUsed/>
    <w:rsid w:val="001C1F99"/>
    <w:pPr>
      <w:spacing w:line="240" w:lineRule="auto"/>
    </w:pPr>
  </w:style>
  <w:style w:type="character" w:customStyle="1" w:styleId="EndnoteTextChar">
    <w:name w:val="Endnote Text Char"/>
    <w:link w:val="EndnoteText"/>
    <w:semiHidden/>
    <w:rsid w:val="001C1F99"/>
    <w:rPr>
      <w:rFonts w:ascii="Palatino Linotype" w:hAnsi="Palatino Linotype"/>
      <w:noProof/>
      <w:color w:val="000000"/>
    </w:rPr>
  </w:style>
  <w:style w:type="character" w:styleId="FollowedHyperlink">
    <w:name w:val="FollowedHyperlink"/>
    <w:rsid w:val="001C1F99"/>
    <w:rPr>
      <w:color w:val="954F72"/>
      <w:u w:val="single"/>
    </w:rPr>
  </w:style>
  <w:style w:type="paragraph" w:styleId="FootnoteText">
    <w:name w:val="footnote text"/>
    <w:basedOn w:val="Normal"/>
    <w:link w:val="FootnoteTextChar"/>
    <w:semiHidden/>
    <w:unhideWhenUsed/>
    <w:rsid w:val="001C1F99"/>
    <w:pPr>
      <w:spacing w:line="240" w:lineRule="auto"/>
    </w:pPr>
  </w:style>
  <w:style w:type="character" w:customStyle="1" w:styleId="FootnoteTextChar">
    <w:name w:val="Footnote Text Char"/>
    <w:link w:val="FootnoteText"/>
    <w:semiHidden/>
    <w:rsid w:val="001C1F99"/>
    <w:rPr>
      <w:rFonts w:ascii="Palatino Linotype" w:hAnsi="Palatino Linotype"/>
      <w:noProof/>
      <w:color w:val="000000"/>
    </w:rPr>
  </w:style>
  <w:style w:type="paragraph" w:styleId="NormalWeb">
    <w:name w:val="Normal (Web)"/>
    <w:basedOn w:val="Normal"/>
    <w:uiPriority w:val="99"/>
    <w:rsid w:val="001C1F99"/>
    <w:rPr>
      <w:szCs w:val="24"/>
    </w:rPr>
  </w:style>
  <w:style w:type="paragraph" w:customStyle="1" w:styleId="MsoFootnoteText0">
    <w:name w:val="MsoFootnoteText"/>
    <w:basedOn w:val="NormalWeb"/>
    <w:qFormat/>
    <w:rsid w:val="001C1F99"/>
    <w:rPr>
      <w:rFonts w:ascii="Times New Roman" w:hAnsi="Times New Roman"/>
    </w:rPr>
  </w:style>
  <w:style w:type="character" w:styleId="PageNumber">
    <w:name w:val="page number"/>
    <w:rsid w:val="001C1F99"/>
  </w:style>
  <w:style w:type="character" w:styleId="PlaceholderText">
    <w:name w:val="Placeholder Text"/>
    <w:uiPriority w:val="99"/>
    <w:semiHidden/>
    <w:rsid w:val="001C1F99"/>
    <w:rPr>
      <w:color w:val="808080"/>
    </w:rPr>
  </w:style>
  <w:style w:type="paragraph" w:customStyle="1" w:styleId="MDPI71footnotes">
    <w:name w:val="MDPI_7.1_footnotes"/>
    <w:qFormat/>
    <w:rsid w:val="00544786"/>
    <w:pPr>
      <w:numPr>
        <w:numId w:val="27"/>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type="character" w:styleId="Strong">
    <w:name w:val="Strong"/>
    <w:basedOn w:val="DefaultParagraphFont"/>
    <w:uiPriority w:val="22"/>
    <w:qFormat/>
    <w:rsid w:val="002C2175"/>
    <w:rPr>
      <w:b/>
      <w:bCs/>
    </w:rPr>
  </w:style>
  <w:style w:type="paragraph" w:styleId="ListParagraph">
    <w:name w:val="List Paragraph"/>
    <w:basedOn w:val="Normal"/>
    <w:uiPriority w:val="34"/>
    <w:qFormat/>
    <w:rsid w:val="002551AE"/>
    <w:pPr>
      <w:spacing w:after="160" w:line="259" w:lineRule="auto"/>
      <w:ind w:left="720"/>
      <w:contextualSpacing/>
    </w:pPr>
    <w:rPr>
      <w:rFonts w:asciiTheme="minorHAnsi" w:eastAsiaTheme="minorHAnsi" w:hAnsiTheme="minorHAnsi" w:cstheme="minorBidi"/>
      <w:color w:val="auto"/>
      <w:kern w:val="2"/>
      <w:sz w:val="22"/>
      <w:szCs w:val="22"/>
      <w:lang w:val="en-GB" w:eastAsia="en-US"/>
      <w14:ligatures w14:val="standardContextual"/>
    </w:rPr>
  </w:style>
  <w:style w:type="table" w:customStyle="1" w:styleId="TableGrid2">
    <w:name w:val="Table Grid2"/>
    <w:basedOn w:val="TableNormal"/>
    <w:uiPriority w:val="39"/>
    <w:rsid w:val="002551AE"/>
    <w:pPr>
      <w:suppressAutoHyphens/>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30B9E"/>
    <w:rPr>
      <w:rFonts w:ascii="Palatino Linotype" w:hAnsi="Palatino Linotype"/>
      <w:color w:val="000000"/>
    </w:rPr>
  </w:style>
  <w:style w:type="character" w:customStyle="1" w:styleId="product-ryt-detail">
    <w:name w:val="product-ryt-detail"/>
    <w:basedOn w:val="DefaultParagraphFont"/>
    <w:rsid w:val="00D64B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licenses/by/4.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2.xml"/><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food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foods-template.dot</Template>
  <TotalTime>202</TotalTime>
  <Pages>13</Pages>
  <Words>6142</Words>
  <Characters>35012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167</cp:revision>
  <cp:lastPrinted>2026-09-02T03:16:00Z</cp:lastPrinted>
  <dcterms:created xsi:type="dcterms:W3CDTF">2026-09-01T09:09:00Z</dcterms:created>
  <dcterms:modified xsi:type="dcterms:W3CDTF">2026-09-02T03:44:00Z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_WORD_COUNT">
    <vt:lpwstr>5357</vt:lpwstr>
  </property>
  <property fmtid="{D5CDD505-2E9C-101B-9397-08002B2CF9AE}" pid="3" name="prop_LANGUAGE_ID">
    <vt:lpwstr>2</vt:lpwstr>
  </property>
</Properties>
</file>