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rPr/>
        <w:t>Communication</w:t>
      </w:r>
    </w:p>
    <w:p w14:paraId="0A63AE54" w14:textId="77777777" w:rsidR="009C6330" w:rsidRPr="00200587" w:rsidRDefault="00096756">
      <w:pPr>
        <w:pStyle w:val="MDPI13authornames"/>
        <w:rPr>
          <w:sz w:val="36"/>
          <w:szCs w:val="36"/>
        </w:rPr>
      </w:pPr>
      <w:r>
        <w:rPr/>
        <w:t>In-Bag Pressure and Temperature Monitoring of Palletised 3-L Bag-in-Box Wine under Static Chamber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rPr>
          <w:highlight w:val="yellow"/>
        </w:rPr>
        <w:t>Bag-in-Box (BiB) wine packaging is increasingly used for export, but conditions inside palletised units are rarely measured directly. We instrumented 3-L BiB units with in-bag MEMS pressure and temperature sensors during a 20-day static chamber trial using 19 °C and 50 °C set-point chambers, labelled C19 and C50. The set-point labels do not represent measured wine temperatures. A 15-day single-stack verification trial was also run at the C50 set point. In the main trial, measured in-bag temperature differed strongly from chamber set point. C50 packages stabilised at 34.2 ± 0.4 °C in top units and 26.1 ± 0.2 °C in bottom units, while C19 units remained around 22.8–23.5 °C. In the verification trial, individual sensors reached 45.0–48.8 °C, but no in-bag sensor reached 50 °C. Internal pressure rose after handling and peaked between 85 and 139 h. Bottom-position units showed a larger uncorrected peak ΔP than top-position units (adjusted difference 20.4 mbar; F(1,8) = 9.14; p = 0.017). Because the traces shared a common-mode pressure component, this position result is interpreted as exploratory. Bulk wine from C50 showed lower free and total SO₂ and higher volatile acidity than wine from C19. Lactic acid is reported descriptively, and residual microbial activity cannot be excluded. Overall, chamber set points were a poor proxy for actual in-package conditions. Selected sentinel packages can document real thermal and pressure exposure in palletised BiB wine.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rP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rPr/>
        <w:t>1. Introduction</w:t>
      </w:r>
    </w:p>
    <w:p w14:paraId="62A58BA0" w14:textId="77777777" w:rsidR="009C6330" w:rsidRPr="00BB0B41" w:rsidRDefault="00096756">
      <w:pPr>
        <w:pStyle w:val="MDPI31text"/>
        <w:spacing w:line="240" w:lineRule="auto"/>
        <w:ind w:left="2550"/>
      </w:pPr>
      <w:r w:rsidRPr="00BB0B41">
        <w:rPr/>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p>
    <w:p w14:paraId="03EA773C" w14:textId="77777777" w:rsidR="009C6330" w:rsidRPr="00BB0B41" w:rsidRDefault="00096756">
      <w:pPr>
        <w:pStyle w:val="MDPI31text"/>
        <w:spacing w:line="240" w:lineRule="auto"/>
        <w:ind w:left="2550"/>
      </w:pPr>
      <w:r w:rsidRPr="00BB0B41">
        <w:rPr/>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p>
    <w:p w14:paraId="54ECE0CF" w14:textId="77777777" w:rsidR="009C6330" w:rsidRPr="00BB0B41" w:rsidRDefault="00096756">
      <w:pPr>
        <w:spacing w:line="240" w:lineRule="auto"/>
        <w:ind w:left="2550"/>
      </w:pPr>
      <w:r>
        <w:t>During international transport, wine packages may experience temperature fluctuations, vibration, vertical compression and pressure changes for several weeks [15,16]. In BiB packaging, the flexible wall can deform and the headspace can compress or exchange gas through the film. The cardboard case also carries part of the pallet load.</w:t>
      </w:r>
    </w:p>
    <w:p w14:paraId="1E793EE4" w14:textId="77777777" w:rsidR="009C6330" w:rsidRPr="00BB0B41" w:rsidRDefault="00096756">
      <w:pPr>
        <w:pStyle w:val="MDPI31text"/>
        <w:spacing w:line="240" w:lineRule="auto"/>
        <w:ind w:left="2550"/>
      </w:pPr>
      <w:r>
        <w:t>Previous studies have examined storage temperature and packaging effects on wine composition, including sulphur dioxide loss, volatile acidity and sensory ageing [17–19]. Most of that evidence concerns bottled wines, static storage or chemical composition alone. Less is known about pressure inside palletised BiB units during static chamber storage, or about how measured in-package thermal exposure compares with chamber set points.</w:t>
      </w:r>
    </w:p>
    <w:p w14:paraId="2C6E7491" w14:textId="77777777" w:rsidR="009C6330" w:rsidRPr="00BB0B41" w:rsidRDefault="00096756">
      <w:pPr>
        <w:pStyle w:val="MDPI31text"/>
      </w:pPr>
      <w:r>
        <w:rPr>
          <w:highlight w:val="yellow"/>
        </w:rPr>
        <w:t>This study tested whether stack position and a severe chamber set point affected internal pressure and selected chemical parameters of commercial 3-L BiB white wine during static chamber storage. The two main-trial chambers are labelled C19 and C50 according to their 19 °C and 50 °C set points. These labels refer to chamber settings, not measured wine temperatures. The original intention was to compare a reference condition with a high-temperature condition. Because the main trial did not achieve 50 °C in-bag exposure, the realised comparison is between set-point groups and measured package temperatures, with support from a single-stack verification trial at the C50 set point.</w:t>
      </w:r>
    </w:p>
    <w:p w14:paraId="247A99F2" w14:textId="77777777" w:rsidR="009C6330" w:rsidRPr="00BB0B41" w:rsidRDefault="00096756">
      <w:pPr>
        <w:pStyle w:val="MDPI21heading1"/>
      </w:pPr>
      <w:r w:rsidRPr="00BB0B41">
        <w:rPr>
          <w:lang w:eastAsia="zh-CN"/>
        </w:rPr>
        <w:t xml:space="preserve">2. </w:t>
      </w:r>
      <w:r w:rsidRPr="00BB0B41">
        <w:rPr/>
        <w:t>Materials and Methods</w:t>
      </w:r>
    </w:p>
    <w:p w14:paraId="0E70A665" w14:textId="77777777" w:rsidR="009C6330" w:rsidRPr="00BB0B41" w:rsidRDefault="00096756">
      <w:pPr>
        <w:pStyle w:val="MDPI31text"/>
        <w:spacing w:line="240" w:lineRule="auto"/>
        <w:ind w:left="2550" w:firstLine="210"/>
      </w:pPr>
      <w:r>
        <w:rPr>
          <w:highlight w:val="yellow"/>
        </w:rPr>
        <w:t>The work investigated selected storage stresses that wine packages may encounter during export logistics under static chamber conditions. It did not reproduce vibration, humidity, diurnal thermal cycling or a full container thermal profile. The main trial lasted 20 days. Palletised units were stored in parallel in two temperature-controlled chambers labelled by set point:</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Pr>
          <w:highlight w:val="yellow"/>
        </w:rPr>
        <w:t>C19: 19 °C chamber set point,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Pr>
          <w:highlight w:val="yellow"/>
        </w:rPr>
        <w:t>C50: 50 °C chamber set point, selected as a deliberately severe set point relevant to worst-case non-refrigerated storage scenarios rather than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Pr>
          <w:highlight w:val="yellow"/>
        </w:rPr>
        <w:t>The labels C19 and C50 refer only to chamber set points; measured in-bag temperatures are reported separately. A 15-day verification trial was also carried out at the C50 set point with a single three-box stack (Section 2.3). The two trials are summarised in Table 1.</w:t>
      </w:r>
    </w:p>
    <w:p w14:paraId="4D371574" w14:textId="77777777" w:rsidR="009C6330" w:rsidRPr="00BB0B41" w:rsidRDefault="00096756">
      <w:pPr>
        <w:pStyle w:val="MDPI31text"/>
        <w:spacing w:line="240" w:lineRule="auto"/>
        <w:ind w:left="2550"/>
      </w:pPr>
      <w:r w:rsidRPr="00BB0B41">
        <w:rPr/>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rPr>
          <w:highlight w:val="yellow"/>
        </w:rPr>
        <w:t>For each set-point group,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C19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t>The records did not include chamber model, volume, fan power, airflow rate or formal pallet occupancy. These missing details limit interpretation of the thermal mismatch and vertical temperature gradient in the main trial.</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t>Figure 1. Principal components of the Bag-in-Box (BiB) packaging system: dispensing tap, flexible multilayer wine bag with valve, and external corrugated cardboard container used for mechanical protection and pallet stability.</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t>Figure 2. Experimental configuration used for pressure monitoring in palletised 3-L Bag-in-Box (BiB) units. The main trial included one 4-box stack (128 cm) and two 3-box stacks (97 cm) in each set-point chamber, C19 and C50. MEMS pressure sensors were positioned in the uppermost and lowermost BiBs of each stack to compare package position under the tested stacking configuration. Stack height was not analysed as an independent factor because only one 4-box stack was present per chamber.</w:t>
      </w:r>
    </w:p>
    <w:p w14:paraId="03678FD9" w14:textId="77777777" w:rsidR="009C6330" w:rsidRPr="00BB0B41" w:rsidRDefault="00096756" w:rsidP="00200587">
      <w:pPr>
        <w:pStyle w:val="MDPI41tablecaption"/>
        <w:ind w:left="0"/>
        <w:jc w:val="center"/>
      </w:pPr>
      <w:r w:rsidRPr="00BB0B41">
        <w:rPr>
          <w:b/>
        </w:rPr>
        <w:t xml:space="preserve">Table 1. </w:t>
      </w:r>
      <w:r w:rsidRPr="00BB0B41">
        <w:rPr/>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rPr>
                <w:highlight w:val="yellow"/>
              </w:rPr>
              <w:t>Set-point label</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r>
              <w:rPr>
                <w:highlight w:val="yellow"/>
              </w:rPr>
              <w:t>C19 (19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r>
              <w:rPr>
                <w:highlight w:val="yellow"/>
              </w:rPr>
              <w:t>C19 (19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r>
              <w:rPr>
                <w:highlight w:val="yellow"/>
              </w:rPr>
              <w:t>C19 (19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r>
              <w:rPr>
                <w:highlight w:val="yellow"/>
              </w:rPr>
              <w:t>C50 (50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r>
              <w:rPr>
                <w:highlight w:val="yellow"/>
              </w:rPr>
              <w:t>C50 (50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r>
              <w:rPr>
                <w:highlight w:val="yellow"/>
              </w:rPr>
              <w:t>C50 (50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rPr>
              <w:t>Verification</w:t>
            </w:r>
          </w:p>
        </w:tc>
        <w:tc>
          <w:tcPr>
            <w:tcW w:w="1743" w:type="dxa"/>
            <w:tcBorders>
              <w:bottom w:val="single" w:sz="4" w:space="0" w:color="auto"/>
            </w:tcBorders>
          </w:tcPr>
          <w:p>
            <w:r>
              <w:rPr>
                <w:highlight w:val="yellow"/>
              </w:rPr>
              <w:t>C50 (50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rPr>
              <w:t>2 top + 2 bottom BiB</w:t>
            </w:r>
          </w:p>
        </w:tc>
      </w:tr>
    </w:tbl>
    <w:p w14:paraId="7768C0EE" w14:textId="77777777" w:rsidR="009C6330" w:rsidRPr="00BB0B41" w:rsidRDefault="00096756">
      <w:pPr>
        <w:pStyle w:val="MDPI31text"/>
      </w:pPr>
      <w:r>
        <w:t>Main trial: twelve MEMS pressure sensors in total - one in the top and one in the bottom BiB of each of three stacks in each set-point chamber. C19 and C50 were applied in parallel in separate climate-controlled chambers. * The bottom sensor of one C19 stack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wine from C19 and C50.</w:t>
      </w:r>
    </w:p>
    <w:p w14:paraId="3EA26072" w14:textId="77777777" w:rsidR="009C6330" w:rsidRPr="00BB0B41" w:rsidRDefault="00096756">
      <w:pPr>
        <w:pStyle w:val="MDPI31text"/>
        <w:spacing w:line="240" w:lineRule="auto"/>
        <w:ind w:left="2550"/>
      </w:pPr>
      <w:r>
        <w:rPr>
          <w:highlight w:val="yellow"/>
        </w:rPr>
        <w:t>The measured chemical variables were free SO₂, total SO₂, titratable acidity (g/L tartaric acid), volatile acidity (g/L acetic acid), ethanol, malic acid, lactic acid, total phenols and pH. They were determined according to protocols described previously [20]. The reported values are triplicate determinations for the main-trial wine grouped by set-point label. Chemical sampling was not resolved by stack position. No microbiological measurements or viable cell counts were performed, although such data would be needed to evaluate residual fermentation activity [21]. Raw replicate-level chemical records were not retained in the available study records.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[22]. Each unit was built around an MS5803-05BA miniature altimeter module (TE Connectivity), a 24-bit MEMS pressure and temperature sensor with SPI and I2C interfaces. According to its data sheet [23], the device covers 0–5 bar and −40 to +85 °C. It resolves pressure to 0.036–0.195 mbar, depending on the oversampling ratio, and temperature to better than 0.01 °C. The specified pressure accuracy is ±1.5 mbar between 300 and 1100 mbar at 20 °C, widening to ±100 mbar over the full 0–5 bar and 0–50 °C envelope. Long-term pressure stability is specified as ±1 mbar per year, and temperature accuracy as ±2.5 °C. The sensor was driven by an ESP8285 microcontroller on an ESP-M2 board (Adafruit) [24] and powered by a lithium battery. The assembly was enclosed in an oil-filled plastic casing. The oil transmitted wine pressure to the transducer and dispersed the small amount of heat released by the electronics, whose draw is below 1 mA. The casing was introduced into each bag through the existing filling/dispensing valve before final sealing. The multilayer film was therefore not punctured. Sealing then followed the standard filling-line procedure, which was intended to minimise leakage and artificial perturbation of internal pressure.</w:t>
      </w:r>
    </w:p>
    <w:p w14:paraId="315C9426" w14:textId="77777777" w:rsidR="009C6330" w:rsidRPr="00BB0B41" w:rsidRDefault="00096756">
      <w:pPr>
        <w:pStyle w:val="MDPI31text"/>
        <w:spacing w:line="240" w:lineRule="auto"/>
        <w:ind w:left="2550"/>
      </w:pPr>
      <w:r>
        <w:rPr>
          <w:highlight w:val="yellow"/>
        </w:rPr>
        <w:t>Twelve sensing units were deployed in the main trial, two per stack (uppermost and lowermost BiB) across the three stacks of each chamber. Pressure and temperature were recorded every 30 minutes throughout storage. Each pressure trace was referred to its own initial pressure and analysed as pressure change (ΔP), so the comparison depends on changes within each sensor rather than on agreement between different sensors. Because there was one chamber per set point, chamber condition and chamber identity cannot be separated. The chamber factor is therefore interpreted as a set-point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t>2.3 Verification trial at the C50 set point</w:t>
      </w:r>
    </w:p>
    <w:p w14:paraId="240E8BC2" w14:textId="77777777" w:rsidR="009C6330" w:rsidRPr="00BB0B41" w:rsidRDefault="00096756">
      <w:pPr>
        <w:pStyle w:val="MDPI31text"/>
        <w:spacing w:line="240" w:lineRule="auto"/>
        <w:ind w:left="2550" w:firstLine="510"/>
        <w:rPr>
          <w:i/>
          <w:iCs/>
        </w:rPr>
      </w:pPr>
      <w:r>
        <w:rPr>
          <w:highlight w:val="yellow"/>
        </w:rPr>
        <w:t>The verification trial was carried out to document package behaviour closer to the intended high-temperature exposure. A single stack of three boxes of the same 3-L BiB format was instrumented with four MEMS sensors of the same type and held for 15 days at the C50 set point. V26 and V62 were installed in the uppermost BiB; V27 and V64 were installed in the lowermost BiB. Pressure and temperature were logged every minute, compared with the 30-minute interval used in the main trial. V26 stopped after about 4 days 8 h, and the remaining three sensors completed the record. The trial provides supporting observations for this configuration only.</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rPr>
          <w:highlight w:val="yellow"/>
        </w:rPr>
        <w:t>One-way analysis of variance was performed using CoStat, Version 6.451, CoHort 6.0 Software (Pacific Grove, CA, USA) to assess differences in the compositional parameters among the investigated samples. Means were separated by Tukey's post hoc test at p ≤ 0.05. The lactic-acid value for C50 is reported from the traceable Table 2 summary (0.29 ± 0.02 g/L). Because raw replicate-level chemical records were not retained, lactic acid is not interpreted as an independently verified significant difference.</w:t>
      </w:r>
    </w:p>
    <w:p w14:paraId="6286121F" w14:textId="77777777" w:rsidR="009C6330" w:rsidRPr="00BB0B41" w:rsidRDefault="00096756">
      <w:pPr>
        <w:pStyle w:val="MDPI31text"/>
        <w:spacing w:line="240" w:lineRule="auto"/>
        <w:ind w:left="2550"/>
      </w:pPr>
      <w:r>
        <w:rPr>
          <w:highlight w:val="yellow"/>
        </w:rPr>
        <w:t>The pressure data were analysed separately because each instrumented BiB was described by stack position (top or bottom) and set-point group (C19 or C50). For each sensor, two summary responses were extracted from the ΔP curve: the post-handling peak within the 20-day storage period and the residual value on day 20. Pressure change was referenced to each sensor's initial valid pressure reading at time zero. The primary exploratory analysis used the following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t>in which y is the summary value from one instrumented BiB, μ is the overall mean, α is the position term, β is the set-point term and ε is the residual. The position-by-set-point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t>F = MSfactor / MSerror = (SSfactor / dffactor) / (SSerror / dferror)</w:t>
        <w:tab/>
        <w:t>(2).</w:t>
      </w:r>
    </w:p>
    <w:p w14:paraId="6ED64489" w14:textId="77777777" w:rsidR="009C6330" w:rsidRPr="00BB0B41" w:rsidRDefault="00096756">
      <w:pPr>
        <w:pStyle w:val="MDPI32textnoindent"/>
        <w:spacing w:line="240" w:lineRule="auto"/>
        <w:ind w:left="2550"/>
        <w:jc w:val="center"/>
      </w:pPr>
      <w:r>
        <w:rPr>
          <w:highlight w:val="yellow"/>
        </w:rPr>
        <w:t>With two levels per factor and eleven usable traces, the additive model leaves one degree of freedom for each factor and eight residual degrees of freedom, giving the notation F(1,8). The design is unbalanced because one bottom-position sensor in C19 returned no complete record; the four cells therefore contain three, three, three and two traces. Sums of squares were computed by the Type II method, in which each main effect is adjusted for the other [25]. Sensor-level p-values are reported within this exploratory analysis. Lack of significance is interpreted only as lack of a statistically detectable difference under this small design. Because stack identifiers and sensor-to-stack pairings were not retained, the p-values should not be read as definitive stack-level tests. The computation was carried out in Python 3 using the commented script, raw-workbook extraction path and derived per-sensor summaries prepared for the pressure ANOVA [26].</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rPr/>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rPr>
          <w:highlight w:val="yellow"/>
        </w:rPr>
        <w:t>The chemical comparison used bulk wine from the main trial grouped as C19 or C50 (Table 2). These labels denote chamber set points, not wine temperatures. The chemical results therefore describe differences between set-point groups, not the effect of exposing wine to 50 °C.</w:t>
      </w:r>
    </w:p>
    <w:p w14:paraId="73C4AAC5" w14:textId="2A289830" w:rsidR="009C6330" w:rsidRPr="00BB0B41" w:rsidRDefault="00096756">
      <w:pPr>
        <w:pStyle w:val="MDPI31text"/>
        <w:spacing w:line="240" w:lineRule="auto"/>
        <w:ind w:left="2550"/>
      </w:pPr>
      <w:r>
        <w:rPr>
          <w:highlight w:val="yellow"/>
        </w:rPr>
        <w:t>Lactic acid was higher in C50 wine (0.29 ± 0.02 g/L) than in C19 wine (0.16 ± 0.05 g/L) (Table 2). It is reported descriptively and not as a significant difference. The available measurements do not identify the mechanism. Malic acid did not decrease significantly (1.0 ± 0.16 g/L against 1.1 ± 0.23 g/L), so the data do not show a clear malolactic conversion pattern. Residual microbial activity cannot be ruled out because microbiological measurements and viable cell counts were not available [21].</w:t>
      </w:r>
    </w:p>
    <w:p w14:paraId="5AD82E97" w14:textId="3CCFEEEE" w:rsidR="009C6330" w:rsidRPr="00BB0B41" w:rsidRDefault="00096756">
      <w:pPr>
        <w:pStyle w:val="MDPI31text"/>
        <w:spacing w:line="240" w:lineRule="auto"/>
        <w:ind w:left="2550"/>
      </w:pPr>
      <w:r>
        <w:t>Volatile acidity, expressed as acetic acid, was higher in C50 wine (0.39 ± 0.03 g/L) than in C19 wine (0.30 ± 0.02 g/L) (Table 2). This value is below commonly used spoilage limits for table wine, but the study did not include sensory testing. The difference is consistent with warmer storage effects, including oxidative and hydrolytic pathways described for wine storage [18,19].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rPr>
          <w:highlight w:val="yellow"/>
        </w:rPr>
        <w:t>The largest practical between-condition difference concerned total and free SO₂, both lower in C50 wine. Total SO₂ was 25 ± 8.2 mg/L in C50 compared with 50 ± 5.5 mg/L in C19, and free SO₂ was 16 ± 1.8 mg/L compared with 31 ± 2.5 mg/L (Table 2). Elevated storage temperature is known to accelerate SO₂ decline and related ageing reactions [18,19]. Here, lower SO₂ was observed after storage at measured in-bag temperatures of 25–34 °C rather than 50 °C.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C19 against 1.10 ± 0.07 g/L in C50)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rPr/>
        <w:t>3.2 Physical parameters</w:t>
      </w:r>
    </w:p>
    <w:p w14:paraId="199CF910" w14:textId="77777777" w:rsidR="009C6330" w:rsidRPr="00BB0B41" w:rsidRDefault="00096756">
      <w:pPr>
        <w:pStyle w:val="MDPI31text"/>
        <w:spacing w:line="240" w:lineRule="auto"/>
      </w:pPr>
      <w:r>
        <w:rPr>
          <w:highlight w:val="yellow"/>
        </w:rPr>
        <w:t>Three stacks of 3-L BiB units were monitored for 20 days in each set-point chamber (Figure 3; Table 1). Baseline-referred pressure showed a short early transient, followed by a broad rise-and-fall pattern. The traces also shared substantial common-mode behaviour, so the absolute pressure trajectory cannot be attributed only to package pressurisation and relaxation. Individual post-handling pressure maxima occurred 85–139 h after the start of monitoring.</w:t>
      </w:r>
    </w:p>
    <w:p w14:paraId="360B9362" w14:textId="77777777" w:rsidR="009C6330" w:rsidRPr="00BB0B41" w:rsidRDefault="00096756">
      <w:pPr>
        <w:pStyle w:val="MDPI31text"/>
        <w:spacing w:line="240" w:lineRule="auto"/>
      </w:pPr>
      <w:r>
        <w:rPr>
          <w:highlight w:val="yellow"/>
        </w:rPr>
        <w:t>The first 16 h are shown separately in Figure 4, with the first 5 h marked as the handling/stacking interval. That interval was not a controlled storage exposure, and the 30-min sampling interval was too coarse to resolve rapid transients. In a sensitivity analysis, including the first 5 h did not change the primary peak-pressure endpoint: the full-record maximum ΔP matched the post-handling maximum for all 11 usable sensors. The interval is therefore reported descriptively but excluded from the primary storage analysis.</w:t>
      </w:r>
    </w:p>
    <w:p w14:paraId="7521F5C2" w14:textId="7309ED8A" w:rsidR="009C6330" w:rsidRPr="00BB0B41" w:rsidRDefault="00096756">
      <w:pPr>
        <w:pStyle w:val="MDPI31text"/>
        <w:spacing w:line="240" w:lineRule="auto"/>
      </w:pPr>
      <w:r>
        <w:rPr>
          <w:highlight w:val="yellow"/>
        </w:rPr>
        <w:t>After the handling window, uncorrected peak ΔP ranged from about 56 to 94 mbar. In C50, mean peak ΔP was 83.0 ± 17.2 mbar in bottom units and 66.6 ± 10.1 mbar in top units. In C19, the corresponding values were 84.8 ± 8.8 and 59.6 ± 5.1 mbar (Figure 5A). In the exploratory sensor-level Type II ANOVA, stack position was associated with uncorrected peak ΔP (F(1,8) = 9.14; p = 0.017), with an adjusted bottom-minus-top difference of 20.4 mbar (95% CI 4.8–35.9 mbar). The set-point factor was not statistically detectable (F(1,8) = 0.21; p = 0.66), and the interaction was not significant (p = 0.56). By day 20, neither position (F(1,8) = 0.35; p = 0.57) nor set-point factor (F(1,8) = 0.81; p = 0.39) was statistically detectable (Figure 5B).</w:t>
      </w:r>
    </w:p>
    <w:p w14:paraId="32DE078B" w14:textId="77777777" w:rsidR="009C6330" w:rsidRPr="00BB0B41" w:rsidRDefault="00096756">
      <w:pPr>
        <w:pStyle w:val="MDPI31text"/>
        <w:spacing w:line="240" w:lineRule="auto"/>
      </w:pPr>
      <w:r>
        <w:rPr>
          <w:highlight w:val="yellow"/>
        </w:rPr>
        <w:t>Measured in-bag temperature differed markedly from the set points (Figure 3). In C19, late temperatures averaged 23.5 ± 0.2 °C at the top and 22.8 ± 0.3 °C at the bottom. In C50, packages remained far below the set point: 34.2 ± 0.4 °C at the top and 26.1 ± 0.2 °C at the bottom. The warmest individual main-trial sensor reached 35.3 °C. By day 20, temperatures were stable far below 50 °C, suggesting sustained under-delivery and/or stratification rather than only a short thermal lag. The pressure comparison must therefore be read with the local temperature gradient in mind.</w:t>
      </w:r>
    </w:p>
    <w:p w14:paraId="0AD420E9" w14:textId="77777777" w:rsidR="009C6330" w:rsidRPr="00BB0B41" w:rsidRDefault="00096756">
      <w:pPr>
        <w:pStyle w:val="MDPI31text"/>
      </w:pPr>
      <w:r>
        <w:rPr>
          <w:highlight w:val="yellow"/>
        </w:rPr>
        <w:t>Internal diagnostics showed strong common-mode structure across pressure traces: leave-one-out correlations between each sensor and the mean of the remaining sensors averaged 0.94. When a global common-mode trace was subtracted and each sensor's maximum residual was analysed, the position term was not statistically detectable (F(1,8) = 3.21; p = 0.111). Residuals at the original uncorrected peak times still showed a bottom-position offset (F(1,8) = 9.02; p = 0.017), and leave-one-out analysis of the uncorrected endpoint gave position p-values from 0.0007 to 0.051. The pressure result is therefore interpreted as an exploratory transient position-related offset superimposed on common-mode absolute-pressure variation.</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rPr>
          <w:highlight w:val="yellow"/>
        </w:rPr>
        <w:t>Figure 3. Main-trial in-bag pressure and temperature over 20 days. Upper panels show pressure change relative to each sensor's initial valid pressure (ΔP); lower panels show measured in-bag temperature. (A) C50 set-point chamber; (B) C19 set-point chamber. Solid lines are means and shaded bands are ± 1 SD. Usable sensor traces were n = 3 per position except bottom C19, for which n = 2. Dashed horizontal lines mark chamber set points. The left shaded band marks the first 5 h handling/stacking interval, which is expanded in Figure 4 and excluded from the primary pressure analysis.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rPr>
          <w:highlight w:val="yellow"/>
        </w:rPr>
        <w:t>Figure 4. First 16 h of the main-trial record. The shaded interval marks the first 5 h handling/stacking period. Upper panels show ΔP and lower panels show measured in-bag temperature for C50 (A) and C19 (B). Solid lines are means, markers are 30-min readings and shaded bands are ± 1 SD; amber denotes top and blue denotes bottom BiBs.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rPr>
          <w:highlight w:val="yellow"/>
        </w:rPr>
        <w:t>Figure 5. Sensor-level ΔP summaries by stack position and set-point group. (A) post-handling peak; peaks occurred 85–139 h after start. (B) residual value on day 20. Circles are individual sensors and bars give mean ± 1 SD; usable traces were n = 3 per position except bottom C19 (n = 2). The uncorrected peak ΔP was higher in bottom than top units in the exploratory analysis (F(1,8) = 9.14; p = 0.017). Because common-mode pressure variation was detected, the result is interpreted as exploratory (Section 3.2).</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rPr>
          <w:highlight w:val="yellow"/>
        </w:rPr>
        <w:t>Table 2. Chemical parameters after 20 days in C19 and C50 set-point chambers. C19 and C50 identify chamber set points, not measured in-bag wine temperatures. Values are mean ± standard deviation (n = 3); lactic acid is reported descriptively without significance letters.</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tblGrid>
      <w:tr w:rsidR="009C6330" w:rsidRPr="00BB0B41" w14:paraId="3AA1E47C" w14:textId="77777777">
        <w:trPr>
          <w:trHeight w:val="1220"/>
        </w:trPr>
        <w:tc>
          <w:tcPr>
            <w:tcW w:w="836" w:type="dxa"/>
            <w:tcBorders>
              <w:left w:val="nil"/>
              <w:right w:val="nil"/>
            </w:tcBorders>
            <w:vAlign w:val="center"/>
          </w:tcPr>
          <w:p>
            <w:r>
              <w:rPr/>
              <w:t>Sample</w:t>
            </w:r>
          </w:p>
        </w:tc>
        <w:tc>
          <w:tcPr>
            <w:tcW w:w="1149" w:type="dxa"/>
            <w:tcBorders>
              <w:left w:val="nil"/>
              <w:right w:val="nil"/>
            </w:tcBorders>
            <w:vAlign w:val="center"/>
          </w:tcPr>
          <w:p>
            <w:r>
              <w:rPr/>
              <w:t>Lactic Acid (g/L)</w:t>
            </w:r>
          </w:p>
        </w:tc>
        <w:tc>
          <w:tcPr>
            <w:tcW w:w="1134" w:type="dxa"/>
            <w:tcBorders>
              <w:left w:val="nil"/>
              <w:right w:val="nil"/>
            </w:tcBorders>
            <w:vAlign w:val="center"/>
          </w:tcPr>
          <w:p>
            <w:r>
              <w:rPr/>
              <w:t>Malic Acid (g/L)</w:t>
            </w:r>
          </w:p>
        </w:tc>
        <w:tc>
          <w:tcPr>
            <w:tcW w:w="850" w:type="dxa"/>
            <w:tcBorders>
              <w:left w:val="nil"/>
              <w:right w:val="nil"/>
            </w:tcBorders>
            <w:vAlign w:val="center"/>
          </w:tcPr>
          <w:p>
            <w:r>
              <w:rPr/>
              <w:t>pH</w:t>
            </w:r>
          </w:p>
        </w:tc>
        <w:tc>
          <w:tcPr>
            <w:tcW w:w="1070" w:type="dxa"/>
            <w:tcBorders>
              <w:left w:val="nil"/>
              <w:right w:val="nil"/>
            </w:tcBorders>
            <w:vAlign w:val="center"/>
          </w:tcPr>
          <w:p>
            <w:r>
              <w:rPr/>
              <w:t>Titratable acidity (g/L of tartaric acid)</w:t>
            </w:r>
          </w:p>
        </w:tc>
        <w:tc>
          <w:tcPr>
            <w:tcW w:w="1289" w:type="dxa"/>
            <w:tcBorders>
              <w:left w:val="nil"/>
              <w:right w:val="nil"/>
            </w:tcBorders>
            <w:vAlign w:val="center"/>
          </w:tcPr>
          <w:p>
            <w:r>
              <w:rPr/>
              <w:t>Volatile acidity (g/L of acetic acid)</w:t>
            </w:r>
          </w:p>
        </w:tc>
        <w:tc>
          <w:tcPr>
            <w:tcW w:w="1173" w:type="dxa"/>
            <w:tcBorders>
              <w:left w:val="nil"/>
              <w:right w:val="nil"/>
            </w:tcBorders>
            <w:vAlign w:val="center"/>
          </w:tcPr>
          <w:p>
            <w:r>
              <w:rPr/>
              <w:t>Total phenols (g/L of catechins)</w:t>
            </w:r>
          </w:p>
        </w:tc>
        <w:tc>
          <w:tcPr>
            <w:tcW w:w="1173" w:type="dxa"/>
            <w:tcBorders>
              <w:left w:val="nil"/>
              <w:right w:val="nil"/>
            </w:tcBorders>
            <w:vAlign w:val="center"/>
          </w:tcPr>
          <w:p>
            <w:r>
              <w:rPr/>
              <w:t>Ethanol content (%v/v)</w:t>
            </w:r>
          </w:p>
        </w:tc>
        <w:tc>
          <w:tcPr>
            <w:tcW w:w="1171" w:type="dxa"/>
            <w:tcBorders>
              <w:left w:val="nil"/>
              <w:right w:val="nil"/>
            </w:tcBorders>
            <w:vAlign w:val="center"/>
          </w:tcPr>
          <w:p>
            <w:r>
              <w:rPr/>
              <w:t>Total Sulphur dioxide content</w:t>
              <w:br/>
              <w:t>(mg/L)</w:t>
            </w:r>
          </w:p>
        </w:tc>
        <w:tc>
          <w:tcPr>
            <w:tcW w:w="1177" w:type="dxa"/>
            <w:tcBorders>
              <w:left w:val="nil"/>
              <w:right w:val="nil"/>
            </w:tcBorders>
            <w:vAlign w:val="center"/>
          </w:tcPr>
          <w:p>
            <w:r>
              <w:rPr/>
              <w:t>Free Sulphur dioxide content</w:t>
              <w:br/>
              <w:t>(mg/L)</w:t>
            </w:r>
          </w:p>
        </w:tc>
      </w:tr>
      <w:tr w:rsidR="009C6330" w:rsidRPr="00BB0B41" w14:paraId="14A84AE7" w14:textId="77777777">
        <w:trPr>
          <w:trHeight w:val="883"/>
        </w:trPr>
        <w:tc>
          <w:tcPr>
            <w:tcW w:w="836" w:type="dxa"/>
            <w:tcBorders>
              <w:left w:val="nil"/>
              <w:bottom w:val="nil"/>
              <w:right w:val="nil"/>
            </w:tcBorders>
            <w:vAlign w:val="center"/>
          </w:tcPr>
          <w:p>
            <w:r>
              <w:rPr>
                <w:highlight w:val="yellow"/>
              </w:rPr>
              <w:t>C19 chamber set point</w:t>
            </w:r>
          </w:p>
        </w:tc>
        <w:tc>
          <w:tcPr>
            <w:tcW w:w="1149" w:type="dxa"/>
            <w:tcBorders>
              <w:left w:val="nil"/>
              <w:bottom w:val="nil"/>
              <w:right w:val="nil"/>
            </w:tcBorders>
            <w:vAlign w:val="center"/>
          </w:tcPr>
          <w:p>
            <w:r>
              <w:rPr>
                <w:highlight w:val="yellow"/>
              </w:rPr>
              <w:t>0.16 ± 0.05</w:t>
            </w:r>
          </w:p>
        </w:tc>
        <w:tc>
          <w:tcPr>
            <w:tcW w:w="1134" w:type="dxa"/>
            <w:tcBorders>
              <w:left w:val="nil"/>
              <w:bottom w:val="nil"/>
              <w:right w:val="nil"/>
            </w:tcBorders>
            <w:vAlign w:val="center"/>
          </w:tcPr>
          <w:p>
            <w:r>
              <w:rPr/>
              <w:t>1.1 ± 0.23A</w:t>
            </w:r>
          </w:p>
        </w:tc>
        <w:tc>
          <w:tcPr>
            <w:tcW w:w="850" w:type="dxa"/>
            <w:tcBorders>
              <w:left w:val="nil"/>
              <w:bottom w:val="nil"/>
              <w:right w:val="nil"/>
            </w:tcBorders>
            <w:vAlign w:val="center"/>
          </w:tcPr>
          <w:p>
            <w:r>
              <w:rPr/>
              <w:t>3.4 ± 0.1A</w:t>
            </w:r>
          </w:p>
        </w:tc>
        <w:tc>
          <w:tcPr>
            <w:tcW w:w="1070" w:type="dxa"/>
            <w:tcBorders>
              <w:left w:val="nil"/>
              <w:bottom w:val="nil"/>
              <w:right w:val="nil"/>
            </w:tcBorders>
            <w:vAlign w:val="center"/>
          </w:tcPr>
          <w:p>
            <w:r>
              <w:rPr/>
              <w:t>6.6 ± 0.04A</w:t>
            </w:r>
          </w:p>
        </w:tc>
        <w:tc>
          <w:tcPr>
            <w:tcW w:w="1289" w:type="dxa"/>
            <w:tcBorders>
              <w:left w:val="nil"/>
              <w:bottom w:val="nil"/>
              <w:right w:val="nil"/>
            </w:tcBorders>
            <w:vAlign w:val="center"/>
          </w:tcPr>
          <w:p>
            <w:r>
              <w:rPr/>
              <w:t>0.30 ± 0.02B</w:t>
            </w:r>
          </w:p>
        </w:tc>
        <w:tc>
          <w:tcPr>
            <w:tcW w:w="1173" w:type="dxa"/>
            <w:tcBorders>
              <w:left w:val="nil"/>
              <w:bottom w:val="nil"/>
              <w:right w:val="nil"/>
            </w:tcBorders>
            <w:vAlign w:val="center"/>
          </w:tcPr>
          <w:p>
            <w:r>
              <w:rPr/>
              <w:t>1.02 ± 0.12A</w:t>
            </w:r>
          </w:p>
        </w:tc>
        <w:tc>
          <w:tcPr>
            <w:tcW w:w="1173" w:type="dxa"/>
            <w:tcBorders>
              <w:left w:val="nil"/>
              <w:bottom w:val="nil"/>
              <w:right w:val="nil"/>
            </w:tcBorders>
            <w:vAlign w:val="center"/>
          </w:tcPr>
          <w:p>
            <w:r>
              <w:rPr/>
              <w:t>11.6 ± 0.6A</w:t>
            </w:r>
          </w:p>
        </w:tc>
        <w:tc>
          <w:tcPr>
            <w:tcW w:w="1171" w:type="dxa"/>
            <w:tcBorders>
              <w:left w:val="nil"/>
              <w:bottom w:val="nil"/>
              <w:right w:val="nil"/>
            </w:tcBorders>
            <w:vAlign w:val="center"/>
          </w:tcPr>
          <w:p>
            <w:r>
              <w:rPr/>
              <w:t>50 ± 5.5A</w:t>
            </w:r>
          </w:p>
        </w:tc>
        <w:tc>
          <w:tcPr>
            <w:tcW w:w="1177" w:type="dxa"/>
            <w:tcBorders>
              <w:left w:val="nil"/>
              <w:bottom w:val="nil"/>
              <w:right w:val="nil"/>
            </w:tcBorders>
            <w:vAlign w:val="center"/>
          </w:tcPr>
          <w:p>
            <w:r>
              <w:rPr/>
              <w:t>31 ± 2.5A</w:t>
            </w:r>
          </w:p>
        </w:tc>
      </w:tr>
      <w:tr w:rsidR="009C6330" w:rsidRPr="00BB0B41" w14:paraId="632DC6E7" w14:textId="77777777">
        <w:trPr>
          <w:trHeight w:val="764"/>
        </w:trPr>
        <w:tc>
          <w:tcPr>
            <w:tcW w:w="836" w:type="dxa"/>
            <w:tcBorders>
              <w:top w:val="nil"/>
              <w:left w:val="nil"/>
              <w:right w:val="nil"/>
            </w:tcBorders>
            <w:vAlign w:val="center"/>
          </w:tcPr>
          <w:p>
            <w:r>
              <w:rPr>
                <w:highlight w:val="yellow"/>
              </w:rPr>
              <w:t>C50 chamber set point</w:t>
            </w:r>
          </w:p>
        </w:tc>
        <w:tc>
          <w:tcPr>
            <w:tcW w:w="1149" w:type="dxa"/>
            <w:tcBorders>
              <w:top w:val="nil"/>
              <w:left w:val="nil"/>
              <w:right w:val="nil"/>
            </w:tcBorders>
            <w:vAlign w:val="center"/>
          </w:tcPr>
          <w:p>
            <w:r>
              <w:rPr>
                <w:highlight w:val="yellow"/>
              </w:rPr>
              <w:t>0.29 ± 0.02</w:t>
            </w:r>
          </w:p>
        </w:tc>
        <w:tc>
          <w:tcPr>
            <w:tcW w:w="1134" w:type="dxa"/>
            <w:tcBorders>
              <w:top w:val="nil"/>
              <w:left w:val="nil"/>
              <w:right w:val="nil"/>
            </w:tcBorders>
            <w:vAlign w:val="center"/>
          </w:tcPr>
          <w:p>
            <w:r>
              <w:rPr/>
              <w:t>1.0 ± 0.16A</w:t>
            </w:r>
          </w:p>
        </w:tc>
        <w:tc>
          <w:tcPr>
            <w:tcW w:w="850" w:type="dxa"/>
            <w:tcBorders>
              <w:top w:val="nil"/>
              <w:left w:val="nil"/>
              <w:right w:val="nil"/>
            </w:tcBorders>
            <w:vAlign w:val="center"/>
          </w:tcPr>
          <w:p>
            <w:r>
              <w:rPr/>
              <w:t>3.4 ± 0.1A</w:t>
            </w:r>
          </w:p>
        </w:tc>
        <w:tc>
          <w:tcPr>
            <w:tcW w:w="1070" w:type="dxa"/>
            <w:tcBorders>
              <w:top w:val="nil"/>
              <w:left w:val="nil"/>
              <w:right w:val="nil"/>
            </w:tcBorders>
            <w:vAlign w:val="center"/>
          </w:tcPr>
          <w:p>
            <w:r>
              <w:rPr/>
              <w:t>6.6 ± 0.13A</w:t>
            </w:r>
          </w:p>
        </w:tc>
        <w:tc>
          <w:tcPr>
            <w:tcW w:w="1289" w:type="dxa"/>
            <w:tcBorders>
              <w:top w:val="nil"/>
              <w:left w:val="nil"/>
              <w:right w:val="nil"/>
            </w:tcBorders>
            <w:vAlign w:val="center"/>
          </w:tcPr>
          <w:p>
            <w:r>
              <w:rPr/>
              <w:t>0.39 ± 0.03A</w:t>
            </w:r>
          </w:p>
        </w:tc>
        <w:tc>
          <w:tcPr>
            <w:tcW w:w="1173" w:type="dxa"/>
            <w:tcBorders>
              <w:top w:val="nil"/>
              <w:left w:val="nil"/>
              <w:right w:val="nil"/>
            </w:tcBorders>
            <w:vAlign w:val="center"/>
          </w:tcPr>
          <w:p>
            <w:r>
              <w:rPr/>
              <w:t>1.10 ± 0.07A</w:t>
            </w:r>
          </w:p>
        </w:tc>
        <w:tc>
          <w:tcPr>
            <w:tcW w:w="1173" w:type="dxa"/>
            <w:tcBorders>
              <w:top w:val="nil"/>
              <w:left w:val="nil"/>
              <w:right w:val="nil"/>
            </w:tcBorders>
            <w:vAlign w:val="center"/>
          </w:tcPr>
          <w:p>
            <w:r>
              <w:rPr/>
              <w:t>11.6 ± 0.9A</w:t>
            </w:r>
          </w:p>
        </w:tc>
        <w:tc>
          <w:tcPr>
            <w:tcW w:w="1171" w:type="dxa"/>
            <w:tcBorders>
              <w:top w:val="nil"/>
              <w:left w:val="nil"/>
              <w:right w:val="nil"/>
            </w:tcBorders>
            <w:vAlign w:val="center"/>
          </w:tcPr>
          <w:p>
            <w:r>
              <w:rPr/>
              <w:t>25 ± 8.2B</w:t>
            </w:r>
          </w:p>
        </w:tc>
        <w:tc>
          <w:tcPr>
            <w:tcW w:w="1177" w:type="dxa"/>
            <w:tcBorders>
              <w:top w:val="nil"/>
              <w:left w:val="nil"/>
              <w:right w:val="nil"/>
            </w:tcBorders>
            <w:vAlign w:val="center"/>
          </w:tcPr>
          <w:p>
            <w:r>
              <w:rPr/>
              <w:t>16 ± 1.8B</w:t>
            </w:r>
          </w:p>
        </w:tc>
      </w:tr>
      <w:tr w:rsidR="009C6330" w:rsidRPr="00BB0B41" w14:paraId="6C054B93" w14:textId="77777777">
        <w:trPr>
          <w:trHeight w:val="764"/>
        </w:trPr>
        <w:tc>
          <w:tcPr>
            <w:tcW w:w="11037" w:type="dxa"/>
            <w:gridSpan w:val="10"/>
            <w:tcBorders>
              <w:left w:val="nil"/>
              <w:right w:val="nil"/>
            </w:tcBorders>
            <w:vAlign w:val="center"/>
          </w:tcPr>
          <w:p>
            <w:r>
              <w:rPr>
                <w:highlight w:val="yellow"/>
              </w:rPr>
              <w:t>Superscript uppercase letters (A–B) indicate statistically significant differences among samples within a column where letters are shown. Lactic acid is reported descriptively without significance letters because raw replicate-level chemical records were unavailable.</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t>3.3 Verification at the C50 set point</w:t>
      </w:r>
    </w:p>
    <w:p w14:paraId="61CD9141" w14:textId="77777777" w:rsidR="009C6330" w:rsidRPr="00BB0B41" w:rsidRDefault="00096756">
      <w:pPr>
        <w:pStyle w:val="MDPI31text"/>
        <w:spacing w:line="240" w:lineRule="auto"/>
      </w:pPr>
      <w:r>
        <w:rPr>
          <w:highlight w:val="yellow"/>
        </w:rPr>
        <w:t>The verification trial used one three-box stack at the C50 set point to document package behaviour closer to the intended high-temperature exposure. Four sensors were installed: V26 and V62 in the uppermost BiB, and V27 and V64 in the lowermost BiB. Pressure and temperature were logged every minute for 15 days. V26 stopped after about 4 days 8 h; the remaining three sensors completed the record. The trial provides supporting observations for this configuration only.</w:t>
      </w:r>
    </w:p>
    <w:p w14:paraId="264A6293" w14:textId="21BF9638" w:rsidR="009C6330" w:rsidRPr="00BB0B41" w:rsidRDefault="00096756">
      <w:pPr>
        <w:pStyle w:val="MDPI31text"/>
        <w:spacing w:line="240" w:lineRule="auto"/>
      </w:pPr>
      <w:r>
        <w:rPr>
          <w:highlight w:val="yellow"/>
        </w:rPr>
        <w:t>Verification temperatures approached the chamber set point more closely than in the main trial but did not reach 50 °C (Figures 6B and 7B). Maximum temperatures were 48.8 °C for V26, 47.7 °C for V62, 45.0 °C for V27 and 47.6 °C for V64. From days 14–15, V62 averaged 47.6 °C and the two bottom sensors averaged about 46.3 °C. These values were about 13.4 °C warmer at the top and 20.2 °C warmer at the bottom than late C50 temperatures in the main trial. The difference may reflect chamber performance, loading, airflow, scale, geometry or sensor location, but the records do not identify a single cause.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rPr>
          <w:highlight w:val="yellow"/>
        </w:rPr>
        <w:t>Figure 6. In-bag temperature in the two C50 set-point trials. (A) Main trial, 20 days, with C19 reference shown in grey. (B) Verification trial, 15 days. Solid lines in panel A are means with ± 1 SD; panel B shows individual sensors. The dashed horizontal line marks the 50 °C chamber set point. No in-bag sensor reached 50 °C.</w:t>
      </w:r>
    </w:p>
    <w:p w14:paraId="248D2361" w14:textId="5AC5CF72" w:rsidR="009C6330" w:rsidRPr="00BB0B41" w:rsidRDefault="00096756" w:rsidP="00FA0DF4">
      <w:pPr>
        <w:pStyle w:val="MDPI31text"/>
        <w:spacing w:line="240" w:lineRule="auto"/>
        <w:ind w:left="0" w:firstLine="0"/>
      </w:pPr>
      <w:r>
        <w:rPr>
          <w:highlight w:val="yellow"/>
        </w:rPr>
        <w:t>Verification ΔP changes were small and transient (Figure 7A). Relative to each sensor's first valid pressure, early peaks ranged from 9.6 to 26.5 mbar. The traces then declined, shared a negative excursion around day 6 and returned towards baseline while in-bag temperatures were about 45–48 °C. The common movement again indicates that absolute ΔP includes components other than package pressure alone. The one-stack design limits this trial to supporting evidence for the tested configuration.</w:t>
      </w:r>
    </w:p>
    <w:p w14:paraId="55930FBC" w14:textId="77777777" w:rsidR="009C6330" w:rsidRPr="00BB0B41" w:rsidRDefault="00096756" w:rsidP="00FA0DF4">
      <w:pPr>
        <w:pStyle w:val="MDPI31text"/>
        <w:spacing w:line="240" w:lineRule="auto"/>
        <w:ind w:left="0" w:firstLine="0"/>
      </w:pPr>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rPr>
          <w:highlight w:val="yellow"/>
        </w:rPr>
        <w:t>Figure 7. Verification-trial ΔP (A) and measured in-bag temperature (B) over 15 days in one three-box stack at the C50 set point. Sensors are shown individually by position; V26 stopped after about 4 days 8 h. Pressure peaks ranged from 9.6 to 26.5 mbar. No in-bag sensor reached 50 °C. The common dip around day 6 indicates a shared pressure component; no barometric reference was logged.</w:t>
      </w:r>
    </w:p>
    <w:p w14:paraId="15C52203" w14:textId="77777777" w:rsidR="009C6330" w:rsidRPr="00BB0B41" w:rsidRDefault="00096756">
      <w:pPr>
        <w:pStyle w:val="MDPI22heading2"/>
        <w:ind w:left="0"/>
      </w:pPr>
      <w:r w:rsidRPr="00BB0B41">
        <w:rPr/>
        <w:t>3.4 Limitations and future perspectives</w:t>
      </w:r>
    </w:p>
    <w:p w14:paraId="46B68C1B" w14:textId="77777777" w:rsidR="009C6330" w:rsidRPr="00BB0B41" w:rsidRDefault="00096756">
      <w:pPr>
        <w:pStyle w:val="MDPI31text"/>
      </w:pPr>
      <w:r>
        <w:rPr>
          <w:highlight w:val="yellow"/>
        </w:rPr>
        <w:t>This preliminary study used one commercial white wine and one 3-L BiB format. Grape variety and vintage were unavailable. Chemical analyses were grouped as C19/C50 and were not position-resolved, so they cannot be linked directly to top/bottom pressure behaviour. Raw chemical replicate values were not retained in the available study records. No microbiological measurements, viable cell counts, sensory analysis or post-transport storage follow-up were performed. Malolactic or other microbial contributions therefore cannot be excluded, and the implications of lower SO₂ reserve for shelf life remain untested.</w:t>
      </w:r>
    </w:p>
    <w:p w14:paraId="46B68C1B" w14:textId="77777777" w:rsidR="009C6330" w:rsidRPr="00BB0B41" w:rsidRDefault="00096756">
      <w:pPr>
        <w:pStyle w:val="MDPI31text"/>
      </w:pPr>
      <w:r>
        <w:rPr>
          <w:highlight w:val="yellow"/>
        </w:rPr>
        <w:t>The main design limitation is the mismatch between chamber set point and in-bag temperature. In C50, late in-bag temperatures were 34.2 ± 0.4 °C at top sensors and 26.1 ± 0.2 °C at bottom sensors. This was not a 20-day wine exposure to 50 °C. Chamber model, volume, fan power, airflow, chamber-air temperature and pallet occupancy were not recorded, preventing diagnosis of sustained under-delivery, stratification or heat-transfer limitation. There was one chamber per set point, so chamber identity and set point are confounded.</w:t>
      </w:r>
    </w:p>
    <w:p w14:paraId="46B68C1B" w14:textId="77777777" w:rsidR="009C6330" w:rsidRPr="00BB0B41" w:rsidRDefault="00096756">
      <w:pPr>
        <w:pStyle w:val="MDPI31text"/>
      </w:pPr>
      <w:r>
        <w:rPr>
          <w:highlight w:val="yellow"/>
        </w:rPr>
        <w:t>The pressure analysis used 11 sensor traces, with one missing bottom sensor and one n = 2 cell. Stack IDs and sensor-to-stack pairings were not retained, so paired stack-level analysis was not possible. No barometric reference sensor was logged. Strong common-mode correlations among traces and the common-mode residual analysis limit interpretation of the uncorrected peak-position result. Baseline referencing reduces static offsets but not temperature-dependent drift, ambient barometric variation or possible perturbation from the oil-filled casing and displaced headspace. No bench calibration in wine matrix was available. The first 5 h were excluded from the primary storage analysis; including them did not change the peak endpoint. The verification trial used one stack, one sensor stopped after about 4 days 8 h and no sensor reached 50 °C. Sensor deployment is discussed only as sentinel, validation or quality-control monitoring because no techno-economic analysis was performed.</w:t>
      </w:r>
    </w:p>
    <w:p w14:paraId="46B68C1B" w14:textId="77777777" w:rsidR="009C6330" w:rsidRPr="00BB0B41" w:rsidRDefault="00096756">
      <w:pPr>
        <w:pStyle w:val="MDPI31text"/>
      </w:pPr>
      <w:r>
        <w:t>Despite these limitations, the study shows why direct package-level measurement matters. Chamber set points did not predict realised wine temperature, and sensor-level pressure summaries suggested position-related offsets under the tested stacking configuration. Future work should combine replicated chambers with chamber-air and barometric logging, bench calibration, position-resolved chemistry, microbiology, realistic fluctuating temperature and vibration profiles, broader package formats and cost-benefit evaluation of sentinel sensing.</w:t>
      </w:r>
    </w:p>
    <w:p w14:paraId="6429B86E" w14:textId="77777777" w:rsidR="009C6330" w:rsidRPr="00BB0B41" w:rsidRDefault="00096756">
      <w:pPr>
        <w:pStyle w:val="MDPI21heading1"/>
        <w:ind w:left="2040" w:firstLine="510"/>
      </w:pPr>
      <w:r w:rsidRPr="00BB0B41">
        <w:rPr/>
        <w:t>4. Conclusions</w:t>
      </w:r>
    </w:p>
    <w:p w14:paraId="2F953EE3" w14:textId="77777777" w:rsidR="009C6330" w:rsidRPr="00BB0B41" w:rsidRDefault="00096756">
      <w:pPr>
        <w:pStyle w:val="MDPI31text"/>
        <w:spacing w:line="240" w:lineRule="auto"/>
        <w:ind w:left="2550" w:firstLine="510"/>
      </w:pPr>
      <w:r>
        <w:rPr>
          <w:highlight w:val="yellow"/>
        </w:rPr>
        <w:t>This study monitored pressure and temperature inside palletised 3-L BiB wine units under static chamber conditions. The set-point labels C19 and C50 did not represent the temperature experienced by the wine. In the main trial, C50 packages stabilised at 34.2 ± 0.4 °C at the top and 26.1 ± 0.2 °C at the bottom, while C19 packages were about 23 °C. The main trial therefore supports conclusions about the realised set-point groups and measured package temperatures, not about a 20-day wine exposure to 50 °C.</w:t>
      </w:r>
    </w:p>
    <w:p w14:paraId="0B9A45A9" w14:textId="77777777" w:rsidR="009C6330" w:rsidRPr="00BB0B41" w:rsidRDefault="00096756">
      <w:pPr>
        <w:pStyle w:val="MDPI31text"/>
        <w:spacing w:line="240" w:lineRule="auto"/>
        <w:ind w:left="2550"/>
      </w:pPr>
      <w:r>
        <w:rPr>
          <w:highlight w:val="yellow"/>
        </w:rPr>
        <w:t>Bottom-position BiBs had a larger mean uncorrected peak ΔP than top-position BiBs under the tested stacking configuration (adjusted difference 20.4 mbar; F(1,8) = 9.14; p = 0.017). Peaks occurred between about 3.5 and 5.8 days. Because the traces shared a common-mode pattern and no barometric reference was logged, this result is best interpreted as an exploratory transient position-related offset. The common-mode residual peak endpoint was not statistically detectable (F(1,8) = 3.21; p = 0.111), and neither factor was statistically detectable by day 20. Including the first 5 h did not change the uncorrected peak endpoint.</w:t>
      </w:r>
    </w:p>
    <w:p w14:paraId="386F2AE7" w14:textId="77777777" w:rsidR="009C6330" w:rsidRPr="00BB0B41" w:rsidRDefault="00096756">
      <w:pPr>
        <w:pStyle w:val="MDPI31text"/>
        <w:spacing w:line="240" w:lineRule="auto"/>
        <w:ind w:left="2550"/>
      </w:pPr>
      <w:r>
        <w:rPr>
          <w:highlight w:val="yellow"/>
        </w:rPr>
        <w:t>Wine from C50 showed lower free and total SO₂, higher volatile acidity and a numerically higher lactic-acid value than wine from C19, while pH, ethanol, titratable acidity and total phenols did not differ significantly. These are bulk chamber-group chemistry results; they were not resolved by package position. Shelf life, sensory quality and microbiology after storage were not tested. In the verification trial, one stack reached 45.0–48.8 °C across sensors but still did not reach 50 °C, and pressure changes were small and transient. The practical implication is to use selected sentinel packages or validation deployments to measure actual in-package conditions, with deployment density and economic feasibility left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Pr/>
        <w:t>Author Contributions: Conceptualization, M.M., F.P., P.G.V. and A.Z.; methodology, B.C. and N.M.; software, B.C.,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w:t>
      </w:r>
    </w:p>
    <w:p w14:paraId="21837E76" w14:textId="77777777" w:rsidR="009C6330" w:rsidRPr="00BB0B41" w:rsidRDefault="00096756">
      <w:pPr>
        <w:pStyle w:val="MDPI62backmatter"/>
      </w:pPr>
      <w:r>
        <w:rPr/>
        <w:t>All authors have read and agreed to the published version of the manuscript.</w:t>
      </w:r>
    </w:p>
    <w:p w14:paraId="4C97347B" w14:textId="77777777" w:rsidR="009C6330" w:rsidRPr="00BB0B41" w:rsidRDefault="00096756">
      <w:pPr>
        <w:pStyle w:val="MDPI62backmatter"/>
        <w:rPr>
          <w:rFonts w:eastAsiaTheme="minorEastAsia"/>
          <w:lang w:eastAsia="zh-CN"/>
        </w:rPr>
      </w:pPr>
      <w:r>
        <w:rPr/>
        <w:t>Funding: This research was funded by TRACEWINDU (Traceability at wine industry through integrated labelling of typicality, health protection effect and organoleptic attributes), a project co-funded by the Horizon 2020 Framework Programme of the European Union under Grant Agreement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rPr/>
        <w:t>Not applicable.</w:t>
      </w:r>
    </w:p>
    <w:p w14:paraId="2B833442" w14:textId="77777777" w:rsidR="009C6330" w:rsidRPr="00BB0B41" w:rsidRDefault="00096756">
      <w:pPr>
        <w:pStyle w:val="MDPI62backmatter"/>
      </w:pPr>
      <w:r w:rsidRPr="00BB0B41">
        <w:rPr>
          <w:b/>
        </w:rPr>
        <w:t xml:space="preserve">Informed Consent Statement: </w:t>
      </w:r>
      <w:r w:rsidRPr="00BB0B41">
        <w:rPr/>
        <w:t>Not applicable.</w:t>
      </w:r>
      <w:bookmarkStart w:id="1" w:name="_Hlk60054323"/>
      <w:bookmarkEnd w:id="1"/>
    </w:p>
    <w:p w14:paraId="6378862A" w14:textId="77777777" w:rsidR="009C6330" w:rsidRPr="00BB0B41" w:rsidRDefault="00096756">
      <w:pPr>
        <w:pStyle w:val="MDPI62backmatter"/>
      </w:pPr>
      <w:r>
        <w:rPr>
          <w:highlight w:val="yellow"/>
        </w:rPr>
        <w:t>Data Availability Statement: The pressure and temperature workbooks, analysis scripts and derived summaries used for the reported analyses are available from the corresponding author and can be deposited as supplementary files if required by the journal. Raw chemical replicate records, microbiological data, sensory data, shelf-life follow-up data and chamber-control metadata were not retained in the available study records.</w:t>
      </w:r>
    </w:p>
    <w:p w14:paraId="21BFF052" w14:textId="77777777" w:rsidR="009C6330" w:rsidRPr="00BB0B41" w:rsidRDefault="00096756">
      <w:pPr>
        <w:pStyle w:val="MDPI62backmatter"/>
      </w:pPr>
      <w:r w:rsidRPr="00BB0B41">
        <w:rPr>
          <w:b/>
        </w:rPr>
        <w:t>Conflicts of Interest:</w:t>
      </w:r>
      <w:r w:rsidRPr="00BB0B41">
        <w:rPr/>
        <w:t xml:space="preserve"> </w:t>
      </w:r>
      <w:bookmarkStart w:id="2" w:name="RefSection"/>
      <w:r w:rsidRPr="00BB0B41">
        <w:rPr/>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rPr/>
        <w:t>Reference</w:t>
      </w:r>
      <w:bookmarkEnd w:id="2"/>
      <w:r w:rsidRPr="00BB0B41">
        <w:rPr/>
        <w:t>s</w:t>
      </w:r>
    </w:p>
    <w:p w14:paraId="0BB5122C" w14:textId="77777777" w:rsidR="009C6330" w:rsidRPr="00BB0B41" w:rsidRDefault="00096756">
      <w:pPr>
        <w:pStyle w:val="Bibliography"/>
      </w:pPr>
      <w:r w:rsidRPr="00BB0B41">
        <w:rPr/>
      </w:r>
      <w:r w:rsidRPr="00BB0B41">
        <w:rPr/>
      </w:r>
      <w:r w:rsidRPr="00BB0B41">
        <w:rPr/>
      </w:r>
      <w:r w:rsidRPr="00BB0B41">
        <w:rPr/>
        <w:t xml:space="preserve">1. </w:t>
      </w:r>
      <w:r w:rsidRPr="00BB0B41">
        <w:rPr/>
        <w:tab/>
        <w:t xml:space="preserve">Rui, M.; Rosa, F.; Viberti, A.; Brun, F.; Massaglia, S.; Blanc, S. Understanding Factors Associated with Interest in Sustainability-Certified Wine among American and Italian Consumers. </w:t>
      </w:r>
      <w:r w:rsidRPr="00BB0B41">
        <w:rPr>
          <w:i/>
          <w:iCs/>
        </w:rPr>
        <w:t>Foods</w:t>
      </w:r>
      <w:r w:rsidRPr="00BB0B41">
        <w:rPr/>
        <w:t xml:space="preserve"> </w:t>
      </w:r>
      <w:r w:rsidRPr="00BB0B41">
        <w:rPr>
          <w:b/>
          <w:bCs/>
        </w:rPr>
        <w:t>2024</w:t>
      </w:r>
      <w:r w:rsidRPr="00BB0B41">
        <w:rPr/>
        <w:t xml:space="preserve">, </w:t>
      </w:r>
      <w:r w:rsidRPr="00BB0B41">
        <w:rPr>
          <w:i/>
          <w:iCs/>
        </w:rPr>
        <w:t>13</w:t>
      </w:r>
      <w:r w:rsidRPr="00BB0B41">
        <w:rPr/>
        <w:t>, 1468, doi:10.3390/foods13101468.</w:t>
      </w:r>
    </w:p>
    <w:p w14:paraId="3C86CF2B" w14:textId="77777777" w:rsidR="009C6330" w:rsidRPr="00BB0B41" w:rsidRDefault="00096756">
      <w:pPr>
        <w:pStyle w:val="Bibliography"/>
      </w:pPr>
      <w:r w:rsidRPr="00BB0B41">
        <w:rPr/>
        <w:t xml:space="preserve">2. </w:t>
      </w:r>
      <w:r w:rsidRPr="00BB0B41">
        <w:rPr/>
        <w:tab/>
        <w:t xml:space="preserve">Valenzuela, L.; Ortega, R.; Moscovici, D.; Gow, J.; Alonso Ugaglia, A.; Mihailescu, R. Consumer Willingness to Pay for Sustainable Wine—The Chilean Case. </w:t>
      </w:r>
      <w:r w:rsidRPr="00BB0B41">
        <w:rPr>
          <w:i/>
          <w:iCs/>
        </w:rPr>
        <w:t>Sustainability</w:t>
      </w:r>
      <w:r w:rsidRPr="00BB0B41">
        <w:rPr/>
        <w:t xml:space="preserve"> </w:t>
      </w:r>
      <w:r w:rsidRPr="00BB0B41">
        <w:rPr>
          <w:b/>
          <w:bCs/>
        </w:rPr>
        <w:t>2022</w:t>
      </w:r>
      <w:r w:rsidRPr="00BB0B41">
        <w:rPr/>
        <w:t xml:space="preserve">, </w:t>
      </w:r>
      <w:r w:rsidRPr="00BB0B41">
        <w:rPr>
          <w:i/>
          <w:iCs/>
        </w:rPr>
        <w:t>14</w:t>
      </w:r>
      <w:r w:rsidRPr="00BB0B41">
        <w:rPr/>
        <w:t>, 10910, doi:10.3390/su141710910.</w:t>
      </w:r>
    </w:p>
    <w:p w14:paraId="1AC66C68" w14:textId="77777777" w:rsidR="009C6330" w:rsidRPr="00BB0B41" w:rsidRDefault="00096756">
      <w:pPr>
        <w:pStyle w:val="Bibliography"/>
      </w:pPr>
      <w:r w:rsidRPr="00BB0B41">
        <w:rPr/>
        <w:t xml:space="preserve">3. </w:t>
      </w:r>
      <w:r w:rsidRPr="00BB0B41">
        <w:rPr/>
        <w:tab/>
        <w:t xml:space="preserve">Work, H.H. </w:t>
      </w:r>
      <w:r w:rsidRPr="00BB0B41">
        <w:rPr>
          <w:i/>
          <w:iCs/>
        </w:rPr>
        <w:t>The Shape of Wine: Its Packaging Evolution</w:t>
      </w:r>
      <w:r w:rsidRPr="00BB0B41">
        <w:rPr/>
        <w:t>; 1st ed.; Routledge, 2018; ISBN 978-0-203-73263-2.</w:t>
      </w:r>
    </w:p>
    <w:p w14:paraId="493985B5" w14:textId="77777777" w:rsidR="009C6330" w:rsidRPr="00BB0B41" w:rsidRDefault="00096756">
      <w:pPr>
        <w:pStyle w:val="Bibliography"/>
      </w:pPr>
      <w:r w:rsidRPr="00BB0B41">
        <w:rPr/>
        <w:t xml:space="preserve">4. </w:t>
      </w:r>
      <w:r w:rsidRPr="00BB0B41">
        <w:rPr/>
        <w:tab/>
        <w:t xml:space="preserve">Thompson-Witrick, K.A.; Pitts, E.R.; Nemenyi, J.L.; Budner, D. The Impact Packaging Type Has on the Flavor of Wine. </w:t>
      </w:r>
      <w:r w:rsidRPr="00BB0B41">
        <w:rPr>
          <w:i/>
          <w:iCs/>
        </w:rPr>
        <w:t>Beverages</w:t>
      </w:r>
      <w:r w:rsidRPr="00BB0B41">
        <w:rPr/>
        <w:t xml:space="preserve"> </w:t>
      </w:r>
      <w:r w:rsidRPr="00BB0B41">
        <w:rPr>
          <w:b/>
          <w:bCs/>
        </w:rPr>
        <w:t>2021</w:t>
      </w:r>
      <w:r w:rsidRPr="00BB0B41">
        <w:rPr/>
        <w:t xml:space="preserve">, </w:t>
      </w:r>
      <w:r w:rsidRPr="00BB0B41">
        <w:rPr>
          <w:i/>
          <w:iCs/>
        </w:rPr>
        <w:t>7</w:t>
      </w:r>
      <w:r w:rsidRPr="00BB0B41">
        <w:rPr/>
        <w:t>, 36, doi:10.3390/beverages7020036.</w:t>
      </w:r>
    </w:p>
    <w:p w14:paraId="3ECB45DF" w14:textId="77777777" w:rsidR="009C6330" w:rsidRPr="00BB0B41" w:rsidRDefault="00096756">
      <w:pPr>
        <w:pStyle w:val="Bibliography"/>
      </w:pPr>
      <w:r w:rsidRPr="00BB0B41">
        <w:rPr/>
        <w:t xml:space="preserve">5. </w:t>
      </w:r>
      <w:r w:rsidRPr="00BB0B41">
        <w:rPr/>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rPr/>
        <w:t xml:space="preserve"> </w:t>
      </w:r>
      <w:r w:rsidRPr="00BB0B41">
        <w:rPr>
          <w:b/>
          <w:bCs/>
        </w:rPr>
        <w:t>2024</w:t>
      </w:r>
      <w:r w:rsidRPr="00BB0B41">
        <w:rPr/>
        <w:t xml:space="preserve">, </w:t>
      </w:r>
      <w:r w:rsidRPr="00BB0B41">
        <w:rPr>
          <w:i/>
          <w:iCs/>
        </w:rPr>
        <w:t>33</w:t>
      </w:r>
      <w:r w:rsidRPr="00BB0B41">
        <w:rPr/>
        <w:t>, 1497–1514, doi:10.1002/bse.3556.</w:t>
      </w:r>
    </w:p>
    <w:p w14:paraId="1744630A" w14:textId="77777777" w:rsidR="009C6330" w:rsidRPr="00BB0B41" w:rsidRDefault="00096756">
      <w:pPr>
        <w:pStyle w:val="Bibliography"/>
      </w:pPr>
      <w:r w:rsidRPr="00BB0B41">
        <w:rPr/>
        <w:t>6.</w:t>
      </w:r>
      <w:r w:rsidRPr="00BB0B41">
        <w:rPr/>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rPr/>
        <w:t xml:space="preserve">, </w:t>
      </w:r>
      <w:r w:rsidRPr="00BB0B41">
        <w:rPr>
          <w:i/>
        </w:rPr>
        <w:t>2024</w:t>
      </w:r>
      <w:r w:rsidRPr="00BB0B41">
        <w:rPr/>
        <w:t>, 9946341, doi:10.1155/ajgw/9946341.</w:t>
      </w:r>
    </w:p>
    <w:p w14:paraId="3598471B" w14:textId="77777777" w:rsidR="009C6330" w:rsidRPr="00BB0B41" w:rsidRDefault="00096756">
      <w:pPr>
        <w:pStyle w:val="Bibliography"/>
      </w:pPr>
      <w:r w:rsidRPr="00BB0B41">
        <w:rPr/>
        <w:t>7.</w:t>
      </w:r>
      <w:r w:rsidRPr="00BB0B41">
        <w:rPr/>
        <w:tab/>
        <w:t xml:space="preserve">Bichescu, C.; Stoica, D.; Ivan, A.; Stoica, M. Innovative Packaging for Wine. </w:t>
      </w:r>
      <w:r w:rsidRPr="00BB0B41">
        <w:rPr>
          <w:i/>
        </w:rPr>
        <w:t xml:space="preserve">ACROSS </w:t>
      </w:r>
      <w:r w:rsidRPr="00BB0B41">
        <w:rPr>
          <w:b/>
        </w:rPr>
        <w:t>2024</w:t>
      </w:r>
      <w:r w:rsidRPr="00BB0B41">
        <w:rPr/>
        <w:t xml:space="preserve">, </w:t>
      </w:r>
      <w:r w:rsidRPr="00BB0B41">
        <w:rPr>
          <w:i/>
        </w:rPr>
        <w:t>8</w:t>
      </w:r>
      <w:r w:rsidRPr="00BB0B41">
        <w:rPr/>
        <w:t>, 1–13.</w:t>
      </w:r>
    </w:p>
    <w:p w14:paraId="2DECB3CC" w14:textId="77777777" w:rsidR="009C6330" w:rsidRPr="00BB0B41" w:rsidRDefault="00096756">
      <w:pPr>
        <w:pStyle w:val="Bibliography"/>
      </w:pPr>
      <w:r>
        <w:t xml:space="preserve">8. </w:t>
        <w:tab/>
        <w:t>Ruggeri, G.; Mazzocchi, C.; Corsi, S.; Ranzenigo, B. No More Glass Bottles? Canned Wine and Italian Consumers. Foods 2022, 11, 1106, doi:10.3390/foods11081106.</w:t>
      </w:r>
    </w:p>
    <w:p w14:paraId="6CBA5C8B" w14:textId="77777777" w:rsidR="009C6330" w:rsidRPr="00BB0B41" w:rsidRDefault="00096756">
      <w:pPr>
        <w:pStyle w:val="Bibliography"/>
      </w:pPr>
      <w:r w:rsidRPr="00BB0B41">
        <w:rPr/>
        <w:t xml:space="preserve">9. </w:t>
      </w:r>
      <w:r w:rsidRPr="00BB0B41">
        <w:rPr/>
        <w:tab/>
        <w:t xml:space="preserve">Gonen, L.D.; Tavor, T.; Spiegel, U. Adapting and Thriving: Global Warming and the Wine Industry. </w:t>
      </w:r>
      <w:r w:rsidRPr="00BB0B41">
        <w:rPr>
          <w:i/>
          <w:iCs/>
        </w:rPr>
        <w:t>Sage Open</w:t>
      </w:r>
      <w:r w:rsidRPr="00BB0B41">
        <w:rPr/>
        <w:t xml:space="preserve"> </w:t>
      </w:r>
      <w:r w:rsidRPr="00BB0B41">
        <w:rPr>
          <w:b/>
          <w:bCs/>
        </w:rPr>
        <w:t>2024</w:t>
      </w:r>
      <w:r w:rsidRPr="00BB0B41">
        <w:rPr/>
        <w:t xml:space="preserve">, </w:t>
      </w:r>
      <w:r w:rsidRPr="00BB0B41">
        <w:rPr>
          <w:i/>
          <w:iCs/>
        </w:rPr>
        <w:t>14</w:t>
      </w:r>
      <w:r w:rsidRPr="00BB0B41">
        <w:rPr/>
        <w:t>, 21582440241227750, doi:10.1177/21582440241227750.</w:t>
      </w:r>
    </w:p>
    <w:p w14:paraId="447D2C9E" w14:textId="77777777" w:rsidR="009C6330" w:rsidRPr="00BB0B41" w:rsidRDefault="00096756">
      <w:pPr>
        <w:pStyle w:val="Bibliography"/>
      </w:pPr>
      <w:r w:rsidRPr="00BB0B41">
        <w:rPr/>
        <w:t xml:space="preserve">10. </w:t>
      </w:r>
      <w:r w:rsidRPr="00BB0B41">
        <w:rPr/>
        <w:tab/>
        <w:t xml:space="preserve">Gerini, F.; Dominici, A.; Casini, L. The Effects of the COVID-19 Pandemic on the Mass Market Retailing of Wine in Italy. </w:t>
      </w:r>
      <w:r w:rsidRPr="00BB0B41">
        <w:rPr>
          <w:i/>
          <w:iCs/>
        </w:rPr>
        <w:t>Foods</w:t>
      </w:r>
      <w:r w:rsidRPr="00BB0B41">
        <w:rPr/>
        <w:t xml:space="preserve"> </w:t>
      </w:r>
      <w:r w:rsidRPr="00BB0B41">
        <w:rPr>
          <w:b/>
          <w:bCs/>
        </w:rPr>
        <w:t>2021</w:t>
      </w:r>
      <w:r w:rsidRPr="00BB0B41">
        <w:rPr/>
        <w:t xml:space="preserve">, </w:t>
      </w:r>
      <w:r w:rsidRPr="00BB0B41">
        <w:rPr>
          <w:i/>
          <w:iCs/>
        </w:rPr>
        <w:t>10</w:t>
      </w:r>
      <w:r w:rsidRPr="00BB0B41">
        <w:rPr/>
        <w:t>, 2674, doi:10.3390/foods10112674.</w:t>
      </w:r>
    </w:p>
    <w:p w14:paraId="11258770" w14:textId="77777777" w:rsidR="009C6330" w:rsidRPr="00BB0B41" w:rsidRDefault="00096756">
      <w:pPr>
        <w:pStyle w:val="Bibliography"/>
      </w:pPr>
      <w:r w:rsidRPr="00BB0B41">
        <w:rPr/>
        <w:t xml:space="preserve">11. </w:t>
      </w:r>
      <w:r w:rsidRPr="00BB0B41">
        <w:rPr/>
        <w:tab/>
        <w:t xml:space="preserve">Versari, A.; Ricci, A.; Moreno, C.P.; Parpinello, G.P. Packaging of Wine in Aluminum Cans – A Review. </w:t>
      </w:r>
      <w:r w:rsidRPr="00BB0B41">
        <w:rPr>
          <w:i/>
          <w:iCs/>
        </w:rPr>
        <w:t>Am. J. Enol. Vitic.</w:t>
      </w:r>
      <w:r w:rsidRPr="00BB0B41">
        <w:rPr/>
        <w:t xml:space="preserve"> </w:t>
      </w:r>
      <w:r w:rsidRPr="00BB0B41">
        <w:rPr>
          <w:b/>
          <w:bCs/>
        </w:rPr>
        <w:t>2023</w:t>
      </w:r>
      <w:r w:rsidRPr="00BB0B41">
        <w:rPr/>
        <w:t xml:space="preserve">, </w:t>
      </w:r>
      <w:r w:rsidRPr="00BB0B41">
        <w:rPr>
          <w:i/>
          <w:iCs/>
        </w:rPr>
        <w:t>74</w:t>
      </w:r>
      <w:r w:rsidRPr="00BB0B41">
        <w:rPr/>
        <w:t>, 0740022, doi:10.5344/ajev.2023.22071.</w:t>
      </w:r>
    </w:p>
    <w:p w14:paraId="67C98596" w14:textId="77777777" w:rsidR="009C6330" w:rsidRPr="00BB0B41" w:rsidRDefault="00096756">
      <w:pPr>
        <w:pStyle w:val="Bibliography"/>
      </w:pPr>
      <w:r w:rsidRPr="00BB0B41">
        <w:rPr/>
        <w:t xml:space="preserve">12. </w:t>
      </w:r>
      <w:r w:rsidRPr="00BB0B41">
        <w:rPr/>
        <w:tab/>
        <w:t xml:space="preserve">Nesselhauf, L.; Deker, J.S.; Fleuchaus, R. Information and Involvement: The Influence on the Acceptance of Innovative Wine Packaging. </w:t>
      </w:r>
      <w:r w:rsidRPr="00BB0B41">
        <w:rPr>
          <w:i/>
          <w:iCs/>
        </w:rPr>
        <w:t>Int. J. Wine Bus. Res.</w:t>
      </w:r>
      <w:r w:rsidRPr="00BB0B41">
        <w:rPr/>
        <w:t xml:space="preserve"> </w:t>
      </w:r>
      <w:r w:rsidRPr="00BB0B41">
        <w:rPr>
          <w:b/>
          <w:bCs/>
        </w:rPr>
        <w:t>2017</w:t>
      </w:r>
      <w:r w:rsidRPr="00BB0B41">
        <w:rPr/>
        <w:t xml:space="preserve">, </w:t>
      </w:r>
      <w:r w:rsidRPr="00BB0B41">
        <w:rPr>
          <w:i/>
          <w:iCs/>
        </w:rPr>
        <w:t>29</w:t>
      </w:r>
      <w:r w:rsidRPr="00BB0B41">
        <w:rPr/>
        <w:t>, 285–298, doi:10.1108/IJWBR-08-2016-0026.</w:t>
      </w:r>
    </w:p>
    <w:p w14:paraId="3916CAA5" w14:textId="77777777" w:rsidR="009C6330" w:rsidRPr="00BB0B41" w:rsidRDefault="00096756">
      <w:pPr>
        <w:pStyle w:val="Bibliography"/>
      </w:pPr>
      <w:r w:rsidRPr="00BB0B41">
        <w:rPr/>
        <w:t xml:space="preserve">13. </w:t>
      </w:r>
      <w:r w:rsidRPr="00BB0B41">
        <w:rPr/>
        <w:tab/>
        <w:t xml:space="preserve">Ferrara, C.; Migliaro, V.; Ventura, F.; De Feo, G. An Economic and Environmental Analysis of Wine Packaging Systems in Italy: A Life Cycle (LC) Approach. </w:t>
      </w:r>
      <w:r w:rsidRPr="00BB0B41">
        <w:rPr>
          <w:i/>
          <w:iCs/>
        </w:rPr>
        <w:t>Sci. Total Environ.</w:t>
      </w:r>
      <w:r w:rsidRPr="00BB0B41">
        <w:rPr/>
        <w:t xml:space="preserve"> </w:t>
      </w:r>
      <w:r w:rsidRPr="00BB0B41">
        <w:rPr>
          <w:b/>
          <w:bCs/>
        </w:rPr>
        <w:t>2023</w:t>
      </w:r>
      <w:r w:rsidRPr="00BB0B41">
        <w:rPr/>
        <w:t xml:space="preserve">, </w:t>
      </w:r>
      <w:r w:rsidRPr="00BB0B41">
        <w:rPr>
          <w:i/>
          <w:iCs/>
        </w:rPr>
        <w:t>857</w:t>
      </w:r>
      <w:r w:rsidRPr="00BB0B41">
        <w:rPr/>
        <w:t>, 159323, doi:10.1016/j.scitotenv.2022.159323.</w:t>
      </w:r>
    </w:p>
    <w:p w14:paraId="3A68FF26" w14:textId="77777777" w:rsidR="009C6330" w:rsidRPr="00BB0B41" w:rsidRDefault="00096756">
      <w:pPr>
        <w:pStyle w:val="Bibliography"/>
      </w:pPr>
      <w:r w:rsidRPr="00BB0B41">
        <w:rPr/>
        <w:t>14.</w:t>
      </w:r>
      <w:r w:rsidRPr="00BB0B41">
        <w:rPr/>
        <w:tab/>
        <w:t xml:space="preserve">Mierczynska-Vasilev, A. The Future of Wine Packaging — A Perspective. </w:t>
      </w:r>
      <w:r w:rsidRPr="00BB0B41">
        <w:rPr>
          <w:i/>
        </w:rPr>
        <w:t xml:space="preserve">Sustain. Agric. Environ. </w:t>
      </w:r>
      <w:r w:rsidRPr="00BB0B41">
        <w:rPr>
          <w:b/>
        </w:rPr>
        <w:t>2024</w:t>
      </w:r>
      <w:r w:rsidRPr="00BB0B41">
        <w:rPr/>
        <w:t xml:space="preserve">, </w:t>
      </w:r>
      <w:r w:rsidRPr="00BB0B41">
        <w:rPr>
          <w:i/>
        </w:rPr>
        <w:t>1</w:t>
      </w:r>
      <w:r w:rsidRPr="00BB0B41">
        <w:rPr/>
        <w:t>, 3506, doi:10.1002/sae2.3506.</w:t>
      </w:r>
    </w:p>
    <w:p w14:paraId="69111B29" w14:textId="77777777" w:rsidR="009C6330" w:rsidRPr="00BB0B41" w:rsidRDefault="00096756">
      <w:pPr>
        <w:pStyle w:val="Bibliography"/>
      </w:pPr>
      <w:r w:rsidRPr="00BB0B41">
        <w:rPr/>
        <w:t xml:space="preserve">15. </w:t>
      </w:r>
      <w:r w:rsidRPr="00BB0B41">
        <w:rPr/>
        <w:tab/>
        <w:t xml:space="preserve">Tchouakeu Betnga, P.F.; Longo, E.; Poggesi, S.; Boselli, E. Effects of Transport Conditions on the Stability and Sensory Quality of Wines. </w:t>
      </w:r>
      <w:r w:rsidRPr="00BB0B41">
        <w:rPr>
          <w:i/>
          <w:iCs/>
        </w:rPr>
        <w:t>OENO One</w:t>
      </w:r>
      <w:r w:rsidRPr="00BB0B41">
        <w:rPr/>
        <w:t xml:space="preserve"> </w:t>
      </w:r>
      <w:r w:rsidRPr="00BB0B41">
        <w:rPr>
          <w:b/>
          <w:bCs/>
        </w:rPr>
        <w:t>2021</w:t>
      </w:r>
      <w:r w:rsidRPr="00BB0B41">
        <w:rPr/>
        <w:t xml:space="preserve">, </w:t>
      </w:r>
      <w:r w:rsidRPr="00BB0B41">
        <w:rPr>
          <w:i/>
          <w:iCs/>
        </w:rPr>
        <w:t>55</w:t>
      </w:r>
      <w:r w:rsidRPr="00BB0B41">
        <w:rPr/>
        <w:t>, doi:10.20870/oeno-one.2021.55.2.4524.</w:t>
      </w:r>
    </w:p>
    <w:p w14:paraId="504BE33D" w14:textId="77777777" w:rsidR="009C6330" w:rsidRPr="00BB0B41" w:rsidRDefault="00096756">
      <w:pPr>
        <w:pStyle w:val="Bibliography"/>
      </w:pPr>
      <w:r w:rsidRPr="00BB0B41">
        <w:rPr/>
        <w:t xml:space="preserve">16. </w:t>
      </w:r>
      <w:r w:rsidRPr="00BB0B41">
        <w:rPr/>
        <w:tab/>
        <w:t xml:space="preserve">Chung, H.-J.; Son, J.-H.; Park, E.-Y.; Kim, E.-J.; Lim, S.-T. Effect of Vibration and Storage on Some Physico-Chemical Properties of a Commercial Red Wine. </w:t>
      </w:r>
      <w:r w:rsidRPr="00BB0B41">
        <w:rPr>
          <w:i/>
          <w:iCs/>
        </w:rPr>
        <w:t>J. Food Compos. Anal.</w:t>
      </w:r>
      <w:r w:rsidRPr="00BB0B41">
        <w:rPr/>
        <w:t xml:space="preserve"> </w:t>
      </w:r>
      <w:r w:rsidRPr="00BB0B41">
        <w:rPr>
          <w:b/>
          <w:bCs/>
        </w:rPr>
        <w:t>2008</w:t>
      </w:r>
      <w:r w:rsidRPr="00BB0B41">
        <w:rPr/>
        <w:t xml:space="preserve">, </w:t>
      </w:r>
      <w:r w:rsidRPr="00BB0B41">
        <w:rPr>
          <w:i/>
          <w:iCs/>
        </w:rPr>
        <w:t>21</w:t>
      </w:r>
      <w:r w:rsidRPr="00BB0B41">
        <w:rPr/>
        <w:t>, 655–659, doi:10.1016/j.jfca.2008.07.004.</w:t>
      </w:r>
    </w:p>
    <w:p w14:paraId="0A5971DB" w14:textId="77777777" w:rsidR="009C6330" w:rsidRPr="00BB0B41" w:rsidRDefault="00096756">
      <w:pPr>
        <w:pStyle w:val="Bibliography"/>
      </w:pPr>
      <w:r w:rsidRPr="00BB0B41">
        <w:rPr/>
        <w:t xml:space="preserve">17. </w:t>
      </w:r>
      <w:r w:rsidRPr="00BB0B41">
        <w:rPr/>
        <w:tab/>
        <w:t xml:space="preserve">Ghidossi, R.; Poupot, C.; Thibon, C.; Pons, A.; Darriet, P.; Riquier, L.; De Revel, G.; Mietton Peuchot, M. The Influence of Packaging on Wine Conservation. </w:t>
      </w:r>
      <w:r w:rsidRPr="00BB0B41">
        <w:rPr>
          <w:i/>
          <w:iCs/>
        </w:rPr>
        <w:t>Food Control</w:t>
      </w:r>
      <w:r w:rsidRPr="00BB0B41">
        <w:rPr/>
        <w:t xml:space="preserve"> </w:t>
      </w:r>
      <w:r w:rsidRPr="00BB0B41">
        <w:rPr>
          <w:b/>
          <w:bCs/>
        </w:rPr>
        <w:t>2012</w:t>
      </w:r>
      <w:r w:rsidRPr="00BB0B41">
        <w:rPr/>
        <w:t xml:space="preserve">, </w:t>
      </w:r>
      <w:r w:rsidRPr="00BB0B41">
        <w:rPr>
          <w:i/>
          <w:iCs/>
        </w:rPr>
        <w:t>23</w:t>
      </w:r>
      <w:r w:rsidRPr="00BB0B41">
        <w:rPr/>
        <w:t>, 302–311, doi:10.1016/j.foodcont.2011.06.003.</w:t>
      </w:r>
    </w:p>
    <w:p w14:paraId="2471981B" w14:textId="77777777" w:rsidR="009C6330" w:rsidRPr="00BB0B41" w:rsidRDefault="00096756">
      <w:pPr>
        <w:pStyle w:val="Bibliography"/>
      </w:pPr>
      <w:r>
        <w:t xml:space="preserve">18. </w:t>
        <w:tab/>
        <w:t>Scrimgeour, N.; Nordestgaard, S.; Lloyd, N.D.R.; Wilkes, E.N. Exploring the Effect of Elevated Storage Temperature on Wine Composition. Aust. J. Grape Wine Res. 2015, 21, 713–722, doi:10.1111/ajgw.12196.</w:t>
      </w:r>
    </w:p>
    <w:p w14:paraId="34E50A78" w14:textId="77777777" w:rsidR="009C6330" w:rsidRPr="00BB0B41" w:rsidRDefault="00096756">
      <w:pPr>
        <w:pStyle w:val="Bibliography"/>
      </w:pPr>
      <w:r>
        <w:t xml:space="preserve">19. </w:t>
        <w:tab/>
        <w:t>Hopfer, H.; Buffon, P.A.; Ebeler, S.E.; Heymann, H. The Combined Effects of Storage Temperature and Packaging on the Sensory, Chemical, and Physical Properties of a Cabernet Sauvignon Wine. J. Agric. Food Chem. 2013, 61, 3320–3334, doi:10.1021/jf3051736.</w:t>
      </w:r>
    </w:p>
    <w:p w14:paraId="51CF5C15" w14:textId="77777777" w:rsidR="009C6330" w:rsidRPr="00BB0B41" w:rsidRDefault="00096756">
      <w:pPr>
        <w:pStyle w:val="Bibliography"/>
      </w:pPr>
      <w:r>
        <w:t>20.</w:t>
        <w:tab/>
        <w:t>Mercanti, N.; Macaluso, M.; Pieracci, Y.; Bertonelli, L.; Flamini, G.; Zinnai, A. Influence of Microbial Treatments on Vine Growth and Must Quality: Preliminary Results. Plants 2024, 13, 3168, doi:10.3390/plants13223168.</w:t>
      </w:r>
    </w:p>
    <w:p w14:paraId="1B0C7E34" w14:textId="77777777" w:rsidR="009C6330" w:rsidRPr="00BB0B41" w:rsidRDefault="00096756">
      <w:pPr>
        <w:pStyle w:val="Bibliography"/>
      </w:pPr>
      <w:r>
        <w:t xml:space="preserve">21. </w:t>
        <w:tab/>
        <w:t>Malherbe, S.; Bauer, F.F.; Du Toit, M. Understanding Problem Fermentations - A Review. South Afr. J. Enol. Vitic. 2007, 28, 169–186, doi:10.21548/28-2-1471.</w:t>
      </w:r>
    </w:p>
    <w:p w14:paraId="49524BEF" w14:textId="77777777" w:rsidR="009C6330" w:rsidRPr="00BB0B41" w:rsidRDefault="00096756">
      <w:pPr>
        <w:pStyle w:val="Bibliography"/>
      </w:pPr>
      <w:r>
        <w:t>22.</w:t>
        <w:tab/>
        <w:t>Mercanti, N.; Pieracci, Y.; Macaluso, M.; Fedel, M.; Brazzarola, F.; Palla, F.; Verdini, P.G.; Zinnai, A. Exploring Red Wine Aging: Comparative Analysis of Cellar and Sea Underwater Aging on Chemical Composition and Quality. Foods 2024, 13, 1812, doi:10.3390/foods13121812.</w:t>
      </w:r>
    </w:p>
    <w:p w14:paraId="7537EEC1" w14:textId="77777777" w:rsidR="009C6330" w:rsidRPr="00BB0B41" w:rsidRDefault="00096756">
      <w:pPr>
        <w:pStyle w:val="Bibliography"/>
      </w:pPr>
      <w:r>
        <w:t>23.</w:t>
        <w:tab/>
        <w:t>TE Connectivity. MS5803-05BA Miniature Altimeter and Diving Module — Data Sheet; TE Connectivity: Schaffhausen, Switzerland, 2017.</w:t>
      </w:r>
    </w:p>
    <w:p w14:paraId="7DCF67A2" w14:textId="77777777" w:rsidR="009C6330" w:rsidRPr="00BB0B41" w:rsidRDefault="00096756">
      <w:pPr>
        <w:pStyle w:val="Bibliography"/>
      </w:pPr>
      <w:r>
        <w:t>24.</w:t>
        <w:tab/>
        <w:t>Adafruit Industries. ESP-M2 Board (ESP8285) — Product Documentation. Available online: https://www.adafruit.com (accessed on 15 July 2026).</w:t>
      </w:r>
    </w:p>
    <w:p w14:paraId="18C7A611" w14:textId="77777777" w:rsidR="009C6330" w:rsidRPr="00BB0B41" w:rsidRDefault="00096756">
      <w:pPr>
        <w:pStyle w:val="Bibliography"/>
      </w:pPr>
      <w:r>
        <w:t>25.</w:t>
        <w:tab/>
        <w:t>Langsrud, Ø. ANOVA for Unbalanced Data: Use Type II Instead of Type III Sums of Squares. Stat. Comput. 2003, 13, 163–167, doi:10.1023/A:1023260610025.</w:t>
      </w:r>
    </w:p>
    <w:p w14:paraId="3E3AA986" w14:textId="77777777" w:rsidR="009C6330" w:rsidRPr="00BB0B41" w:rsidRDefault="00096756">
      <w:pPr>
        <w:pStyle w:val="Bibliography"/>
      </w:pPr>
      <w:r>
        <w:t>26.</w:t>
        <w:tab/>
        <w:t>Seabold, S.; Perktold, J. Statsmodels: Econometric and Statistical Modeling with Python. In Proceedings of the 9th Python in Science Conference; Austin, TX, USA, 2010; pp. 92–96, doi:10.25080/Majora-92bf1922-011.</w:t>
      </w:r>
    </w:p>
    <w:p w14:paraId="6B86613A" w14:textId="77777777" w:rsidR="009C6330" w:rsidRPr="00BB0B41" w:rsidRDefault="00096756">
      <w:pPr>
        <w:pStyle w:val="Bibliography"/>
      </w:pPr>
      <w:r/>
    </w:p>
    <w:p w14:paraId="1D4CEF53" w14:textId="77777777" w:rsidR="009C6330" w:rsidRPr="00BB0B41" w:rsidRDefault="00096756">
      <w:pPr>
        <w:pStyle w:val="Bibliography"/>
      </w:pPr>
      <w:r/>
    </w:p>
    <w:p w14:paraId="2B86035E" w14:textId="77777777" w:rsidR="009C6330" w:rsidRPr="00BB0B41" w:rsidRDefault="00096756">
      <w:pPr>
        <w:pStyle w:val="MDPI21heading1"/>
        <w:ind w:left="0"/>
      </w:pPr>
      <w:r w:rsidRPr="00BB0B41">
        <w:rPr/>
      </w:r>
    </w:p>
    <w:p w14:paraId="4F3BFA2D" w14:textId="77777777" w:rsidR="009C6330" w:rsidRDefault="00096756">
      <w:pPr>
        <w:pStyle w:val="MDPI63notes"/>
      </w:pPr>
      <w:r w:rsidRPr="00BB0B41">
        <w:rPr>
          <w:b/>
        </w:rPr>
        <w:t>Disclaimer/Publisher’s Note:</w:t>
      </w:r>
      <w:r w:rsidRPr="00BB0B41">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