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 3</w:t>
      </w:r>
    </w:p>
    <w:p>
      <w:r>
        <w:t>Manuscript: "In-Bag Pressure and Temperature Monitoring of Palletised 3-L Bag-in-Box Wine under Static Chamber Conditions"</w:t>
      </w:r>
    </w:p>
    <w:p>
      <w:r>
        <w:t>We thank Reviewer 3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nominal chamber set points are clearly distinguished from measured in-bag temperatures. These analyses improve the transparency and traceability of the reported results but do not alter the underlying experimental design or its limitations.</w:t>
      </w:r>
    </w:p>
    <w:p>
      <w:pPr>
        <w:pStyle w:val="Heading2"/>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confirmed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2"/>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2"/>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2"/>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