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t>In-Bag Pressure and Temperature Monitoring of Palletised 3-L Bag-in-Box Wine under Static Chamber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t>Bag-in-Box (BiB) packaging can reduce the logistical and environmental burden of wine exports, but its behaviour under combined stacking and thermal stress is still poorly documented. This study monitored 3-L BiB units during a 20-day static chamber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In the nominal 19 °C chamber, top and bottom units averaged 23.50 ± 0.21 °C and 22.84 ± 0.30 °C, respectively. Internal pressure traces shared a broad common-mode pattern, and no barometric reference was logged. In the uncorrected exploratory sensor-level analysis, bottom-position BiBs had a larger peak baseline-referred pressure increase than top-position BiBs (adjusted difference 20.4 mbar; 95% CI 4.8-35.9 mbar; F(1,8) = 9.14; p = 0.017), but the position term for each sensor's maximum common-mode residual was not statistically detectable (F(1,8) = 3.21; p = 0.111). The pressure findings are therefore interpreted as transient position-related offsets superimposed on common-mode absolute-pressure variation. Bulk wine from the nominally warmer chamber showed lower free and total SO₂ and higher volatile acidity after 20 days. It also had a numerically higher lactic-acid value, but the chemistry data were not resolved by stack position and raw chemical replicates were unavailable. In the verification trial, sensor maxima ranged from 45.0 to 48.8 °C and no in-bag sensor reached 50 °C. The results support selected sentinel sensing to document actual package conditions,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static chamber storage intended to approximate selected logistics stresses, or about how measured in-package thermal exposure compares with nominal chamber settings.</w:t>
      </w:r>
    </w:p>
    <w:p w14:paraId="2C6E7491" w14:textId="77777777" w:rsidR="009C6330" w:rsidRPr="00BB0B41" w:rsidRDefault="00096756">
      <w:pPr>
        <w:pStyle w:val="MDPI31text"/>
      </w:pPr>
      <w:r>
        <w:t>The present work was designed to test whether stack position and a severe nominal chamber condition measurably affected internal pressure and selected chemical parameters of commercial 3-L BiB white wine under static chamber storage.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t>The purpose of the work was to investigate selected storage stresses that wine packages may encounter during export logistics under static chamber conditions. The study did not reproduce vibration, humidity, diurnal thermal cycling or a full container thermal profile. It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Condition 2: chamber nominally set at 50 °C, selected as a deliberately severe nominal set point relevant to worst-case non-refrigerated storage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available experimental records did not include the chamber model, chamber volume, fan power, airflow rate, or a formal pallet-occupancy ratio. These unrecorded chamber characteristics limit diagnosis of the thermal mismatch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available pressure/temperature records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It resolves pressure to 0.036-0.195 mbar, depending on the oversampling ratio, and temperature to better than 0.01 °C. The specified pressure accuracy is ±1.5 mbar between 300 and 1100 mbar at 20 °C, widening to ±100 mbar over the full 0-5 bar and 0-50 °C envelope. Long-term pressure stability is specified as ±1 mbar per year, and temperature accuracy as ±2.5 °C. The sensor was driven by an ESP8285 microcontroller on an ESP-M2 board (Adafruit) [25] and powered by a lithium battery. The assembly was enclosed in an oil-filled plastic casing. The oil transmitted wine pressure to the transducer and dispersed the small amount of heat released by the electronics, whose draw is below 1 mA. The casing was introduced into each bag through the existing filling/dispensing valve before final sealing. The multilayer film was therefore not punctured. Sealing then followed the standard filling-line procedure, which was intended to minimise leakage and artificial perturbation of internal pressure.</w:t>
      </w:r>
    </w:p>
    <w:p w14:paraId="315C9426" w14:textId="77777777" w:rsidR="009C6330" w:rsidRPr="00BB0B41" w:rsidRDefault="00096756">
      <w:pPr>
        <w:pStyle w:val="MDPI31text"/>
        <w:spacing w:line="240" w:lineRule="auto"/>
        <w:ind w:left="2550"/>
      </w:pPr>
      <w: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t>One-way analysis of variance was performed using CoStat, Version 6.451, CoHort 6.0 Software (Pacific Grove, CA, USA) to assess differences in the compositional parameters among the investigated samples. Means were separated by Tukey's post hoc test at p ≤ 0.05. Re-examination of the available original experimental records showed that raw chemical replicate data were not retained. The lactic-acid SD for the nominal 50 °C chamber was traced to the originally submitted Table 2 (0.29 ± 0.02 g/L); no primary experimental record supported the alternative 0.20 g/L SD.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Because the next available record is at 0.020833 d, this threshold selected only the time-zero reading. The final scripts therefore select the initial valid pressure reading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using the commented script, raw-workbook extraction path and derived per-sensor summaries prepared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t>The chemical comparison concerns wine from the main trial grouped by nominal chamber condition. The labels 19 °C and 50 °C in Table 2 denote chamber set points, not measured wine temperatures. Late in the main trial, in-bag sensors showed that the nominal 50 °C chamber produced 34.18 ± 0.36 °C at top sensors and 26.08 ± 0.23 °C at bottom sensors. Packages in the nominal 19 °C chamber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t>Lactic acid was numerically higher in the wine from the nominally warmer chamber (0.29 ± 0.02 g/L) than in the reference (0.16 ± 0.05 g/L) (Table 2). This difference is not treated as statistically verified because raw chemical replicates were unavailable. The 0.29 ± 0.02 g/L value is reported because it is traceable to the originally submitted Table 2; no primary experimental record supports the alternative 0.20 g/L SD. The available measurements do not identify the mechanism for this numerical difference. Malic acid did not decrease significantly (1.0 ± 0.16 g/L against 1.1 ± 0.23 g/L), so the data do not show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not as evidence that malolactic fermentation was absent.</w:t>
      </w:r>
    </w:p>
    <w:p w14:paraId="5AD82E97" w14:textId="3CCFEEEE" w:rsidR="009C6330" w:rsidRPr="00BB0B41" w:rsidRDefault="00096756">
      <w:pPr>
        <w:pStyle w:val="MDPI31text"/>
        <w:spacing w:line="240" w:lineRule="auto"/>
        <w:ind w:left="2550"/>
      </w:pPr>
      <w: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baseline-referred pressure showed a brief initial transient and then a broad rise-and-fall pattern. The traces also shared substantial common-mode behaviour, so the absolute pressure trajectory cannot be attributed only to package pressurisation and relaxation. Individual post-handling pressure maxima occurred between 85.0 and 138.5 h after the start of monitoring.</w:t>
      </w:r>
    </w:p>
    <w:p w14:paraId="360B9362" w14:textId="77777777" w:rsidR="009C6330" w:rsidRPr="00BB0B41" w:rsidRDefault="00096756">
      <w:pPr>
        <w:pStyle w:val="MDPI31text"/>
        <w:spacing w:line="240" w:lineRule="auto"/>
      </w:pPr>
      <w: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original main-trial pressure records showed that including the first five hours did not change the primary peak-pressure endpoint: for all 11 usable sensors, the full-record maximum ΔP was the same as the post-handling maximum. Early short-term pressure rankings differed among sensors, and the available records contain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t>After the handling window, uncorrected pressure summaries peaked between about days 3.5 and 5.8, at about 56-94 mbar above each sensor's own baseline. Mean peak ΔP was 83.0 ± 17.2 mbar in bottom units and 66.6 ± 10.1 mbar in top units under the nominal 50 °C chamber condition. Under the nominal 19 °C condition, the corresponding values were 84.8 ± 8.8 mbar and 59.6 ± 5.1 mbar (Figure 5A). In the exploratory sensor-level Type II two-way ANOVA, stack position was associated with uncorrected peak ΔP (F(1,8) = 9.14; p = 0.017). The adjusted bottom-minus-top difference was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However, internal diagnostics showed strong common-mode structure across traces: leave-one-out correlations between each sensor and the mean of the remaining sensors averaged 0.94. When a global common-mode trace was subtracted and each sensor's maximum residual was analysed, the position term was not statistically detectable (F(1,8) = 3.21; p = 0.111; adjusted bottom-minus-top difference 14.4 mbar, 95% CI -4.1 to 32.9 mbar). Residuals at the original uncorrected peak times still showed a bottom-position offset (F(1,8) = 9.02; p = 0.017), and leave-one-out analysis of the uncorrected endpoint gave position p-values from 0.0007 to 0.051. The pressure result is therefore interpreted as an exploratory transient position-related offset superimposed on common-mode absolute-pressure variation.</w:t>
      </w:r>
    </w:p>
    <w:p w14:paraId="32DE078B" w14:textId="77777777" w:rsidR="009C6330" w:rsidRPr="00BB0B41" w:rsidRDefault="00096756">
      <w:pPr>
        <w:pStyle w:val="MDPI31text"/>
        <w:spacing w:line="240" w:lineRule="auto"/>
      </w:pPr>
      <w: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gradually but remained far below the set point: 34.18 ± 0.36 °C at the top of the stacks and 26.08 ± 0.23 °C at the bottom during the late storage window. The warmest individual main-trial sensor reached 35.3 °C. By the end of storage, these temperatures were stable far below the nominal set point. This suggests sustained under-delivery and/or stratification of the effective thermal environment rather than only a short transient lag. Because no chamber-air logger was recorded, the chamber mechanism cannot be resolved.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t>Taken together, the physical and chemical measurements identify different response patterns, but they do not support a strict causal division between palletisation and temperature. The pressure measurements were position-resolved and showed transient position-related offsets in ΔP, superimposed on a common-mode absolute-pressure component. The chemical measurements were bulk samples grouped by nominal chamber condition and were not resolved by stack position. The data support a practical distinction between the measurement types. Pressure monitoring identified position-related sensor offsets rather than a definitive mechanical-driver effect. Bulk chemical measurements indicated lower SO₂ and selected acidity differences under the nominally warmer chamber condition. The study does not show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uncorrected pressure peak, bottom-position BiBs had a larger ΔP than top-position BiBs in the exploratory sensor-level analysis. The two-way ANOVA gave F(1,8) = 9.14 and p = 0.017. An internal common-mode sensitivity analysis is reported in Section 3.2; the uncorrected p-value should be interpreted as exploratory rather than definitive.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no primary experimental record supported the alternative 0.20 g/L SD.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tblGrid>
      <w:tr w:rsidR="009C6330" w:rsidRPr="00BB0B41" w14:paraId="3AA1E47C" w14:textId="77777777">
        <w:trPr>
          <w:trHeight w:val="1220"/>
        </w:trPr>
        <w:tc>
          <w:tcPr>
            <w:tcW w:w="836" w:type="dxa"/>
            <w:tcBorders>
              <w:left w:val="nil"/>
              <w:right w:val="nil"/>
            </w:tcBorders>
            <w:vAlign w:val="center"/>
          </w:tcPr>
          <w:p>
            <w:r>
              <w:t>Sample</w:t>
            </w:r>
          </w:p>
        </w:tc>
        <w:tc>
          <w:tcPr>
            <w:tcW w:w="1149" w:type="dxa"/>
            <w:tcBorders>
              <w:left w:val="nil"/>
              <w:right w:val="nil"/>
            </w:tcBorders>
            <w:vAlign w:val="center"/>
          </w:tcPr>
          <w:p>
            <w:r>
              <w:t>Lactic Acid (g/L)</w:t>
            </w:r>
          </w:p>
        </w:tc>
        <w:tc>
          <w:tcPr>
            <w:tcW w:w="1134" w:type="dxa"/>
            <w:tcBorders>
              <w:left w:val="nil"/>
              <w:right w:val="nil"/>
            </w:tcBorders>
            <w:vAlign w:val="center"/>
          </w:tcPr>
          <w:p>
            <w:r>
              <w:t>Malic Acid (g/L)</w:t>
            </w:r>
          </w:p>
        </w:tc>
        <w:tc>
          <w:tcPr>
            <w:tcW w:w="850" w:type="dxa"/>
            <w:tcBorders>
              <w:left w:val="nil"/>
              <w:right w:val="nil"/>
            </w:tcBorders>
            <w:vAlign w:val="center"/>
          </w:tcPr>
          <w:p>
            <w:r>
              <w:t>pH</w:t>
            </w:r>
          </w:p>
        </w:tc>
        <w:tc>
          <w:tcPr>
            <w:tcW w:w="1070" w:type="dxa"/>
            <w:tcBorders>
              <w:left w:val="nil"/>
              <w:right w:val="nil"/>
            </w:tcBorders>
            <w:vAlign w:val="center"/>
          </w:tcPr>
          <w:p>
            <w:r>
              <w:t>Titratable acidity (g/L of tartaric acid)</w:t>
            </w:r>
          </w:p>
        </w:tc>
        <w:tc>
          <w:tcPr>
            <w:tcW w:w="1289" w:type="dxa"/>
            <w:tcBorders>
              <w:left w:val="nil"/>
              <w:right w:val="nil"/>
            </w:tcBorders>
            <w:vAlign w:val="center"/>
          </w:tcPr>
          <w:p>
            <w:r>
              <w:t>Volatile acidity (g/L of acetic acid)</w:t>
            </w:r>
          </w:p>
        </w:tc>
        <w:tc>
          <w:tcPr>
            <w:tcW w:w="1173" w:type="dxa"/>
            <w:tcBorders>
              <w:left w:val="nil"/>
              <w:right w:val="nil"/>
            </w:tcBorders>
            <w:vAlign w:val="center"/>
          </w:tcPr>
          <w:p>
            <w:r>
              <w:t>Total phenols (g/L of catechins)</w:t>
            </w:r>
          </w:p>
        </w:tc>
        <w:tc>
          <w:tcPr>
            <w:tcW w:w="1173" w:type="dxa"/>
            <w:tcBorders>
              <w:left w:val="nil"/>
              <w:right w:val="nil"/>
            </w:tcBorders>
            <w:vAlign w:val="center"/>
          </w:tcPr>
          <w:p>
            <w:r>
              <w:t>Ethanol content (%v/v)</w:t>
            </w:r>
          </w:p>
        </w:tc>
        <w:tc>
          <w:tcPr>
            <w:tcW w:w="1171" w:type="dxa"/>
            <w:tcBorders>
              <w:left w:val="nil"/>
              <w:right w:val="nil"/>
            </w:tcBorders>
            <w:vAlign w:val="center"/>
          </w:tcPr>
          <w:p>
            <w:r>
              <w:t>Total Sulphur dioxide content</w:t>
              <w:br/>
              <w:t>(mg/L)</w:t>
            </w:r>
          </w:p>
        </w:tc>
        <w:tc>
          <w:tcPr>
            <w:tcW w:w="1177" w:type="dxa"/>
            <w:tcBorders>
              <w:left w:val="nil"/>
              <w:right w:val="nil"/>
            </w:tcBorders>
            <w:vAlign w:val="center"/>
          </w:tcPr>
          <w:p>
            <w:r>
              <w:t>Free Sulphur dioxide content</w:t>
              <w:br/>
              <w:t>(mg/L)</w:t>
            </w:r>
          </w:p>
        </w:tc>
      </w:tr>
      <w:tr w:rsidR="009C6330" w:rsidRPr="00BB0B41" w14:paraId="14A84AE7" w14:textId="77777777">
        <w:trPr>
          <w:trHeight w:val="883"/>
        </w:trPr>
        <w:tc>
          <w:tcPr>
            <w:tcW w:w="836" w:type="dxa"/>
            <w:tcBorders>
              <w:left w:val="nil"/>
              <w:bottom w:val="nil"/>
              <w:right w:val="nil"/>
            </w:tcBorders>
            <w:vAlign w:val="center"/>
          </w:tcPr>
          <w:p>
            <w:r>
              <w:t>Wine from nominal 19 °C chamber</w:t>
            </w:r>
          </w:p>
        </w:tc>
        <w:tc>
          <w:tcPr>
            <w:tcW w:w="1149" w:type="dxa"/>
            <w:tcBorders>
              <w:left w:val="nil"/>
              <w:bottom w:val="nil"/>
              <w:right w:val="nil"/>
            </w:tcBorders>
            <w:vAlign w:val="center"/>
          </w:tcPr>
          <w:p>
            <w:r>
              <w:t>0.16 ± 0.05</w:t>
            </w:r>
          </w:p>
        </w:tc>
        <w:tc>
          <w:tcPr>
            <w:tcW w:w="1134" w:type="dxa"/>
            <w:tcBorders>
              <w:left w:val="nil"/>
              <w:bottom w:val="nil"/>
              <w:right w:val="nil"/>
            </w:tcBorders>
            <w:vAlign w:val="center"/>
          </w:tcPr>
          <w:p>
            <w:r>
              <w:t>1.1 ± 0.23A</w:t>
            </w:r>
          </w:p>
        </w:tc>
        <w:tc>
          <w:tcPr>
            <w:tcW w:w="850" w:type="dxa"/>
            <w:tcBorders>
              <w:left w:val="nil"/>
              <w:bottom w:val="nil"/>
              <w:right w:val="nil"/>
            </w:tcBorders>
            <w:vAlign w:val="center"/>
          </w:tcPr>
          <w:p>
            <w:r>
              <w:t>3.4 ± 0.1A</w:t>
            </w:r>
          </w:p>
        </w:tc>
        <w:tc>
          <w:tcPr>
            <w:tcW w:w="1070" w:type="dxa"/>
            <w:tcBorders>
              <w:left w:val="nil"/>
              <w:bottom w:val="nil"/>
              <w:right w:val="nil"/>
            </w:tcBorders>
            <w:vAlign w:val="center"/>
          </w:tcPr>
          <w:p>
            <w:r>
              <w:t>6.6 ± 0.04A</w:t>
            </w:r>
          </w:p>
        </w:tc>
        <w:tc>
          <w:tcPr>
            <w:tcW w:w="1289" w:type="dxa"/>
            <w:tcBorders>
              <w:left w:val="nil"/>
              <w:bottom w:val="nil"/>
              <w:right w:val="nil"/>
            </w:tcBorders>
            <w:vAlign w:val="center"/>
          </w:tcPr>
          <w:p>
            <w:r>
              <w:t>0.30 ± 0.02B</w:t>
            </w:r>
          </w:p>
        </w:tc>
        <w:tc>
          <w:tcPr>
            <w:tcW w:w="1173" w:type="dxa"/>
            <w:tcBorders>
              <w:left w:val="nil"/>
              <w:bottom w:val="nil"/>
              <w:right w:val="nil"/>
            </w:tcBorders>
            <w:vAlign w:val="center"/>
          </w:tcPr>
          <w:p>
            <w:r>
              <w:t>1.02 ± 0.12A</w:t>
            </w:r>
          </w:p>
        </w:tc>
        <w:tc>
          <w:tcPr>
            <w:tcW w:w="1173" w:type="dxa"/>
            <w:tcBorders>
              <w:left w:val="nil"/>
              <w:bottom w:val="nil"/>
              <w:right w:val="nil"/>
            </w:tcBorders>
            <w:vAlign w:val="center"/>
          </w:tcPr>
          <w:p>
            <w:r>
              <w:t>11.6 ± 0.6A</w:t>
            </w:r>
          </w:p>
        </w:tc>
        <w:tc>
          <w:tcPr>
            <w:tcW w:w="1171" w:type="dxa"/>
            <w:tcBorders>
              <w:left w:val="nil"/>
              <w:bottom w:val="nil"/>
              <w:right w:val="nil"/>
            </w:tcBorders>
            <w:vAlign w:val="center"/>
          </w:tcPr>
          <w:p>
            <w:r>
              <w:t>50 ± 5.5A</w:t>
            </w:r>
          </w:p>
        </w:tc>
        <w:tc>
          <w:tcPr>
            <w:tcW w:w="1177" w:type="dxa"/>
            <w:tcBorders>
              <w:left w:val="nil"/>
              <w:bottom w:val="nil"/>
              <w:right w:val="nil"/>
            </w:tcBorders>
            <w:vAlign w:val="center"/>
          </w:tcPr>
          <w:p>
            <w:r>
              <w:t>31 ± 2.5A</w:t>
            </w:r>
          </w:p>
        </w:tc>
      </w:tr>
      <w:tr w:rsidR="009C6330" w:rsidRPr="00BB0B41" w14:paraId="632DC6E7" w14:textId="77777777">
        <w:trPr>
          <w:trHeight w:val="764"/>
        </w:trPr>
        <w:tc>
          <w:tcPr>
            <w:tcW w:w="836" w:type="dxa"/>
            <w:tcBorders>
              <w:top w:val="nil"/>
              <w:left w:val="nil"/>
              <w:right w:val="nil"/>
            </w:tcBorders>
            <w:vAlign w:val="center"/>
          </w:tcPr>
          <w:p>
            <w:r>
              <w:t>Wine from nominal 50 °C chamber</w:t>
            </w:r>
          </w:p>
        </w:tc>
        <w:tc>
          <w:tcPr>
            <w:tcW w:w="1149" w:type="dxa"/>
            <w:tcBorders>
              <w:top w:val="nil"/>
              <w:left w:val="nil"/>
              <w:right w:val="nil"/>
            </w:tcBorders>
            <w:vAlign w:val="center"/>
          </w:tcPr>
          <w:p>
            <w:r>
              <w:t>0.29 ± 0.02</w:t>
            </w:r>
          </w:p>
        </w:tc>
        <w:tc>
          <w:tcPr>
            <w:tcW w:w="1134" w:type="dxa"/>
            <w:tcBorders>
              <w:top w:val="nil"/>
              <w:left w:val="nil"/>
              <w:right w:val="nil"/>
            </w:tcBorders>
            <w:vAlign w:val="center"/>
          </w:tcPr>
          <w:p>
            <w:r>
              <w:t>1.0 ± 0.16A</w:t>
            </w:r>
          </w:p>
        </w:tc>
        <w:tc>
          <w:tcPr>
            <w:tcW w:w="850" w:type="dxa"/>
            <w:tcBorders>
              <w:top w:val="nil"/>
              <w:left w:val="nil"/>
              <w:right w:val="nil"/>
            </w:tcBorders>
            <w:vAlign w:val="center"/>
          </w:tcPr>
          <w:p>
            <w:r>
              <w:t>3.4 ± 0.1A</w:t>
            </w:r>
          </w:p>
        </w:tc>
        <w:tc>
          <w:tcPr>
            <w:tcW w:w="1070" w:type="dxa"/>
            <w:tcBorders>
              <w:top w:val="nil"/>
              <w:left w:val="nil"/>
              <w:right w:val="nil"/>
            </w:tcBorders>
            <w:vAlign w:val="center"/>
          </w:tcPr>
          <w:p>
            <w:r>
              <w:t>6.6 ± 0.13A</w:t>
            </w:r>
          </w:p>
        </w:tc>
        <w:tc>
          <w:tcPr>
            <w:tcW w:w="1289" w:type="dxa"/>
            <w:tcBorders>
              <w:top w:val="nil"/>
              <w:left w:val="nil"/>
              <w:right w:val="nil"/>
            </w:tcBorders>
            <w:vAlign w:val="center"/>
          </w:tcPr>
          <w:p>
            <w:r>
              <w:t>0.39 ± 0.03A</w:t>
            </w:r>
          </w:p>
        </w:tc>
        <w:tc>
          <w:tcPr>
            <w:tcW w:w="1173" w:type="dxa"/>
            <w:tcBorders>
              <w:top w:val="nil"/>
              <w:left w:val="nil"/>
              <w:right w:val="nil"/>
            </w:tcBorders>
            <w:vAlign w:val="center"/>
          </w:tcPr>
          <w:p>
            <w:r>
              <w:t>1.10 ± 0.07A</w:t>
            </w:r>
          </w:p>
        </w:tc>
        <w:tc>
          <w:tcPr>
            <w:tcW w:w="1173" w:type="dxa"/>
            <w:tcBorders>
              <w:top w:val="nil"/>
              <w:left w:val="nil"/>
              <w:right w:val="nil"/>
            </w:tcBorders>
            <w:vAlign w:val="center"/>
          </w:tcPr>
          <w:p>
            <w:r>
              <w:t>11.6 ± 0.9A</w:t>
            </w:r>
          </w:p>
        </w:tc>
        <w:tc>
          <w:tcPr>
            <w:tcW w:w="1171" w:type="dxa"/>
            <w:tcBorders>
              <w:top w:val="nil"/>
              <w:left w:val="nil"/>
              <w:right w:val="nil"/>
            </w:tcBorders>
            <w:vAlign w:val="center"/>
          </w:tcPr>
          <w:p>
            <w:r>
              <w:t>25 ± 8.2B</w:t>
            </w:r>
          </w:p>
        </w:tc>
        <w:tc>
          <w:tcPr>
            <w:tcW w:w="1177" w:type="dxa"/>
            <w:tcBorders>
              <w:top w:val="nil"/>
              <w:left w:val="nil"/>
              <w:right w:val="nil"/>
            </w:tcBorders>
            <w:vAlign w:val="center"/>
          </w:tcPr>
          <w:p>
            <w:r>
              <w:t>16 ± 1.8B</w:t>
            </w:r>
          </w:p>
        </w:tc>
      </w:tr>
      <w:tr w:rsidR="009C6330" w:rsidRPr="00BB0B41" w14:paraId="6C054B93" w14:textId="77777777">
        <w:trPr>
          <w:trHeight w:val="764"/>
        </w:trPr>
        <w:tc>
          <w:tcPr>
            <w:tcW w:w="11037" w:type="dxa"/>
            <w:gridSpan w:val="10"/>
            <w:tcBorders>
              <w:left w:val="nil"/>
              <w:right w:val="nil"/>
            </w:tcBorders>
            <w:vAlign w:val="center"/>
          </w:tcPr>
          <w:p>
            <w: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pattern is consistent with flexible BiB package accommodation of thermal expansion, but the simultaneous movement of the traces also indicates a common-mode component. Because no barometric reference was logged, absolute ΔP traces should not be interpreted as package pressure alone. Because the verification trial used one stack and one configuration, it should be read as supporting evidence for that stack only. It does not show that temperature cannot affect BiB pressure under other configurations.</w:t>
      </w:r>
    </w:p>
    <w:p w14:paraId="55930FBC" w14:textId="77777777" w:rsidR="009C6330" w:rsidRPr="00BB0B41" w:rsidRDefault="00096756" w:rsidP="00FA0DF4">
      <w:pPr>
        <w:pStyle w:val="MDPI31text"/>
        <w:spacing w:line="240" w:lineRule="auto"/>
        <w:ind w:left="0" w:firstLine="0"/>
      </w:pPr>
      <w: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retained in the available study records. No microbiological measurements, viable cell counts, sensory analysis or post-transport storage follow-up were performed; therefore malolactic or other microbial contributions cannot be excluded and the consequences of lower SO₂ reserve remain potential implications rather than measured outcomes.</w:t>
      </w:r>
    </w:p>
    <w:p w14:paraId="46B68C1B" w14:textId="77777777" w:rsidR="009C6330" w:rsidRPr="00BB0B41" w:rsidRDefault="00096756">
      <w:pPr>
        <w:pStyle w:val="MDPI31text"/>
      </w:pPr>
      <w: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chamber-air temperature and pallet occupancy were not recorded, preventing a definitive diagnosis of sustained under-delivery, stratification or heat-transfer limitation. There was also only one chamber per nominal set point, so chamber identity and nominal condition are confounded.</w:t>
      </w:r>
    </w:p>
    <w:p w14:paraId="46B68C1B" w14:textId="77777777" w:rsidR="009C6330" w:rsidRPr="00BB0B41" w:rsidRDefault="00096756">
      <w:pPr>
        <w:pStyle w:val="MDPI31text"/>
      </w:pPr>
      <w:r>
        <w:t>The pressure analysis is limited by eleven usable traces, one missing bottom-position sensor, an unbalanced cell of n = 2, possible within-stack pairing of top and bottom observations, and a narrow stack-height range in which height was not independently replicated. The available raw workbook contains the pressure/temperature trajectories, but it does not retain stack IDs or sensor-to-stack pairings for a paired stack-level analysis. No barometric reference sensor was logged. Internal diagnostics showed strong common-mode correlations among pressure traces, and the uncorrected peak-position result was not robust to all endpoint definitions. The original peak endpoint was mostly stable in leave-one-out analysis, but one deletion gave p = 0.051; when each sensor's maximum common-mode residual was analysed, the position term was not statistically detectable. Baseline referencing reduces static sensor offsets, but it does not correct temperature-dependent pressure drift, ambient barometric variation, or possible perturbation from the oil-filled casing and displaced headspace. No bench calibration in the wine matrix was available. The first five hours were excluded from the primary storage analysis because they contained transport and stacking events. Sensitivity analysis showed that including this window did not change the pressure-peak endpoint. However,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t>Despite these limitations, the study illustrates why direct package-level measurement matters: chamber set points did not predict the realised wine temperature in the main trial, and sensor-level pressure summaries suggested position-related offsets under the tested stacking configuration. Future studies should include replicated chambers, chamber-air and barometric reference logging, bench calibration under relevant temperature and wine-matrix conditions,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t>This study monitored pressure and temperature inside 3-L Bag-in-Box wine units during static chamber storage intended to represent selected export-logistics stresses.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t>For pressure, bottom-position BiBs had a larger mean uncorrected peak ΔP than top-position BiBs under the tested stacking configuration, with an adjusted difference of 20.4 mbar in the exploratory sensor-level analysis (F(1,8) = 9.14; p = 0.017). Individual post-handling peaks occurred between about days 3.5 and 5.8. However, the pressure traces shared a strong common-mode pattern and no barometric reference was logged. The position term for each sensor's maximum common-mode residual was not statistically detectable (F(1,8) = 3.21; p = 0.111), although residuals at the original uncorrected peak times remained higher for bottom-position sensors. The pressure result is therefore best interpreted as an exploratory transient position-related offset superimposed on common-mode absolute-pressure variation. Including the first five hours did not change the uncorrected peak-pressure endpoint. No statistically detectable nominal chamber-condition effect was observed in this small dataset, and by day 20 neither sensor-level factor was statistically detectable. The experiment does not provide a separate, well-powered test of stack height.</w:t>
      </w:r>
    </w:p>
    <w:p w14:paraId="386F2AE7" w14:textId="77777777" w:rsidR="009C6330" w:rsidRPr="00BB0B41" w:rsidRDefault="00096756">
      <w:pPr>
        <w:pStyle w:val="MDPI31text"/>
        <w:spacing w:line="240" w:lineRule="auto"/>
        <w:ind w:left="2550"/>
      </w:pPr>
      <w: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with the same caveat about common-mode absolute-pressure components. Practical monitoring should therefore focus on selected sentinel packages or validation deployments that record actual in-package conditions and position-related pressure offsets,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t>Author Contributions: Conceptualization, M.M., F.P., P.G.V. and A.Z.; methodology, B.C. and N.M.; software, B.C.,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w:t>
      </w:r>
    </w:p>
    <w:p w14:paraId="21837E76" w14:textId="77777777" w:rsidR="009C6330" w:rsidRPr="00BB0B41" w:rsidRDefault="00096756">
      <w:pPr>
        <w:pStyle w:val="MDPI62backmatter"/>
      </w:pPr>
      <w:r>
        <w:t>All authors have read and agreed to the published version of the manuscript.</w:t>
      </w:r>
    </w:p>
    <w:p w14:paraId="4C97347B" w14:textId="77777777" w:rsidR="009C6330" w:rsidRPr="00BB0B41" w:rsidRDefault="00096756">
      <w:pPr>
        <w:pStyle w:val="MDPI62backmatter"/>
        <w:rPr>
          <w:rFonts w:eastAsiaTheme="minorEastAsia"/>
          <w:lang w:eastAsia="zh-CN"/>
        </w:rPr>
      </w:pPr>
      <w:r>
        <w:t>Funding: This research was funded by TRACEWINDU (Traceability at wine industry through integrated labelling of typicality, health protection effect and organoleptic attributes), a project co-funded by the Horizon 2020 Framework Programme of the European Union under Grant Agreement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t>Data Availability Statement: The pressure and temperature workbooks, analysis scripts and derived summaries used for the revised analyses are available from the corresponding author and can be deposited as supplementary files if required by the journal. Raw chemical replicate records, microbiological data, sensory data, shelf-life follow-up data and chamber-control metadata were not retained in the available study records.</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