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Reviewers</w:t>
      </w:r>
    </w:p>
    <w:p>
      <w:r>
        <w:rPr>
          <w:b/>
        </w:rPr>
        <w:t>Manuscript:</w:t>
      </w:r>
      <w:r>
        <w:t xml:space="preserve"> "Palletisation and In-Bag Thermal Exposure in Bag-in-Box Wine Packaging under Simulated Export Conditions"</w:t>
      </w:r>
    </w:p>
    <w:p>
      <w:r>
        <w:t>We thank Reviewer 2 and Reviewer 3 for their detailed assessment. In response to their comments, we undertook a comprehensive re-examination of the original experimental records and revised the manuscript accordingly. This included re-analysis of the main-trial pressure and temperature time-series,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1"/>
      </w:pPr>
      <w:r>
        <w:t>Reviewer 2</w:t>
      </w:r>
    </w:p>
    <w:p>
      <w:pPr>
        <w:pStyle w:val="Heading2"/>
      </w:pPr>
      <w:r>
        <w:t>R2.1 Main trial did not achieve 50 degC</w:t>
      </w:r>
    </w:p>
    <w:p>
      <w:pPr>
        <w:pStyle w:val="Heading2"/>
      </w:pPr>
      <w:r>
        <w:t>Reviewer Comment</w:t>
      </w:r>
    </w:p>
    <w:p>
      <w:pPr>
        <w:ind w:left="360"/>
      </w:pPr>
      <w:r>
        <w:rPr>
          <w:i/>
        </w:rPr>
        <w:t>The chamber was set at 50 degC, but the wine experienced about 25-34 degC; this changes the hypothesis test.</w:t>
      </w:r>
    </w:p>
    <w:p>
      <w:pPr>
        <w:pStyle w:val="Heading2"/>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2"/>
      </w:pPr>
      <w:r>
        <w:t>Changes in Manuscript</w:t>
      </w:r>
    </w:p>
    <w:p>
      <w:r>
        <w:t>The Title, Abstract, Sections 2, 3.1, 3.2, 3.4, Conclusions, captions and Table 2 now distinguish nominal chamber set point from measured in-bag temperature. The highlighted manuscript marks these changes.</w:t>
      </w:r>
    </w:p>
    <w:p>
      <w:pPr>
        <w:pStyle w:val="Heading2"/>
      </w:pPr>
      <w:r>
        <w:t>R2.2 Abstract</w:t>
      </w:r>
    </w:p>
    <w:p>
      <w:pPr>
        <w:pStyle w:val="Heading2"/>
      </w:pPr>
      <w:r>
        <w:t>Reviewer Comment</w:t>
      </w:r>
    </w:p>
    <w:p>
      <w:pPr>
        <w:ind w:left="360"/>
      </w:pPr>
      <w:r>
        <w:rPr>
          <w:i/>
        </w:rPr>
        <w:t>The Abstract should be condensed, restructured and explicit about the actual temperatures.</w:t>
      </w:r>
    </w:p>
    <w:p>
      <w:pPr>
        <w:pStyle w:val="Heading2"/>
      </w:pPr>
      <w:r>
        <w:t>Response</w:t>
      </w:r>
    </w:p>
    <w:p>
      <w:r>
        <w:t>The Abstract has been revised to reflect the re-analysis of the original experimental records. It now reports the late-temperature summaries, the exploratory pressure effect estimate, the absence of a statistically detectable nominal chamber-condition effect, the summary-only scope of the chemistry data, and the limited role of the verification trial.</w:t>
      </w:r>
    </w:p>
    <w:p>
      <w:pPr>
        <w:pStyle w:val="Heading2"/>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2"/>
      </w:pPr>
      <w:r>
        <w:t>R2.3 Chamber characteristics</w:t>
      </w:r>
    </w:p>
    <w:p>
      <w:pPr>
        <w:pStyle w:val="Heading2"/>
      </w:pPr>
      <w:r>
        <w:t>Reviewer Comment</w:t>
      </w:r>
    </w:p>
    <w:p>
      <w:pPr>
        <w:ind w:left="360"/>
      </w:pPr>
      <w:r>
        <w:rPr>
          <w:i/>
        </w:rPr>
        <w:t>Chamber model, air circulation, fan power, chamber volume and pallet occupancy should be provided.</w:t>
      </w:r>
    </w:p>
    <w:p>
      <w:pPr>
        <w:pStyle w:val="Heading2"/>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2"/>
      </w:pPr>
      <w:r>
        <w:t>Changes in Manuscript</w:t>
      </w:r>
    </w:p>
    <w:p>
      <w:r>
        <w:t>The Materials and Methods and Limitations sections state which chamber details were unavailable and restrict mechanism language to hypotheses.</w:t>
      </w:r>
    </w:p>
    <w:p>
      <w:pPr>
        <w:pStyle w:val="Heading2"/>
      </w:pPr>
      <w:r>
        <w:t>R2.4 Small sample size and ANOVA power</w:t>
      </w:r>
    </w:p>
    <w:p>
      <w:pPr>
        <w:pStyle w:val="Heading2"/>
      </w:pPr>
      <w:r>
        <w:t>Reviewer Comment</w:t>
      </w:r>
    </w:p>
    <w:p>
      <w:pPr>
        <w:ind w:left="360"/>
      </w:pPr>
      <w:r>
        <w:rPr>
          <w:i/>
        </w:rPr>
        <w:t>The pressure ANOVA has very limited power because n is small and one bottom sensor is missing.</w:t>
      </w:r>
    </w:p>
    <w:p>
      <w:pPr>
        <w:pStyle w:val="Heading2"/>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therefore retain the ANOVA only as exploratory sensor-level inference and report effect estimates and confidence intervals alongside p-values.</w:t>
      </w:r>
    </w:p>
    <w:p>
      <w:pPr>
        <w:pStyle w:val="Heading2"/>
      </w:pPr>
      <w:r>
        <w:t>Changes in Manuscript</w:t>
      </w:r>
    </w:p>
    <w:p>
      <w:r>
        <w:t>Sections 2.2, 2.4, 3.2, 3.4 and Conclusions now state the experimental unit, the missing sensor, the unbalanced design, the unreplicated chamber factor and the exploratory interpretation. The analysis report and anova_pressure.py were updated to document the raw-workbook reconstruction.</w:t>
      </w:r>
    </w:p>
    <w:p>
      <w:pPr>
        <w:pStyle w:val="Heading2"/>
      </w:pPr>
      <w:r>
        <w:t>R2.5 Verification trial n=1 stack</w:t>
      </w:r>
    </w:p>
    <w:p>
      <w:pPr>
        <w:pStyle w:val="Heading2"/>
      </w:pPr>
      <w:r>
        <w:t>Reviewer Comment</w:t>
      </w:r>
    </w:p>
    <w:p>
      <w:pPr>
        <w:ind w:left="360"/>
      </w:pPr>
      <w:r>
        <w:rPr>
          <w:i/>
        </w:rPr>
        <w:t>The verification trial cannot confirm general conclusions because it used only one stack and one sensor failed.</w:t>
      </w:r>
    </w:p>
    <w:p>
      <w:pPr>
        <w:pStyle w:val="Heading2"/>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2"/>
      </w:pPr>
      <w:r>
        <w:t>Changes in Manuscript</w:t>
      </w:r>
    </w:p>
    <w:p>
      <w:r>
        <w:t>Sections 2.3, 3.3, 3.4 and Conclusions were revised to remove confirmatory language and to report the verification trial's scale, V26 dropout and actual sensor maxima.</w:t>
      </w:r>
    </w:p>
    <w:p>
      <w:pPr>
        <w:pStyle w:val="Heading2"/>
      </w:pPr>
      <w:r>
        <w:t>R2.6 Physical-versus-chemical binary conclusion</w:t>
      </w:r>
    </w:p>
    <w:p>
      <w:pPr>
        <w:pStyle w:val="Heading2"/>
      </w:pPr>
      <w:r>
        <w:t>Reviewer Comment</w:t>
      </w:r>
    </w:p>
    <w:p>
      <w:pPr>
        <w:ind w:left="360"/>
      </w:pPr>
      <w:r>
        <w:rPr>
          <w:i/>
        </w:rPr>
        <w:t>The claim that palletisation governs physical behaviour and temperature governs chemical stability is overreaching because chemistry was not position-resolved.</w:t>
      </w:r>
    </w:p>
    <w:p>
      <w:pPr>
        <w:pStyle w:val="Heading2"/>
      </w:pPr>
      <w:r>
        <w:t>Response</w:t>
      </w:r>
    </w:p>
    <w:p>
      <w:r>
        <w:t>We agree. The manuscript no longer presents this binary causal attribution. The original study records do not contain position-resolved chemistry. The final text states that pressure was measured by package position and showed a transient bottom-position peak,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2"/>
      </w:pPr>
      <w:r>
        <w:t>Changes in Manuscript</w:t>
      </w:r>
    </w:p>
    <w:p>
      <w:r>
        <w:t>The Abstract, Discussion, Limitations and Conclusions were revised; unsupported "governs" language was removed.</w:t>
      </w:r>
    </w:p>
    <w:p>
      <w:pPr>
        <w:pStyle w:val="Heading2"/>
      </w:pPr>
      <w:r>
        <w:t>R2.7 Lactic acid interpretation</w:t>
      </w:r>
    </w:p>
    <w:p>
      <w:pPr>
        <w:pStyle w:val="Heading2"/>
      </w:pPr>
      <w:r>
        <w:t>Reviewer Comment</w:t>
      </w:r>
    </w:p>
    <w:p>
      <w:pPr>
        <w:ind w:left="360"/>
      </w:pPr>
      <w:r>
        <w:rPr>
          <w:i/>
        </w:rPr>
        <w:t>The lactic-acid increase cannot be confidently attributed to heat-driven chemistry rather than malolactic fermentation without microbiological data.</w:t>
      </w:r>
    </w:p>
    <w:p>
      <w:pPr>
        <w:pStyle w:val="Heading2"/>
      </w:pPr>
      <w:r>
        <w:t>Response</w:t>
      </w:r>
    </w:p>
    <w:p>
      <w:r>
        <w:t>We agree. We re-examined the available original experimental records and confirmed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We state that malic acid did not show the clear decrease expected for a simple malolactic-conversion interpretation, but we no longer state that malolactic fermentation was ruled out. Residual microbial activity cannot be excluded.</w:t>
      </w:r>
    </w:p>
    <w:p>
      <w:pPr>
        <w:pStyle w:val="Heading2"/>
      </w:pPr>
      <w:r>
        <w:t>Changes in Manuscript</w:t>
      </w:r>
    </w:p>
    <w:p>
      <w:r>
        <w:t>Sections 2.4 and 3.1, Table 2 and Limitations were revised to report lactic acid descriptively using the traceable 0.29 +/- 0.02 g/L value and to state the absence of raw chemical replicates, microbiology, viable cell counts and method-sensitivity data.</w:t>
      </w:r>
    </w:p>
    <w:p>
      <w:pPr>
        <w:pStyle w:val="Heading2"/>
      </w:pPr>
      <w:r>
        <w:t>R2.8 Table 2 labels</w:t>
      </w:r>
    </w:p>
    <w:p>
      <w:pPr>
        <w:pStyle w:val="Heading2"/>
      </w:pPr>
      <w:r>
        <w:t>Reviewer Comment</w:t>
      </w:r>
    </w:p>
    <w:p>
      <w:pPr>
        <w:ind w:left="360"/>
      </w:pPr>
      <w:r>
        <w:rPr>
          <w:i/>
        </w:rPr>
        <w:t>"Wine at 19 degC" and "Wine at 50 degC" are misleading.</w:t>
      </w:r>
    </w:p>
    <w:p>
      <w:pPr>
        <w:pStyle w:val="Heading2"/>
      </w:pPr>
      <w:r>
        <w:t>Response</w:t>
      </w:r>
    </w:p>
    <w:p>
      <w:r>
        <w:t>Corrected. Table 2 now labels the rows as wine from the nominal 19 degC chamber and wine from the nominal 50 degC chamber. The caption states that these labels are chamber set points, not actual in-bag wine temperatures.</w:t>
      </w:r>
    </w:p>
    <w:p>
      <w:pPr>
        <w:pStyle w:val="Heading2"/>
      </w:pPr>
      <w:r>
        <w:t>Changes in Manuscript</w:t>
      </w:r>
    </w:p>
    <w:p>
      <w:r>
        <w:t>Table 2 row labels, caption and note were revised and highlighted.</w:t>
      </w:r>
    </w:p>
    <w:p>
      <w:pPr>
        <w:pStyle w:val="Heading2"/>
      </w:pPr>
      <w:r>
        <w:t>R2.9 First five hours excluded</w:t>
      </w:r>
    </w:p>
    <w:p>
      <w:pPr>
        <w:pStyle w:val="Heading2"/>
      </w:pPr>
      <w:r>
        <w:t>Reviewer Comment</w:t>
      </w:r>
    </w:p>
    <w:p>
      <w:pPr>
        <w:ind w:left="360"/>
      </w:pPr>
      <w:r>
        <w:rPr>
          <w:i/>
        </w:rPr>
        <w:t>The first five hours may represent realistic transport disturbances and should be discussed or tested by sensitivity analysis.</w:t>
      </w:r>
    </w:p>
    <w:p>
      <w:pPr>
        <w:pStyle w:val="Heading2"/>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2"/>
      </w:pPr>
      <w:r>
        <w:t>Changes in Manuscript</w:t>
      </w:r>
    </w:p>
    <w:p>
      <w:r>
        <w:t>Section 3.2 and Limitations now report the sensitivity analysis and no longer say that raw pressure data were absent.</w:t>
      </w:r>
    </w:p>
    <w:p>
      <w:pPr>
        <w:pStyle w:val="Heading2"/>
      </w:pPr>
      <w:r>
        <w:t>R2.10 Wine identity</w:t>
      </w:r>
    </w:p>
    <w:p>
      <w:pPr>
        <w:pStyle w:val="Heading2"/>
      </w:pPr>
      <w:r>
        <w:t>Reviewer Comment</w:t>
      </w:r>
    </w:p>
    <w:p>
      <w:pPr>
        <w:ind w:left="360"/>
      </w:pPr>
      <w:r>
        <w:rPr>
          <w:i/>
        </w:rPr>
        <w:t>Grape variety and vintage are unknown.</w:t>
      </w:r>
    </w:p>
    <w:p>
      <w:pPr>
        <w:pStyle w:val="Heading2"/>
      </w:pPr>
      <w:r>
        <w:t>Response</w:t>
      </w:r>
    </w:p>
    <w:p>
      <w:r>
        <w:t>Correct. We re-examined the original study records and found no information on grape variety or vintage. The supplier did not provide this information, and the manuscript retains it as a limitation.</w:t>
      </w:r>
    </w:p>
    <w:p>
      <w:pPr>
        <w:pStyle w:val="Heading2"/>
      </w:pPr>
      <w:r>
        <w:t>Changes in Manuscript</w:t>
      </w:r>
    </w:p>
    <w:p>
      <w:r>
        <w:t>Materials and Methods and Limitations state that grape variety and vintage were unavailable.</w:t>
      </w:r>
    </w:p>
    <w:p>
      <w:pPr>
        <w:pStyle w:val="Heading1"/>
      </w:pPr>
      <w:r>
        <w:t>Reviewer 3</w:t>
      </w:r>
    </w:p>
    <w:p>
      <w:pPr>
        <w:pStyle w:val="Heading2"/>
      </w:pPr>
      <w:r>
        <w:t>R3.1 Stacking configuration and interpretability</w:t>
      </w:r>
    </w:p>
    <w:p>
      <w:pPr>
        <w:pStyle w:val="Heading2"/>
      </w:pPr>
      <w:r>
        <w:t>Reviewer Comment</w:t>
      </w:r>
    </w:p>
    <w:p>
      <w:pPr>
        <w:ind w:left="360"/>
      </w:pPr>
      <w:r>
        <w:rPr>
          <w:i/>
        </w:rPr>
        <w:t>It is difficult to evaluate stacking configuration because different configurations and temperatures may be confounded or averaged.</w:t>
      </w:r>
    </w:p>
    <w:p>
      <w:pPr>
        <w:pStyle w:val="Heading2"/>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The pressure ANOVA is therefore presented as exploratory sensor-level analysis rather than a definitive test of stack height, chamber temperature or paired stack effects.</w:t>
      </w:r>
    </w:p>
    <w:p>
      <w:pPr>
        <w:pStyle w:val="Heading2"/>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2"/>
      </w:pPr>
      <w:r>
        <w:t>Reviewer Comment</w:t>
      </w:r>
    </w:p>
    <w:p>
      <w:pPr>
        <w:ind w:left="360"/>
      </w:pPr>
      <w:r>
        <w:rPr>
          <w:i/>
        </w:rPr>
        <w:t>Could SO2 loss affect shelf life and storage after transport?</w:t>
      </w:r>
    </w:p>
    <w:p>
      <w:pPr>
        <w:pStyle w:val="Heading2"/>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2"/>
      </w:pPr>
      <w:r>
        <w:t>Changes in Manuscript</w:t>
      </w:r>
    </w:p>
    <w:p>
      <w:r>
        <w:t>Section 3.1, Limitations and Conclusions were revised.</w:t>
      </w:r>
    </w:p>
    <w:p>
      <w:pPr>
        <w:pStyle w:val="Heading2"/>
      </w:pPr>
      <w:r>
        <w:t>R3.3 Economic feasibility of pressure sensors</w:t>
      </w:r>
    </w:p>
    <w:p>
      <w:pPr>
        <w:pStyle w:val="Heading2"/>
      </w:pPr>
      <w:r>
        <w:t>Reviewer Comment</w:t>
      </w:r>
    </w:p>
    <w:p>
      <w:pPr>
        <w:ind w:left="360"/>
      </w:pPr>
      <w:r>
        <w:rPr>
          <w:i/>
        </w:rPr>
        <w:t>The feasibility of using pressure sensors at scale is unclear.</w:t>
      </w:r>
    </w:p>
    <w:p>
      <w:pPr>
        <w:pStyle w:val="Heading2"/>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2"/>
      </w:pPr>
      <w:r>
        <w:t>Changes in Manuscript</w:t>
      </w:r>
    </w:p>
    <w:p>
      <w:r>
        <w:t>Limitations and Conclusions were revised.</w:t>
      </w:r>
    </w:p>
    <w:p>
      <w:pPr>
        <w:pStyle w:val="Heading2"/>
      </w:pPr>
      <w:r>
        <w:t>R3.4 Thermal behaviour under nominal 19 degC and nominal 50 degC conditions</w:t>
      </w:r>
    </w:p>
    <w:p>
      <w:pPr>
        <w:pStyle w:val="Heading2"/>
      </w:pPr>
      <w:r>
        <w:t>Reviewer Comment</w:t>
      </w:r>
    </w:p>
    <w:p>
      <w:pPr>
        <w:ind w:left="360"/>
      </w:pPr>
      <w:r>
        <w:rPr>
          <w:i/>
        </w:rPr>
        <w:t>The nominal 50 degC packages stayed below set point, whereas nominal 19 degC packages reached about 23 degC; this different behaviour needs explanation.</w:t>
      </w:r>
    </w:p>
    <w:p>
      <w:pPr>
        <w:pStyle w:val="Heading2"/>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The observations are consistent with thermal inertia, chamber loading, heat-transfer resistance through the pallet/stack and airflow constraints, but the chamber model, airflow and occupancy data were not recorded, so these remain hypotheses rather than established causes.</w:t>
      </w:r>
    </w:p>
    <w:p>
      <w:pPr>
        <w:pStyle w:val="Heading2"/>
      </w:pPr>
      <w:r>
        <w:t>Changes in Manuscript</w:t>
      </w:r>
    </w:p>
    <w:p>
      <w:r>
        <w:t>Sections 3.2, 3.3, 3.4 and the captions to Figures 3 and 6 were revised with the quantified temperatures and cautious interpretation.</w:t>
      </w:r>
    </w:p>
    <w:p>
      <w:pPr>
        <w:pStyle w:val="Heading2"/>
      </w:pPr>
      <w:r>
        <w:t>R3.5 Main experiment versus verification experiment discrepancy</w:t>
      </w:r>
    </w:p>
    <w:p>
      <w:pPr>
        <w:pStyle w:val="Heading2"/>
      </w:pPr>
      <w:r>
        <w:t>Reviewer Comment</w:t>
      </w:r>
    </w:p>
    <w:p>
      <w:pPr>
        <w:ind w:left="360"/>
      </w:pPr>
      <w:r>
        <w:rPr>
          <w:i/>
        </w:rPr>
        <w:t>The large difference between the main and verification experiment may indicate an error or scale effect.</w:t>
      </w:r>
    </w:p>
    <w:p>
      <w:pPr>
        <w:pStyle w:val="Heading2"/>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2"/>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2"/>
      </w:pPr>
      <w:r>
        <w:t>Reviewer Comment</w:t>
      </w:r>
    </w:p>
    <w:p>
      <w:pPr>
        <w:ind w:left="360"/>
      </w:pPr>
      <w:r>
        <w:rPr>
          <w:i/>
        </w:rPr>
        <w:t>Several sentences are overly complex.</w:t>
      </w:r>
    </w:p>
    <w:p>
      <w:pPr>
        <w:pStyle w:val="Heading2"/>
      </w:pPr>
      <w:r>
        <w:t>Response</w:t>
      </w:r>
    </w:p>
    <w:p>
      <w:r>
        <w:t>The manuscript was edited throughout to improve clarity and to maintain consistent terminology for nominal set point, nominal chamber condition and measured in-bag temperature.</w:t>
      </w:r>
    </w:p>
    <w:p>
      <w:pPr>
        <w:pStyle w:val="Heading2"/>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