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rPr>
          <w:highlight w:val="yellow"/>
        </w:rP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while the nominal 19 °C chamber averaged 23.50 ± 0.21 °C and 22.84 ± 0.30 °C in top and bottom units,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whereas no statistically detectable nominal chamber-condition effect was observed. By day 20 neither sensor-level factor was statistically detectable. Bulk wine from the nominally warmer chamber showed lower free and total SO₂, higher volatile acidity and a numerically higher lactic-acid value after 20 days, but these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rPr>
          <w:highlight w:val="yellow"/>
        </w:rP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rPr>
          <w:highlight w:val="yellow"/>
        </w:rPr>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rPr>
          <w:highlight w:val="yellow"/>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rPr>
          <w:highlight w:val="yellow"/>
        </w:rP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rPr>
          <w:highlight w:val="yellow"/>
        </w:rPr>
        <w:t>The available experimental records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rPr>
                <w:highlight w:val="yellow"/>
              </w:rP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highlight w:val="yellow"/>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highlight w:val="yellow"/>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highlight w:val="yellow"/>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highlight w:val="yellow"/>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highlight w:val="yellow"/>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highlight w:val="yellow"/>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highlight w:val="yellow"/>
              </w:rPr>
              <w:t>Verification</w:t>
            </w:r>
          </w:p>
        </w:tc>
        <w:tc>
          <w:tcPr>
            <w:tcW w:w="1743" w:type="dxa"/>
            <w:tcBorders>
              <w:bottom w:val="single" w:sz="4" w:space="0" w:color="auto"/>
            </w:tcBorders>
          </w:tcPr>
          <w:p>
            <w:r>
              <w:rPr>
                <w:highlight w:val="yellow"/>
              </w:rP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highlight w:val="yellow"/>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highlight w:val="yellow"/>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highlight w:val="yellow"/>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highlight w:val="yellow"/>
              </w:rPr>
              <w:t>2 top + 2 bottom BiB</w:t>
            </w:r>
          </w:p>
        </w:tc>
      </w:tr>
    </w:tbl>
    <w:p w14:paraId="7768C0EE" w14:textId="77777777" w:rsidR="009C6330" w:rsidRPr="00BB0B41" w:rsidRDefault="00096756">
      <w:pPr>
        <w:pStyle w:val="MDPI31text"/>
      </w:pPr>
      <w:r>
        <w:rPr>
          <w:highlight w:val="yellow"/>
        </w:rP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rPr>
          <w:highlight w:val="yellow"/>
        </w:rP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resolves pressure to between 0.036 and 0.195 mbar depending on the oversampling ratio and temperature to better than 0.01 °C, and is specified to ±1.5 mbar between 300 and 1100 mbar at 20 °C, widening to ±100 mbar over the whole 0-5 bar and 0-50 °C envelope, with a long-term stability of ±1 mbar per year and a temperature accuracy of ±2.5 °C. The sensor was driven by an ESP8285 microcontroller on an ESP-M2 board (Adafruit) [25] and powered by a lithium battery. The assembly was enclosed in an oil-filled plastic casing, the oil transmitting the pressure of the wine to the transducer while dispersing the small amount of heat released by the electronics, whose draw is below 1 mA. The casing was introduced into each bag through the existing filling/dispensing valve before the bag was finally sealed, so that the multilayer film was not punctured and the barrier integrity of the bag was preserved; sealing then followed the standard procedure of the filling line, which was intended to minimise leakage and artificial perturbation of the internal pressure.</w:t>
      </w:r>
    </w:p>
    <w:p w14:paraId="315C9426" w14:textId="77777777" w:rsidR="009C6330" w:rsidRPr="00BB0B41" w:rsidRDefault="00096756">
      <w:pPr>
        <w:pStyle w:val="MDPI31text"/>
        <w:spacing w:line="240" w:lineRule="auto"/>
        <w:ind w:left="2550"/>
      </w:pPr>
      <w:r>
        <w:rPr>
          <w:highlight w:val="yellow"/>
        </w:rP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rPr>
          <w:highlight w:val="yellow"/>
        </w:rP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rPr>
          <w:highlight w:val="yellow"/>
        </w:rP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rPr>
          <w:highlight w:val="yellow"/>
        </w:rP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but the next available record is at 0.020833 d; therefore the reproduced ΔP values used the time-zero reading only, and the final scripts now select that value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rPr>
          <w:highlight w:val="yellow"/>
        </w:rP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rPr>
          <w:highlight w:val="yellow"/>
        </w:rP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rPr>
          <w:highlight w:val="yellow"/>
        </w:rPr>
        <w:t>The chemical comparison concerns wine from the main trial grouped by nominal chamber condition. The labels 19 °C and 50 °C in Table 2 denote chamber set points, not measured wine temperatures. In-bag sensors showed that, late in the main trial, the nominal 50 °C chamber produced actual package temperatures of 34.18 ± 0.36 °C at top sensors and 26.08 ± 0.23 °C at bottom sensors, while the nominal 19 °C chamber packages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rPr>
          <w:highlight w:val="yellow"/>
        </w:rPr>
        <w:t>Lactic acid was numerically higher in the wine from the nominally warmer chamber (0.29 ± 0.02 g/L) than in the reference (0.16 ± 0.05 g/L) (Table 2), but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justify assigning the numerical difference to a single mechanism. Malic acid did not decrease significantly (1.0 ± 0.16 g/L against 1.1 ± 0.23 g/L), which does not support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rather than as evidence that malolactic fermentation was absent.</w:t>
      </w:r>
    </w:p>
    <w:p w14:paraId="5AD82E97" w14:textId="3CCFEEEE" w:rsidR="009C6330" w:rsidRPr="00BB0B41" w:rsidRDefault="00096756">
      <w:pPr>
        <w:pStyle w:val="MDPI31text"/>
        <w:spacing w:line="240" w:lineRule="auto"/>
        <w:ind w:left="2550"/>
      </w:pPr>
      <w:r>
        <w:rPr>
          <w:highlight w:val="yellow"/>
        </w:rP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rPr>
          <w:highlight w:val="yellow"/>
        </w:rP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rPr>
          <w:highlight w:val="yellow"/>
        </w:rP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rPr>
          <w:highlight w:val="yellow"/>
        </w:rP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rPr>
          <w:highlight w:val="yellow"/>
        </w:rPr>
        <w:t>After the handling window, pressure rose in all units and peaked between about days 3.5 and 5.8, at about 56-94 mbar above each sensor's own baseline, before declining and partly recovering towards the end of the record. Mean peak ΔP was 83.0 ± 17.2 mbar in bottom units and 66.6 ± 10.1 mbar in top units under the nominal 50 °C chamber condition, and 84.8 ± 8.8 mbar in bottom units and 59.6 ± 5.1 mbar in top units under the nominal 19 °C condition (Figure 5A). In the exploratory sensor-level Type II two-way ANOVA, stack position was associated with peak ΔP (F(1,8) = 9.14; p = 0.017), with an adjusted bottom-minus-top difference of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transient position-associated pressure difference under the tested configuration, but the small and unbalanced design and absence of stack identifiers in the raw workbook limit precision and prevent a paired stack-level analysis.</w:t>
      </w:r>
    </w:p>
    <w:p w14:paraId="32DE078B" w14:textId="77777777" w:rsidR="009C6330" w:rsidRPr="00BB0B41" w:rsidRDefault="00096756">
      <w:pPr>
        <w:pStyle w:val="MDPI31text"/>
        <w:spacing w:line="240" w:lineRule="auto"/>
      </w:pPr>
      <w:r>
        <w:rPr>
          <w:highlight w:val="yellow"/>
        </w:rP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asymptotically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but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rPr>
          <w:highlight w:val="yellow"/>
        </w:rP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Consequently, the data support the practical distinction that pressure monitoring can identify mechanically stressed package positions, while chemical measurements indicated lower SO₂ and selected acidity differences under the nominally warmer chamber condition; they do not demonstrate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rPr>
          <w:highlight w:val="yellow"/>
        </w:rP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rPr>
          <w:highlight w:val="yellow"/>
        </w:rP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rPr>
          <w:highlight w:val="yellow"/>
        </w:rP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(two-way ANOVA, F(1,8) = 9.14; p = 0.017), while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rPr>
          <w:highlight w:val="yellow"/>
        </w:rP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rPr>
                <w:highlight w:val="yellow"/>
              </w:rP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rPr>
                <w:highlight w:val="yellow"/>
              </w:rPr>
              <w:t>Wine from nominal 19 °C chamber</w:t>
            </w:r>
          </w:p>
        </w:tc>
        <w:tc>
          <w:tcPr>
            <w:tcW w:w="1149" w:type="dxa"/>
            <w:tcBorders>
              <w:left w:val="nil"/>
              <w:bottom w:val="nil"/>
              <w:right w:val="nil"/>
            </w:tcBorders>
            <w:vAlign w:val="center"/>
          </w:tcPr>
          <w:p>
            <w:r>
              <w:rPr>
                <w:highlight w:val="yellow"/>
              </w:rP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rPr>
                <w:highlight w:val="yellow"/>
              </w:rPr>
              <w:t>Wine from nominal 50 °C chamber</w:t>
            </w:r>
          </w:p>
        </w:tc>
        <w:tc>
          <w:tcPr>
            <w:tcW w:w="1149" w:type="dxa"/>
            <w:tcBorders>
              <w:top w:val="nil"/>
              <w:left w:val="nil"/>
              <w:right w:val="nil"/>
            </w:tcBorders>
            <w:vAlign w:val="center"/>
          </w:tcPr>
          <w:p>
            <w:r>
              <w:rPr>
                <w:highlight w:val="yellow"/>
              </w:rP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rPr>
                <w:highlight w:val="yellow"/>
              </w:rP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rPr>
          <w:highlight w:val="yellow"/>
        </w:rP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rPr>
          <w:highlight w:val="yellow"/>
        </w:rP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rPr>
          <w:highlight w:val="yellow"/>
        </w:rP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rPr>
          <w:highlight w:val="yellow"/>
        </w:rP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that this warmer in-bag exposure did not create sustained overpressure in that stack, not as proof that temperature cannot affect BiB pressure under all configurations.</w:t>
      </w:r>
    </w:p>
    <w:p w14:paraId="55930FBC" w14:textId="77777777" w:rsidR="009C6330" w:rsidRPr="00BB0B41" w:rsidRDefault="00096756" w:rsidP="00FA0DF4">
      <w:pPr>
        <w:pStyle w:val="MDPI31text"/>
        <w:spacing w:line="240" w:lineRule="auto"/>
        <w:ind w:left="0" w:firstLine="0"/>
      </w:pPr>
      <w:r>
        <w:rPr>
          <w:highlight w:val="yellow"/>
        </w:rP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rPr>
          <w:highlight w:val="yellow"/>
        </w:rP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rPr>
          <w:highlight w:val="yellow"/>
        </w:rP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SO2 reserve remain potential implications rather than measured outcomes.</w:t>
      </w:r>
    </w:p>
    <w:p w14:paraId="46B68C1B" w14:textId="77777777" w:rsidR="009C6330" w:rsidRPr="00BB0B41" w:rsidRDefault="00096756">
      <w:pPr>
        <w:pStyle w:val="MDPI31text"/>
      </w:pPr>
      <w:r>
        <w:rPr>
          <w:highlight w:val="yellow"/>
        </w:rP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rPr>
          <w:highlight w:val="yellow"/>
        </w:rPr>
        <w:t>The pressure analysis is limited by eleven usable traces, one missing bottom-position sensor, an unbalanced cell of n = 2, possible within-stack pairing of top and bottom observations, and a narrow stack-height range in which height was not independently replicated. The raw workbook restores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but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rPr>
          <w:highlight w:val="yellow"/>
        </w:rP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rPr>
          <w:highlight w:val="yellow"/>
        </w:rP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rPr>
          <w:highlight w:val="yellow"/>
        </w:rP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and including the first five hours did not change the peak-pressure endpoint. No statistically detectable nominal chamber-condition effect was observed in this small dataset, and by day 20 neither sensor-level factor remained significant. These findings are consistent with a transient contribution of package position or vertical load to peak pressurisation, followed by relaxation of the flexible bag system. The experiment does not provide a separate, well-powered test of stack height.</w:t>
      </w:r>
    </w:p>
    <w:p w14:paraId="386F2AE7" w14:textId="77777777" w:rsidR="009C6330" w:rsidRPr="00BB0B41" w:rsidRDefault="00096756">
      <w:pPr>
        <w:pStyle w:val="MDPI31text"/>
        <w:spacing w:line="240" w:lineRule="auto"/>
        <w:ind w:left="2550"/>
      </w:pPr>
      <w:r>
        <w:rPr>
          <w:highlight w:val="yellow"/>
        </w:rP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rPr>
          <w:highlight w:val="yellow"/>
        </w:rPr>
        <w:t>Data Availability Statement: The data supporting the pressure and temperature analyses are available in the main-trial pressure/temperature workbook (Results.xlsx), the verification-trial workbook (Stack testing high temperature.xlsx), the verification CSV export, final figures, analysis scripts and derived analysis summaries. Raw chemical replicate values, microbiological data, sensory data, shelf-life follow-up and chamber-control metadata were not retained in the available study records and are available only if held separately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