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while the nominal 19 °C chamber averaged 23.50 ± 0.21 °C and 22.84 ± 0.30 °C in top and bottom units,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whereas no statistically detectable nominal chamber-condition effect was observed. By day 20 neither sensor-level factor was statistically detectable. Bulk wine from the nominally warmer chamber showed lower free and total SO₂, higher volatile acidity and a numerically higher lactic-acid value after 20 days, but these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resolves pressure to between 0.036 and 0.195 mbar depending on the oversampling ratio and temperature to better than 0.01 °C, and is specified to ±1.5 mbar between 300 and 1100 mbar at 20 °C, widening to ±100 mbar over the whole 0-5 bar and 0-50 °C envelope, with a long-term stability of ±1 mbar per year and a temperature accuracy of ±2.5 °C. The sensor was driven by an ESP8285 microcontroller on an ESP-M2 board (Adafruit) [25] and powered by a lithium battery. The assembly was enclosed in an oil-filled plastic casing, the oil transmitting the pressure of the wine to the transducer while dispersing the small amount of heat released by the electronics, whose draw is below 1 mA. The casing was introduced into each bag through the existing filling/dispensing valve before the bag was finally sealed, so that the multilayer film was not punctured and the barrier integrity of the bag was preserved; sealing then followed the standard procedure of the filling line, which was intended to minimise leakage and artificial perturbation of the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but the next available record is at 0.020833 d; therefore the reproduced ΔP values used the time-zero reading only, and the final scripts now select that value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In-bag sensors showed that, late in the main trial, the nominal 50 °C chamber produced actual package temperatures of 34.18 ± 0.36 °C at top sensors and 26.08 ± 0.23 °C at bottom sensors, while the nominal 19 °C chamber packages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0.02 g/L) than in the reference (0.16 ± 0.05 g/L) (Table 2), but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justify assigning the numerical difference to a single mechanism. Malic acid did not decrease significantly (1.0 ± 0.16 g/L against 1.1 ± 0.23 g/L), which does not support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rather than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pressure rose in all units and peaked between about days 3.5 and 5.8, at about 56-94 mbar above each sensor's own baseline, before declining and partly recovering towards the end of the record. Mean peak ΔP was 83.0 ± 17.2 mbar in bottom units and 66.6 ± 10.1 mbar in top units under the nominal 50 °C chamber condition, and 84.8 ± 8.8 mbar in bottom units and 59.6 ± 5.1 mbar in top units under the nominal 19 °C condition (Figure 5A). In the exploratory sensor-level Type II two-way ANOVA, stack position was associated with peak ΔP (F(1,8) = 9.14; p = 0.017), with an adjusted bottom-minus-top difference of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transient position-associated pressure difference under the tested configuration, but the small and unbalanced design and absence of stack identifiers in the raw workbook limit precision and prevent a paired stack-level analysis.</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asymptotically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but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Consequently, the data support the practical distinction that pressure monitoring can identify mechanically stressed package positions, while chemical measurements indicated lower SO₂ and selected acidity differences under the nominally warmer chamber condition; they do not demonstrate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(two-way ANOVA, F(1,8) = 9.14; p = 0.017), while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that this warmer in-bag exposure did not create sustained overpressure in that stack, not as proof that temperature cannot affect BiB pressure under all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SO2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raw workbook restores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but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and including the first five hours did not change the peak-pressure endpoint. No statistically detectable nominal chamber-condition effect was observed in this small dataset, and by day 20 neither sensor-level factor remained significant. These findings are consistent with a transient contribution of package position or vertical load to peak pressurisation, followed by relaxation of the flexible bag system. The experiment does not provide a separate, well-powered test of stack height.</w:t>
      </w:r>
    </w:p>
    <w:p w14:paraId="386F2AE7" w14:textId="77777777" w:rsidR="009C6330" w:rsidRPr="00BB0B41" w:rsidRDefault="00096756">
      <w:pPr>
        <w:pStyle w:val="MDPI31text"/>
        <w:spacing w:line="240" w:lineRule="auto"/>
        <w:ind w:left="2550"/>
      </w:pPr>
      <w: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data supporting the pressure and temperature analyses are available in the main-trial pressure/temperature workbook (Results.xlsx), the verification-trial workbook (Stack testing high temperature.xlsx), the verification CSV export, final figures, analysis scripts and derived analysis summaries. Raw chemical replicate values, microbiological data, sensory data, shelf-life follow-up and chamber-control metadata were not retained in the available study records and are available only if held separately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