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A30"/>
          <w:sz w:val="44"/>
          <w:szCs w:val="44"/>
        </w:rPr>
        <w:t xml:space="preserve">GRAND PEARL HOTEL</w:t>
      </w:r>
    </w:p>
    <w:p>
      <w:pPr>
        <w:spacing w:after="60"/>
      </w:pPr>
      <w:r>
        <w:rPr>
          <w:color w:val="B08D57"/>
          <w:sz w:val="26"/>
          <w:szCs w:val="26"/>
        </w:rPr>
        <w:t xml:space="preserve">Hotel Policies &amp; Guest Guidelines</w:t>
      </w:r>
    </w:p>
    <w:p>
      <w:pPr>
        <w:spacing w:after="300"/>
      </w:pPr>
      <w:r>
        <w:rPr>
          <w:color w:val="5E6760"/>
          <w:sz w:val="20"/>
          <w:szCs w:val="20"/>
        </w:rPr>
        <w:t xml:space="preserve">12 Mall Road, Peshawar, Pakistan · +92-91-1234567 · info@grandpearl.com</w:t>
      </w:r>
    </w:p>
    <w:p>
      <w:pPr>
        <w:pBdr>
          <w:bottom w:val="single" w:color="B08D57" w:sz="4" w:space="4"/>
        </w:pBdr>
        <w:spacing w:after="240" w:before="100"/>
      </w:pPr>
      <w:r>
        <w:t xml:space="preserve"/>
      </w:r>
    </w:p>
    <w:p>
      <w:pPr>
        <w:spacing w:after="200"/>
      </w:pPr>
      <w:r>
        <w:rPr>
          <w:i/>
          <w:iCs/>
          <w:color w:val="5E6760"/>
          <w:sz w:val="20"/>
          <w:szCs w:val="20"/>
        </w:rPr>
        <w:t xml:space="preserve">This document is sample content generated for demo and testing purposes. It is not a legal contract and should be reviewed and customized before real-world use.</w:t>
      </w:r>
    </w:p>
    <w:p>
      <w:pPr>
        <w:pStyle w:val="Heading1"/>
      </w:pPr>
      <w:r>
        <w:t xml:space="preserve">1. Check-In &amp; Check-Out</w:t>
      </w:r>
    </w:p>
    <w:p>
      <w:pPr>
        <w:spacing w:after="160"/>
      </w:pPr>
      <w:r>
        <w:rPr>
          <w:sz w:val="22"/>
          <w:szCs w:val="22"/>
        </w:rPr>
        <w:t xml:space="preserve">Standard check-in time is 2:00 PM and check-out time is 12:00 PM (noon). Early check-in and late check-out may be available on request and are subject to room availability; additional charges may apply.</w:t>
      </w:r>
    </w:p>
    <w:p>
      <w:pPr>
        <w:pStyle w:val="Heading2"/>
      </w:pPr>
      <w:r>
        <w:t xml:space="preserve">Identification</w:t>
      </w:r>
    </w:p>
    <w:p>
      <w:pPr>
        <w:pStyle w:val="ListParagraph"/>
        <w:numPr>
          <w:ilvl w:val="0"/>
          <w:numId w:val="2"/>
        </w:numPr>
        <w:spacing w:after="80"/>
      </w:pPr>
      <w:r>
        <w:rPr>
          <w:sz w:val="22"/>
          <w:szCs w:val="22"/>
        </w:rPr>
        <w:t xml:space="preserve">All guests must present a valid, government-issued photo ID (CNIC for Pakistani nationals, passport for international guests) at check-in.</w:t>
      </w:r>
    </w:p>
    <w:p>
      <w:pPr>
        <w:pStyle w:val="ListParagraph"/>
        <w:numPr>
          <w:ilvl w:val="0"/>
          <w:numId w:val="2"/>
        </w:numPr>
        <w:spacing w:after="80"/>
      </w:pPr>
      <w:r>
        <w:rPr>
          <w:sz w:val="22"/>
          <w:szCs w:val="22"/>
        </w:rPr>
        <w:t xml:space="preserve">The name on the reservation should match the ID presented. Reservations cannot be transferred to another guest without prior written approval from the front desk.</w:t>
      </w:r>
    </w:p>
    <w:p>
      <w:pPr>
        <w:pStyle w:val="Heading2"/>
      </w:pPr>
      <w:r>
        <w:t xml:space="preserve">Minimum age</w:t>
      </w:r>
    </w:p>
    <w:p>
      <w:pPr>
        <w:spacing w:after="160"/>
      </w:pPr>
      <w:r>
        <w:rPr>
          <w:sz w:val="22"/>
          <w:szCs w:val="22"/>
        </w:rPr>
        <w:t xml:space="preserve">Guests checking in must be at least 18 years of age unless accompanied by a parent or legal guardian.</w:t>
      </w:r>
    </w:p>
    <w:p>
      <w:pPr>
        <w:pStyle w:val="Heading1"/>
      </w:pPr>
      <w:r>
        <w:t xml:space="preserve">2. Reservations &amp; Cancellations</w:t>
      </w:r>
    </w:p>
    <w:p>
      <w:pPr>
        <w:pStyle w:val="Heading2"/>
      </w:pPr>
      <w:r>
        <w:t xml:space="preserve">Booking confirmation</w:t>
      </w:r>
    </w:p>
    <w:p>
      <w:pPr>
        <w:spacing w:after="160"/>
      </w:pPr>
      <w:r>
        <w:rPr>
          <w:sz w:val="22"/>
          <w:szCs w:val="22"/>
        </w:rPr>
        <w:t xml:space="preserve">A reservation is considered confirmed once a valid payment method has been verified or a deposit has been received, and a confirmation number has been issued.</w:t>
      </w:r>
    </w:p>
    <w:p>
      <w:pPr>
        <w:pStyle w:val="Heading2"/>
      </w:pPr>
      <w:r>
        <w:t xml:space="preserve">Cancellation policy</w:t>
      </w:r>
    </w:p>
    <w:p>
      <w:pPr>
        <w:pStyle w:val="ListParagraph"/>
        <w:numPr>
          <w:ilvl w:val="0"/>
          <w:numId w:val="2"/>
        </w:numPr>
        <w:spacing w:after="80"/>
      </w:pPr>
      <w:r>
        <w:rPr>
          <w:sz w:val="22"/>
          <w:szCs w:val="22"/>
        </w:rPr>
        <w:t xml:space="preserve">Free cancellation up to 48 hours before the scheduled check-in date.</w:t>
      </w:r>
    </w:p>
    <w:p>
      <w:pPr>
        <w:pStyle w:val="ListParagraph"/>
        <w:numPr>
          <w:ilvl w:val="0"/>
          <w:numId w:val="2"/>
        </w:numPr>
        <w:spacing w:after="80"/>
      </w:pPr>
      <w:r>
        <w:rPr>
          <w:sz w:val="22"/>
          <w:szCs w:val="22"/>
        </w:rPr>
        <w:t xml:space="preserve">Cancellations made within 48 hours of check-in are subject to a charge equal to one night's stay.</w:t>
      </w:r>
    </w:p>
    <w:p>
      <w:pPr>
        <w:pStyle w:val="ListParagraph"/>
        <w:numPr>
          <w:ilvl w:val="0"/>
          <w:numId w:val="2"/>
        </w:numPr>
        <w:spacing w:after="80"/>
      </w:pPr>
      <w:r>
        <w:rPr>
          <w:sz w:val="22"/>
          <w:szCs w:val="22"/>
        </w:rPr>
        <w:t xml:space="preserve">No-shows (failure to arrive without cancelling) will be charged the full amount of the first night.</w:t>
      </w:r>
    </w:p>
    <w:p>
      <w:pPr>
        <w:pStyle w:val="Heading2"/>
      </w:pPr>
      <w:r>
        <w:t xml:space="preserve">Modifications</w:t>
      </w:r>
    </w:p>
    <w:p>
      <w:pPr>
        <w:spacing w:after="160"/>
      </w:pPr>
      <w:r>
        <w:rPr>
          <w:sz w:val="22"/>
          <w:szCs w:val="22"/>
        </w:rPr>
        <w:t xml:space="preserve">Date or room-type changes are subject to availability and may result in a rate adjustment. Please contact the front desk or chat assistant at least 24 hours in advance.</w:t>
      </w:r>
    </w:p>
    <w:p>
      <w:pPr>
        <w:pStyle w:val="Heading1"/>
      </w:pPr>
      <w:r>
        <w:t xml:space="preserve">3. Payment</w:t>
      </w:r>
    </w:p>
    <w:p>
      <w:pPr>
        <w:pStyle w:val="ListParagraph"/>
        <w:numPr>
          <w:ilvl w:val="0"/>
          <w:numId w:val="2"/>
        </w:numPr>
        <w:spacing w:after="80"/>
      </w:pPr>
      <w:r>
        <w:rPr>
          <w:sz w:val="22"/>
          <w:szCs w:val="22"/>
        </w:rPr>
        <w:t xml:space="preserve">Accepted payment methods: cash, credit card, debit card, bank transfer, and approved online payment platforms.</w:t>
      </w:r>
    </w:p>
    <w:p>
      <w:pPr>
        <w:pStyle w:val="ListParagraph"/>
        <w:numPr>
          <w:ilvl w:val="0"/>
          <w:numId w:val="2"/>
        </w:numPr>
        <w:spacing w:after="80"/>
      </w:pPr>
      <w:r>
        <w:rPr>
          <w:sz w:val="22"/>
          <w:szCs w:val="22"/>
        </w:rPr>
        <w:t xml:space="preserve">A valid credit or debit card may be required at check-in to cover incidental charges (mini bar, room service, damages).</w:t>
      </w:r>
    </w:p>
    <w:p>
      <w:pPr>
        <w:pStyle w:val="ListParagraph"/>
        <w:numPr>
          <w:ilvl w:val="0"/>
          <w:numId w:val="2"/>
        </w:numPr>
        <w:spacing w:after="80"/>
      </w:pPr>
      <w:r>
        <w:rPr>
          <w:sz w:val="22"/>
          <w:szCs w:val="22"/>
        </w:rPr>
        <w:t xml:space="preserve">Full payment is due at check-out unless other arrangements have been made in advance with hotel management.</w:t>
      </w:r>
    </w:p>
    <w:p>
      <w:pPr>
        <w:pStyle w:val="ListParagraph"/>
        <w:numPr>
          <w:ilvl w:val="0"/>
          <w:numId w:val="2"/>
        </w:numPr>
        <w:spacing w:after="80"/>
      </w:pPr>
      <w:r>
        <w:rPr>
          <w:sz w:val="22"/>
          <w:szCs w:val="22"/>
        </w:rPr>
        <w:t xml:space="preserve">All room rates are quoted in USD and are subject to applicable local taxes and service charges.</w:t>
      </w:r>
    </w:p>
    <w:p>
      <w:pPr>
        <w:pStyle w:val="Heading1"/>
      </w:pPr>
      <w:r>
        <w:t xml:space="preserve">4. Room Occupancy</w:t>
      </w:r>
    </w:p>
    <w:p>
      <w:pPr>
        <w:spacing w:after="160"/>
      </w:pPr>
      <w:r>
        <w:rPr>
          <w:sz w:val="22"/>
          <w:szCs w:val="22"/>
        </w:rPr>
        <w:t xml:space="preserve">Each room type has a maximum occupancy limit, shown below. Exceeding the listed occupancy without prior approval may result in additional charges or relocation to a suitable room.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3A30" w:val="clear"/>
            <w:tcMar>
              <w:top w:type="dxa" w:w="80"/>
              <w:left w:type="dxa" w:w="120"/>
              <w:bottom w:type="dxa" w:w="80"/>
              <w:right w:type="dxa" w:w="120"/>
            </w:tcMar>
          </w:tcPr>
          <w:p>
            <w:r>
              <w:rPr>
                <w:b/>
                <w:bCs/>
                <w:color w:val="FFFFFF"/>
                <w:sz w:val="20"/>
                <w:szCs w:val="20"/>
              </w:rPr>
              <w:t xml:space="preserve">Room Type</w:t>
            </w:r>
          </w:p>
        </w:tc>
        <w:tc>
          <w:tcPr>
            <w:tcW w:type="dxa" w:w="3120"/>
            <w:tcBorders>
              <w:top w:val="single" w:color="CCCCCC" w:sz="1"/>
              <w:left w:val="single" w:color="CCCCCC" w:sz="1"/>
              <w:bottom w:val="single" w:color="CCCCCC" w:sz="1"/>
              <w:right w:val="single" w:color="CCCCCC" w:sz="1"/>
            </w:tcBorders>
            <w:shd w:fill="1F3A30" w:val="clear"/>
            <w:tcMar>
              <w:top w:type="dxa" w:w="80"/>
              <w:left w:type="dxa" w:w="120"/>
              <w:bottom w:type="dxa" w:w="80"/>
              <w:right w:type="dxa" w:w="120"/>
            </w:tcMar>
          </w:tcPr>
          <w:p>
            <w:r>
              <w:rPr>
                <w:b/>
                <w:bCs/>
                <w:color w:val="FFFFFF"/>
                <w:sz w:val="20"/>
                <w:szCs w:val="20"/>
              </w:rPr>
              <w:t xml:space="preserve">Max Occupancy</w:t>
            </w:r>
          </w:p>
        </w:tc>
        <w:tc>
          <w:tcPr>
            <w:tcW w:type="dxa" w:w="3120"/>
            <w:tcBorders>
              <w:top w:val="single" w:color="CCCCCC" w:sz="1"/>
              <w:left w:val="single" w:color="CCCCCC" w:sz="1"/>
              <w:bottom w:val="single" w:color="CCCCCC" w:sz="1"/>
              <w:right w:val="single" w:color="CCCCCC" w:sz="1"/>
            </w:tcBorders>
            <w:shd w:fill="1F3A30" w:val="clear"/>
            <w:tcMar>
              <w:top w:type="dxa" w:w="80"/>
              <w:left w:type="dxa" w:w="120"/>
              <w:bottom w:type="dxa" w:w="80"/>
              <w:right w:type="dxa" w:w="120"/>
            </w:tcMar>
          </w:tcPr>
          <w:p>
            <w:r>
              <w:rPr>
                <w:b/>
                <w:bCs/>
                <w:color w:val="FFFFFF"/>
                <w:sz w:val="20"/>
                <w:szCs w:val="20"/>
              </w:rPr>
              <w:t xml:space="preserve">Base Rate / Night</w:t>
            </w:r>
          </w:p>
        </w:tc>
      </w:tr>
      <w:tr>
        <w:tc>
          <w:tcPr>
            <w:tcW w:type="dxa" w:w="3120"/>
            <w:tcBorders>
              <w:top w:val="single" w:color="CCCCCC" w:sz="1"/>
              <w:left w:val="single" w:color="CCCCCC" w:sz="1"/>
              <w:bottom w:val="single" w:color="CCCCCC" w:sz="1"/>
              <w:right w:val="single" w:color="CCCCCC" w:sz="1"/>
            </w:tcBorders>
            <w:shd w:fill="F6F4EC" w:val="clear"/>
            <w:tcMar>
              <w:top w:type="dxa" w:w="80"/>
              <w:left w:type="dxa" w:w="120"/>
              <w:bottom w:type="dxa" w:w="80"/>
              <w:right w:type="dxa" w:w="120"/>
            </w:tcMar>
          </w:tcPr>
          <w:p>
            <w:r>
              <w:rPr>
                <w:sz w:val="20"/>
                <w:szCs w:val="20"/>
              </w:rPr>
              <w:t xml:space="preserve">Single</w:t>
            </w:r>
          </w:p>
        </w:tc>
        <w:tc>
          <w:tcPr>
            <w:tcW w:type="dxa" w:w="3120"/>
            <w:tcBorders>
              <w:top w:val="single" w:color="CCCCCC" w:sz="1"/>
              <w:left w:val="single" w:color="CCCCCC" w:sz="1"/>
              <w:bottom w:val="single" w:color="CCCCCC" w:sz="1"/>
              <w:right w:val="single" w:color="CCCCCC" w:sz="1"/>
            </w:tcBorders>
            <w:shd w:fill="F6F4EC" w:val="clear"/>
            <w:tcMar>
              <w:top w:type="dxa" w:w="80"/>
              <w:left w:type="dxa" w:w="120"/>
              <w:bottom w:type="dxa" w:w="80"/>
              <w:right w:type="dxa" w:w="120"/>
            </w:tcMar>
          </w:tcPr>
          <w:p>
            <w:r>
              <w:rPr>
                <w:sz w:val="20"/>
                <w:szCs w:val="20"/>
              </w:rPr>
              <w:t xml:space="preserve">1 guest</w:t>
            </w:r>
          </w:p>
        </w:tc>
        <w:tc>
          <w:tcPr>
            <w:tcW w:type="dxa" w:w="3120"/>
            <w:tcBorders>
              <w:top w:val="single" w:color="CCCCCC" w:sz="1"/>
              <w:left w:val="single" w:color="CCCCCC" w:sz="1"/>
              <w:bottom w:val="single" w:color="CCCCCC" w:sz="1"/>
              <w:right w:val="single" w:color="CCCCCC" w:sz="1"/>
            </w:tcBorders>
            <w:shd w:fill="F6F4EC" w:val="clear"/>
            <w:tcMar>
              <w:top w:type="dxa" w:w="80"/>
              <w:left w:type="dxa" w:w="120"/>
              <w:bottom w:type="dxa" w:w="80"/>
              <w:right w:type="dxa" w:w="120"/>
            </w:tcMar>
          </w:tcPr>
          <w:p>
            <w:r>
              <w:rPr>
                <w:sz w:val="20"/>
                <w:szCs w:val="20"/>
              </w:rPr>
              <w:t xml:space="preserve">$50.00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Double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 guests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$75.00</w:t>
            </w:r>
          </w:p>
        </w:tc>
      </w:tr>
      <w:tr>
        <w:tc>
          <w:tcPr>
            <w:tcW w:type="dxa" w:w="3120"/>
            <w:tcBorders>
              <w:top w:val="single" w:color="CCCCCC" w:sz="1"/>
              <w:left w:val="single" w:color="CCCCCC" w:sz="1"/>
              <w:bottom w:val="single" w:color="CCCCCC" w:sz="1"/>
              <w:right w:val="single" w:color="CCCCCC" w:sz="1"/>
            </w:tcBorders>
            <w:shd w:fill="F6F4EC" w:val="clear"/>
            <w:tcMar>
              <w:top w:type="dxa" w:w="80"/>
              <w:left w:type="dxa" w:w="120"/>
              <w:bottom w:type="dxa" w:w="80"/>
              <w:right w:type="dxa" w:w="120"/>
            </w:tcMar>
          </w:tcPr>
          <w:p>
            <w:r>
              <w:rPr>
                <w:sz w:val="20"/>
                <w:szCs w:val="20"/>
              </w:rPr>
              <w:t xml:space="preserve">Twin</w:t>
            </w:r>
          </w:p>
        </w:tc>
        <w:tc>
          <w:tcPr>
            <w:tcW w:type="dxa" w:w="3120"/>
            <w:tcBorders>
              <w:top w:val="single" w:color="CCCCCC" w:sz="1"/>
              <w:left w:val="single" w:color="CCCCCC" w:sz="1"/>
              <w:bottom w:val="single" w:color="CCCCCC" w:sz="1"/>
              <w:right w:val="single" w:color="CCCCCC" w:sz="1"/>
            </w:tcBorders>
            <w:shd w:fill="F6F4EC" w:val="clear"/>
            <w:tcMar>
              <w:top w:type="dxa" w:w="80"/>
              <w:left w:type="dxa" w:w="120"/>
              <w:bottom w:type="dxa" w:w="80"/>
              <w:right w:type="dxa" w:w="120"/>
            </w:tcMar>
          </w:tcPr>
          <w:p>
            <w:r>
              <w:rPr>
                <w:sz w:val="20"/>
                <w:szCs w:val="20"/>
              </w:rPr>
              <w:t xml:space="preserve">2 guests</w:t>
            </w:r>
          </w:p>
        </w:tc>
        <w:tc>
          <w:tcPr>
            <w:tcW w:type="dxa" w:w="3120"/>
            <w:tcBorders>
              <w:top w:val="single" w:color="CCCCCC" w:sz="1"/>
              <w:left w:val="single" w:color="CCCCCC" w:sz="1"/>
              <w:bottom w:val="single" w:color="CCCCCC" w:sz="1"/>
              <w:right w:val="single" w:color="CCCCCC" w:sz="1"/>
            </w:tcBorders>
            <w:shd w:fill="F6F4EC" w:val="clear"/>
            <w:tcMar>
              <w:top w:type="dxa" w:w="80"/>
              <w:left w:type="dxa" w:w="120"/>
              <w:bottom w:type="dxa" w:w="80"/>
              <w:right w:type="dxa" w:w="120"/>
            </w:tcMar>
          </w:tcPr>
          <w:p>
            <w:r>
              <w:rPr>
                <w:sz w:val="20"/>
                <w:szCs w:val="20"/>
              </w:rPr>
              <w:t xml:space="preserve">$75.00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Deluxe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 guests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$120.00</w:t>
            </w:r>
          </w:p>
        </w:tc>
      </w:tr>
      <w:tr>
        <w:tc>
          <w:tcPr>
            <w:tcW w:type="dxa" w:w="3120"/>
            <w:tcBorders>
              <w:top w:val="single" w:color="CCCCCC" w:sz="1"/>
              <w:left w:val="single" w:color="CCCCCC" w:sz="1"/>
              <w:bottom w:val="single" w:color="CCCCCC" w:sz="1"/>
              <w:right w:val="single" w:color="CCCCCC" w:sz="1"/>
            </w:tcBorders>
            <w:shd w:fill="F6F4EC" w:val="clear"/>
            <w:tcMar>
              <w:top w:type="dxa" w:w="80"/>
              <w:left w:type="dxa" w:w="120"/>
              <w:bottom w:type="dxa" w:w="80"/>
              <w:right w:type="dxa" w:w="120"/>
            </w:tcMar>
          </w:tcPr>
          <w:p>
            <w:r>
              <w:rPr>
                <w:sz w:val="20"/>
                <w:szCs w:val="20"/>
              </w:rPr>
              <w:t xml:space="preserve">Suite</w:t>
            </w:r>
          </w:p>
        </w:tc>
        <w:tc>
          <w:tcPr>
            <w:tcW w:type="dxa" w:w="3120"/>
            <w:tcBorders>
              <w:top w:val="single" w:color="CCCCCC" w:sz="1"/>
              <w:left w:val="single" w:color="CCCCCC" w:sz="1"/>
              <w:bottom w:val="single" w:color="CCCCCC" w:sz="1"/>
              <w:right w:val="single" w:color="CCCCCC" w:sz="1"/>
            </w:tcBorders>
            <w:shd w:fill="F6F4EC" w:val="clear"/>
            <w:tcMar>
              <w:top w:type="dxa" w:w="80"/>
              <w:left w:type="dxa" w:w="120"/>
              <w:bottom w:type="dxa" w:w="80"/>
              <w:right w:type="dxa" w:w="120"/>
            </w:tcMar>
          </w:tcPr>
          <w:p>
            <w:r>
              <w:rPr>
                <w:sz w:val="20"/>
                <w:szCs w:val="20"/>
              </w:rPr>
              <w:t xml:space="preserve">4 guests</w:t>
            </w:r>
          </w:p>
        </w:tc>
        <w:tc>
          <w:tcPr>
            <w:tcW w:type="dxa" w:w="3120"/>
            <w:tcBorders>
              <w:top w:val="single" w:color="CCCCCC" w:sz="1"/>
              <w:left w:val="single" w:color="CCCCCC" w:sz="1"/>
              <w:bottom w:val="single" w:color="CCCCCC" w:sz="1"/>
              <w:right w:val="single" w:color="CCCCCC" w:sz="1"/>
            </w:tcBorders>
            <w:shd w:fill="F6F4EC" w:val="clear"/>
            <w:tcMar>
              <w:top w:type="dxa" w:w="80"/>
              <w:left w:type="dxa" w:w="120"/>
              <w:bottom w:type="dxa" w:w="80"/>
              <w:right w:type="dxa" w:w="120"/>
            </w:tcMar>
          </w:tcPr>
          <w:p>
            <w:r>
              <w:rPr>
                <w:sz w:val="20"/>
                <w:szCs w:val="20"/>
              </w:rPr>
              <w:t xml:space="preserve">$200.00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Family Room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 guests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$150.00</w:t>
            </w:r>
          </w:p>
        </w:tc>
      </w:tr>
    </w:tbl>
    <w:p>
      <w:pPr>
        <w:spacing w:before="240"/>
      </w:pPr>
      <w:r>
        <w:t xml:space="preserve"/>
      </w:r>
    </w:p>
    <w:p>
      <w:pPr>
        <w:pStyle w:val="Heading1"/>
      </w:pPr>
      <w:r>
        <w:t xml:space="preserve">5. Children &amp; Extra Beds</w:t>
      </w:r>
    </w:p>
    <w:p>
      <w:pPr>
        <w:pStyle w:val="ListParagraph"/>
        <w:numPr>
          <w:ilvl w:val="0"/>
          <w:numId w:val="2"/>
        </w:numPr>
        <w:spacing w:after="80"/>
      </w:pPr>
      <w:r>
        <w:rPr>
          <w:sz w:val="22"/>
          <w:szCs w:val="22"/>
        </w:rPr>
        <w:t xml:space="preserve">Children under 5 years stay free when sharing existing bedding with a parent or guardian.</w:t>
      </w:r>
    </w:p>
    <w:p>
      <w:pPr>
        <w:pStyle w:val="ListParagraph"/>
        <w:numPr>
          <w:ilvl w:val="0"/>
          <w:numId w:val="2"/>
        </w:numPr>
        <w:spacing w:after="80"/>
      </w:pPr>
      <w:r>
        <w:rPr>
          <w:sz w:val="22"/>
          <w:szCs w:val="22"/>
        </w:rPr>
        <w:t xml:space="preserve">Extra beds or cribs may be requested at the time of booking, subject to availability and an additional nightly charge.</w:t>
      </w:r>
    </w:p>
    <w:p>
      <w:pPr>
        <w:pStyle w:val="Heading1"/>
      </w:pPr>
      <w:r>
        <w:t xml:space="preserve">6. Pets</w:t>
      </w:r>
    </w:p>
    <w:p>
      <w:pPr>
        <w:spacing w:after="160"/>
      </w:pPr>
      <w:r>
        <w:rPr>
          <w:sz w:val="22"/>
          <w:szCs w:val="22"/>
        </w:rPr>
        <w:t xml:space="preserve">Grand Pearl Hotel does not currently accommodate pets, with the exception of trained service animals, which are welcome in all room types at no additional charge. Please notify the front desk in advance.</w:t>
      </w:r>
    </w:p>
    <w:p>
      <w:pPr>
        <w:pStyle w:val="Heading1"/>
      </w:pPr>
      <w:r>
        <w:t xml:space="preserve">7. Smoking Policy</w:t>
      </w:r>
    </w:p>
    <w:p>
      <w:pPr>
        <w:spacing w:after="160"/>
      </w:pPr>
      <w:r>
        <w:rPr>
          <w:sz w:val="22"/>
          <w:szCs w:val="22"/>
        </w:rPr>
        <w:t xml:space="preserve">All indoor areas, including guest rooms, are strictly non-smoking. Guests found smoking in non-designated areas will be charged a deep-cleaning fee. Designated outdoor smoking areas are available on the ground floor.</w:t>
      </w:r>
    </w:p>
    <w:p>
      <w:pPr>
        <w:pStyle w:val="Heading1"/>
      </w:pPr>
      <w:r>
        <w:t xml:space="preserve">8. Damage, Loss &amp; Liability</w:t>
      </w:r>
    </w:p>
    <w:p>
      <w:pPr>
        <w:pStyle w:val="ListParagraph"/>
        <w:numPr>
          <w:ilvl w:val="0"/>
          <w:numId w:val="2"/>
        </w:numPr>
        <w:spacing w:after="80"/>
      </w:pPr>
      <w:r>
        <w:rPr>
          <w:sz w:val="22"/>
          <w:szCs w:val="22"/>
        </w:rPr>
        <w:t xml:space="preserve">Guests are financially responsible for any damage to hotel property, fixtures, or furnishings caused during their stay.</w:t>
      </w:r>
    </w:p>
    <w:p>
      <w:pPr>
        <w:pStyle w:val="ListParagraph"/>
        <w:numPr>
          <w:ilvl w:val="0"/>
          <w:numId w:val="2"/>
        </w:numPr>
        <w:spacing w:after="80"/>
      </w:pPr>
      <w:r>
        <w:rPr>
          <w:sz w:val="22"/>
          <w:szCs w:val="22"/>
        </w:rPr>
        <w:t xml:space="preserve">The hotel is not liable for loss of cash, jewelry, or valuables left unattended in rooms. In-room safes are provided for guest use.</w:t>
      </w:r>
    </w:p>
    <w:p>
      <w:pPr>
        <w:pStyle w:val="ListParagraph"/>
        <w:numPr>
          <w:ilvl w:val="0"/>
          <w:numId w:val="2"/>
        </w:numPr>
        <w:spacing w:after="80"/>
      </w:pPr>
      <w:r>
        <w:rPr>
          <w:sz w:val="22"/>
          <w:szCs w:val="22"/>
        </w:rPr>
        <w:t xml:space="preserve">Guests are encouraged to report any damage, malfunction, or safety concern to the front desk immediately upon discovery.</w:t>
      </w:r>
    </w:p>
    <w:p>
      <w:pPr>
        <w:pStyle w:val="Heading1"/>
      </w:pPr>
      <w:r>
        <w:t xml:space="preserve">9. Conduct &amp; Noise</w:t>
      </w:r>
    </w:p>
    <w:p>
      <w:pPr>
        <w:spacing w:after="160"/>
      </w:pPr>
      <w:r>
        <w:rPr>
          <w:sz w:val="22"/>
          <w:szCs w:val="22"/>
        </w:rPr>
        <w:t xml:space="preserve">Quiet hours are observed from 10:00 PM to 7:00 AM. Excessive noise, disruptive behavior, or activity that disturbs other guests may result in a warning and, if repeated, removal from the property without refund.</w:t>
      </w:r>
    </w:p>
    <w:p>
      <w:pPr>
        <w:pStyle w:val="Heading1"/>
      </w:pPr>
      <w:r>
        <w:t xml:space="preserve">10. Housekeeping &amp; Room Access</w:t>
      </w:r>
    </w:p>
    <w:p>
      <w:pPr>
        <w:pStyle w:val="ListParagraph"/>
        <w:numPr>
          <w:ilvl w:val="0"/>
          <w:numId w:val="2"/>
        </w:numPr>
        <w:spacing w:after="80"/>
      </w:pPr>
      <w:r>
        <w:rPr>
          <w:sz w:val="22"/>
          <w:szCs w:val="22"/>
        </w:rPr>
        <w:t xml:space="preserve">Daily housekeeping is provided between 10:00 AM and 3:00 PM unless a Do Not Disturb sign is displayed.</w:t>
      </w:r>
    </w:p>
    <w:p>
      <w:pPr>
        <w:pStyle w:val="ListParagraph"/>
        <w:numPr>
          <w:ilvl w:val="0"/>
          <w:numId w:val="2"/>
        </w:numPr>
        <w:spacing w:after="80"/>
      </w:pPr>
      <w:r>
        <w:rPr>
          <w:sz w:val="22"/>
          <w:szCs w:val="22"/>
        </w:rPr>
        <w:t xml:space="preserve">Hotel staff may enter a room for maintenance, safety inspection, or emergency purposes even if Do Not Disturb is displayed, with reasonable effort to notify the guest first.</w:t>
      </w:r>
    </w:p>
    <w:p>
      <w:pPr>
        <w:pStyle w:val="Heading1"/>
      </w:pPr>
      <w:r>
        <w:t xml:space="preserve">11. Services &amp; Additional Charges</w:t>
      </w:r>
    </w:p>
    <w:p>
      <w:pPr>
        <w:spacing w:after="160"/>
      </w:pPr>
      <w:r>
        <w:rPr>
          <w:sz w:val="22"/>
          <w:szCs w:val="22"/>
        </w:rPr>
        <w:t xml:space="preserve">The following optional services are available and billed separately at checkout unless prepaid:</w:t>
      </w:r>
    </w:p>
    <w:p>
      <w:pPr>
        <w:pStyle w:val="ListParagraph"/>
        <w:numPr>
          <w:ilvl w:val="0"/>
          <w:numId w:val="2"/>
        </w:numPr>
        <w:spacing w:after="80"/>
      </w:pPr>
      <w:r>
        <w:rPr>
          <w:sz w:val="22"/>
          <w:szCs w:val="22"/>
        </w:rPr>
        <w:t xml:space="preserve">Airport Pickup — $25.00 (one-way transfer)</w:t>
      </w:r>
    </w:p>
    <w:p>
      <w:pPr>
        <w:pStyle w:val="ListParagraph"/>
        <w:numPr>
          <w:ilvl w:val="0"/>
          <w:numId w:val="2"/>
        </w:numPr>
        <w:spacing w:after="80"/>
      </w:pPr>
      <w:r>
        <w:rPr>
          <w:sz w:val="22"/>
          <w:szCs w:val="22"/>
        </w:rPr>
        <w:t xml:space="preserve">Spa Access — $40.00 (full-day spa and sauna access)</w:t>
      </w:r>
    </w:p>
    <w:p>
      <w:pPr>
        <w:pStyle w:val="ListParagraph"/>
        <w:numPr>
          <w:ilvl w:val="0"/>
          <w:numId w:val="2"/>
        </w:numPr>
        <w:spacing w:after="80"/>
      </w:pPr>
      <w:r>
        <w:rPr>
          <w:sz w:val="22"/>
          <w:szCs w:val="22"/>
        </w:rPr>
        <w:t xml:space="preserve">Laundry Service — $15.00 (same-day laundry and pressing)</w:t>
      </w:r>
    </w:p>
    <w:p>
      <w:pPr>
        <w:pStyle w:val="ListParagraph"/>
        <w:numPr>
          <w:ilvl w:val="0"/>
          <w:numId w:val="2"/>
        </w:numPr>
        <w:spacing w:after="80"/>
      </w:pPr>
      <w:r>
        <w:rPr>
          <w:sz w:val="22"/>
          <w:szCs w:val="22"/>
        </w:rPr>
        <w:t xml:space="preserve">Breakfast Buffet — $12.00 per person, per day</w:t>
      </w:r>
    </w:p>
    <w:p>
      <w:pPr>
        <w:pStyle w:val="Heading1"/>
      </w:pPr>
      <w:r>
        <w:t xml:space="preserve">12. Cancellation by the Hotel</w:t>
      </w:r>
    </w:p>
    <w:p>
      <w:pPr>
        <w:spacing w:after="160"/>
      </w:pPr>
      <w:r>
        <w:rPr>
          <w:sz w:val="22"/>
          <w:szCs w:val="22"/>
        </w:rPr>
        <w:t xml:space="preserve">In rare circumstances (overbooking, maintenance emergencies, force majeure), Grand Pearl Hotel reserves the right to relocate a confirmed guest to a comparable or upgraded room at a partner property of equal or higher standard, at no additional cost to the guest.</w:t>
      </w:r>
    </w:p>
    <w:p>
      <w:pPr>
        <w:pStyle w:val="Heading1"/>
      </w:pPr>
      <w:r>
        <w:t xml:space="preserve">13. Privacy &amp; Guest Data</w:t>
      </w:r>
    </w:p>
    <w:p>
      <w:pPr>
        <w:spacing w:after="160"/>
      </w:pPr>
      <w:r>
        <w:rPr>
          <w:sz w:val="22"/>
          <w:szCs w:val="22"/>
        </w:rPr>
        <w:t xml:space="preserve">Guest information collected at booking (identification, contact details, payment information) is used solely for reservation, billing, and legal compliance purposes, and is not shared with third parties except as required by law.</w:t>
      </w:r>
    </w:p>
    <w:p>
      <w:pPr>
        <w:pBdr>
          <w:bottom w:val="single" w:color="B08D57" w:sz="4" w:space="4"/>
        </w:pBdr>
        <w:spacing w:after="240" w:before="100"/>
      </w:pPr>
      <w:r>
        <w:t xml:space="preserve"/>
      </w:r>
    </w:p>
    <w:p>
      <w:pPr>
        <w:spacing w:after="200"/>
      </w:pPr>
      <w:r>
        <w:rPr>
          <w:i/>
          <w:iCs/>
          <w:color w:val="5E6760"/>
          <w:sz w:val="20"/>
          <w:szCs w:val="20"/>
        </w:rPr>
        <w:t xml:space="preserve">Questions about any policy can be directed to the front desk, by phone, email, or the hotel's chat assistant. Policies are subject to change without prior notice; the version in effect at the time of check-in applies.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5E6760"/>
        <w:sz w:val="16"/>
        <w:szCs w:val="16"/>
      </w:rPr>
      <w:t xml:space="preserve">Demo document — sample content for testing purposes</w:t>
    </w:r>
    <w:r>
      <w:rPr>
        <w:color w:val="5E6760"/>
        <w:sz w:val="16"/>
        <w:szCs w:val="16"/>
      </w:rPr>
      <w:t xml:space="preserve">	Page </w:t>
    </w:r>
    <w:r>
      <w:rPr>
        <w:color w:val="5E676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b/>
        <w:bCs/>
        <w:color w:val="1F3A30"/>
        <w:sz w:val="18"/>
        <w:szCs w:val="18"/>
      </w:rPr>
      <w:t xml:space="preserve">GRAND PEARL HOTEL</w:t>
    </w:r>
    <w:r>
      <w:rPr>
        <w:color w:val="5E6760"/>
        <w:sz w:val="18"/>
        <w:szCs w:val="18"/>
      </w:rPr>
      <w:t xml:space="preserve">	Hotel Policies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A30"/>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B08D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2026-06-22T10:30:23.450Z</dcterms:created>
  <dcterms:modified xsi:type="dcterms:W3CDTF">2026-06-22T10:30:23.450Z</dcterms:modified>
</cp:coreProperties>
</file>

<file path=docProps/custom.xml><?xml version="1.0" encoding="utf-8"?>
<Properties xmlns="http://schemas.openxmlformats.org/officeDocument/2006/custom-properties" xmlns:vt="http://schemas.openxmlformats.org/officeDocument/2006/docPropsVTypes"/>
</file>