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ПУБЛИЧНАЯ ОФЕРТА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(Об использовании онлайн-сервиса Trek.uz)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г. Ташкент</w:t>
      </w:r>
    </w:p>
    <w:p>
      <w:pPr>
        <w:spacing w:after="80"/>
        <w:jc w:val="center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Версия, действующая с «___» __________ 2026 г.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Настоящий документ является официальным предложением (публичной офертой) Батиров Камронбек, самозанятого лица, зарегистрированного в соответствии с законодательством Республики Узбекистан (свидетельство о регистрации самозанятого лица №0006814588; ИНН: 631 292 863; ПИНФЛ: 50607026520010) (далее — «Исполнитель» или «Trek.uz») дееспособным физическим и юридическим лицам (далее — «Пользователь») заключить договор оказания информационных услуг в соответствии со ст. 367 и ч. 2 ст. 369 Гражданского кодекса Республики Узбекистан по использованию онлайн-сервиса Trek.uz (далее — «Договор» или «Оферта»).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Выполнение Пользователем действий, предусмотренных п. 2.1 настоящей Оферты, означает его полное и безоговорочное согласие с нижеприведёнными условиями (акцепт Оферты). С момента акцепта Оферты Договор считается заключённым.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До начала использования Сервиса Trek.uz необходимо полностью ознакомиться с текстом настоящей Оферты. В случае несогласия с условиями Оферты в целом или какой-либо её части Вам следует воздержаться от использования Сервиса Trek.uz.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Термины и определения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1.1. Сервис Trek.uz (далее — «Сервис») </w:t>
      </w:r>
      <w:r>
        <w:rPr>
          <w:rFonts w:ascii="Arial" w:cs="Arial" w:eastAsia="Arial" w:hAnsi="Arial"/>
          <w:sz w:val="22"/>
          <w:szCs w:val="22"/>
        </w:rPr>
        <w:t xml:space="preserve">— онлайн-сервис, доступный по адресу trek.uz, предоставляющий Пользователю информацию о сроках уплаты налогов, сдачи отчётности и выполнения иных обязательств в соответствии с налоговым законодательством Республики Узбекистан, а также инструменты для управления налоговым календарём, получения уведомлений, использования AI-помощника и иного функционала Сервиса.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1.2. Пользователь </w:t>
      </w:r>
      <w:r>
        <w:rPr>
          <w:rFonts w:ascii="Arial" w:cs="Arial" w:eastAsia="Arial" w:hAnsi="Arial"/>
          <w:sz w:val="22"/>
          <w:szCs w:val="22"/>
        </w:rPr>
        <w:t xml:space="preserve">— дееспособное физическое лицо или юридическое лицо, принявшее условия настоящей Оферты.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1.3. Тариф </w:t>
      </w:r>
      <w:r>
        <w:rPr>
          <w:rFonts w:ascii="Arial" w:cs="Arial" w:eastAsia="Arial" w:hAnsi="Arial"/>
          <w:sz w:val="22"/>
          <w:szCs w:val="22"/>
        </w:rPr>
        <w:t xml:space="preserve">— план использования Сервиса, определяющий объём доступного функционала и стоимость. Актуальные тарифы размещены на странице trek.uz/pricing.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1.4. Тариф Free </w:t>
      </w:r>
      <w:r>
        <w:rPr>
          <w:rFonts w:ascii="Arial" w:cs="Arial" w:eastAsia="Arial" w:hAnsi="Arial"/>
          <w:sz w:val="22"/>
          <w:szCs w:val="22"/>
        </w:rPr>
        <w:t xml:space="preserve">— бесплатный тарифный план, предоставляющий доступ к базовому функционалу Сервиса: просмотр налогового календаря, фильтрация по типу налога, просмотр деталей налоговых событий, уведомления внутри Сервиса.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1.5. Тариф Pro </w:t>
      </w:r>
      <w:r>
        <w:rPr>
          <w:rFonts w:ascii="Arial" w:cs="Arial" w:eastAsia="Arial" w:hAnsi="Arial"/>
          <w:sz w:val="22"/>
          <w:szCs w:val="22"/>
        </w:rPr>
        <w:t xml:space="preserve">— платный тарифный план стоимостью 79 000 (семьдесят девять тысяч) сум в месяц, предоставляющий доступ к расширенному функционалу Сервиса, включающему: персонализированный налоговый календарь, уведомления через Telegram за 7, 3 и 1 день до дедлайна, фильтрацию по типу организации и режиму налогообложения, экспорт данных в PDF, Excel и iCalendar (.ics), AI-помощник по налоговому законодательству (до 50 запросов в месяц), синхронизацию с Google Calendar, приоритетную поддержку.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1.6. Подписка </w:t>
      </w:r>
      <w:r>
        <w:rPr>
          <w:rFonts w:ascii="Arial" w:cs="Arial" w:eastAsia="Arial" w:hAnsi="Arial"/>
          <w:sz w:val="22"/>
          <w:szCs w:val="22"/>
        </w:rPr>
        <w:t xml:space="preserve">— оплаченный период использования Тарифа Pro.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1.7. Персональные данные </w:t>
      </w:r>
      <w:r>
        <w:rPr>
          <w:rFonts w:ascii="Arial" w:cs="Arial" w:eastAsia="Arial" w:hAnsi="Arial"/>
          <w:sz w:val="22"/>
          <w:szCs w:val="22"/>
        </w:rPr>
        <w:t xml:space="preserve">— информация, относящаяся к определённому физическому лицу или дающая возможность его идентификации, предоставленная Пользователем при регистрации и в процессе использования Сервиса.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1.8. AI-помощник </w:t>
      </w:r>
      <w:r>
        <w:rPr>
          <w:rFonts w:ascii="Arial" w:cs="Arial" w:eastAsia="Arial" w:hAnsi="Arial"/>
          <w:sz w:val="22"/>
          <w:szCs w:val="22"/>
        </w:rPr>
        <w:t xml:space="preserve">— функционал Сервиса, позволяющий Пользователю получать ответы на вопросы, связанные с налоговым законодательством Республики Узбекистан, с использованием технологий искусственного интеллекта.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Порядок акцепта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2.1. </w:t>
      </w:r>
      <w:r>
        <w:rPr>
          <w:rFonts w:ascii="Arial" w:cs="Arial" w:eastAsia="Arial" w:hAnsi="Arial"/>
          <w:sz w:val="22"/>
          <w:szCs w:val="22"/>
        </w:rPr>
        <w:t xml:space="preserve">Акцепт настоящей Оферты осуществляется путём регистрации Пользователя в Сервисе Trek.uz по адресу trek.uz/register.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2.2. </w:t>
      </w:r>
      <w:r>
        <w:rPr>
          <w:rFonts w:ascii="Arial" w:cs="Arial" w:eastAsia="Arial" w:hAnsi="Arial"/>
          <w:sz w:val="22"/>
          <w:szCs w:val="22"/>
        </w:rPr>
        <w:t xml:space="preserve">Регистрируясь в Сервисе, Пользователь предоставляет согласие Исполнителю на обработку своих персональных данных как на территории Республики Узбекистан, так и за её пределами, в соответствии с Политикой конфиденциальности, размещённой на сайте trek.uz/privacy.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2.3. </w:t>
      </w:r>
      <w:r>
        <w:rPr>
          <w:rFonts w:ascii="Arial" w:cs="Arial" w:eastAsia="Arial" w:hAnsi="Arial"/>
          <w:sz w:val="22"/>
          <w:szCs w:val="22"/>
        </w:rPr>
        <w:t xml:space="preserve">Исполнитель гарантирует Пользователю принятие всех необходимых мер по обеспечению конфиденциальности персональных данных в соответствии с требованиями законодательства Республики Узбекистан и Политикой конфиденциальности.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Предмет договора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3.1. </w:t>
      </w:r>
      <w:r>
        <w:rPr>
          <w:rFonts w:ascii="Arial" w:cs="Arial" w:eastAsia="Arial" w:hAnsi="Arial"/>
          <w:sz w:val="22"/>
          <w:szCs w:val="22"/>
        </w:rPr>
        <w:t xml:space="preserve">Исполнитель предоставляет Пользователю доступ к Сервису Trek.uz, позволяющему просматривать налоговый календарь Республики Узбекистан, получать уведомления о приближающихся сроках, использовать AI-помощник, экспортировать данные, а также совершать иные действия, предусмотренные функционалом Сервиса.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3.2. </w:t>
      </w:r>
      <w:r>
        <w:rPr>
          <w:rFonts w:ascii="Arial" w:cs="Arial" w:eastAsia="Arial" w:hAnsi="Arial"/>
          <w:sz w:val="22"/>
          <w:szCs w:val="22"/>
        </w:rPr>
        <w:t xml:space="preserve">Информация, предоставляемая Сервисом, включая ответы AI-помощника, носит исключительно информационный и справочный характер. Сервис не оказывает юридических, налоговых, бухгалтерских или иных профессиональных консультационных услуг. Для принятия решений Пользователю рекомендуется обращаться к квалифицированным специалистам и проверять информацию по актуальному тексту Налогового кодекса Республики Узбекистан.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3.3. </w:t>
      </w:r>
      <w:r>
        <w:rPr>
          <w:rFonts w:ascii="Arial" w:cs="Arial" w:eastAsia="Arial" w:hAnsi="Arial"/>
          <w:sz w:val="22"/>
          <w:szCs w:val="22"/>
        </w:rPr>
        <w:t xml:space="preserve">Исполнитель прилагает разумные усилия для обеспечения актуальности и корректности информации в Сервисе, однако не гарантирует абсолютную точность, полноту и своевременность данных.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3.4. </w:t>
      </w:r>
      <w:r>
        <w:rPr>
          <w:rFonts w:ascii="Arial" w:cs="Arial" w:eastAsia="Arial" w:hAnsi="Arial"/>
          <w:sz w:val="22"/>
          <w:szCs w:val="22"/>
        </w:rPr>
        <w:t xml:space="preserve">Сервис может содержать функционал, предоставляемый на платной основе (Тариф Pro). Активация платного тарифа производится Пользователем самостоятельно на странице trek.uz/billing.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Стоимость услуг и порядок оплаты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4.1. </w:t>
      </w:r>
      <w:r>
        <w:rPr>
          <w:rFonts w:ascii="Arial" w:cs="Arial" w:eastAsia="Arial" w:hAnsi="Arial"/>
          <w:sz w:val="22"/>
          <w:szCs w:val="22"/>
        </w:rPr>
        <w:t xml:space="preserve">Тариф Free предоставляется бесплатно и бессрочно.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4.2. </w:t>
      </w:r>
      <w:r>
        <w:rPr>
          <w:rFonts w:ascii="Arial" w:cs="Arial" w:eastAsia="Arial" w:hAnsi="Arial"/>
          <w:sz w:val="22"/>
          <w:szCs w:val="22"/>
        </w:rPr>
        <w:t xml:space="preserve">Стоимость Тарифа Pro составляет 79 000 (семьдесят девять тысяч) сум в месяц. Актуальная стоимость всегда указана на странице trek.uz/pricing.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4.3. </w:t>
      </w:r>
      <w:r>
        <w:rPr>
          <w:rFonts w:ascii="Arial" w:cs="Arial" w:eastAsia="Arial" w:hAnsi="Arial"/>
          <w:sz w:val="22"/>
          <w:szCs w:val="22"/>
        </w:rPr>
        <w:t xml:space="preserve">Оплата осуществляется путём перенаправления Пользователя на платёжную страницу Payme (payme.uz) с помощью банковских карт Uzcard и/или HUMO. После успешной оплаты подписка активируется автоматически.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4.4. </w:t>
      </w:r>
      <w:r>
        <w:rPr>
          <w:rFonts w:ascii="Arial" w:cs="Arial" w:eastAsia="Arial" w:hAnsi="Arial"/>
          <w:sz w:val="22"/>
          <w:szCs w:val="22"/>
        </w:rPr>
        <w:t xml:space="preserve">Подписка действует в течение 30 (тридцати) календарных дней с момента оплаты. По истечении срока подписки доступ к функционалу Тарифа Pro приостанавливается до следующей оплаты. Данные и настройки Пользователя сохраняются.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4.5. </w:t>
      </w:r>
      <w:r>
        <w:rPr>
          <w:rFonts w:ascii="Arial" w:cs="Arial" w:eastAsia="Arial" w:hAnsi="Arial"/>
          <w:sz w:val="22"/>
          <w:szCs w:val="22"/>
        </w:rPr>
        <w:t xml:space="preserve">Исполнитель вправе изменять стоимость Тарифа Pro, уведомив Пользователя не менее чем за 30 (тридцать) календарных дней до вступления изменений в силу путём размещения информации на сайте trek.uz и/или направления уведомления на электронную почту Пользователя.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4.6. </w:t>
      </w:r>
      <w:r>
        <w:rPr>
          <w:rFonts w:ascii="Arial" w:cs="Arial" w:eastAsia="Arial" w:hAnsi="Arial"/>
          <w:sz w:val="22"/>
          <w:szCs w:val="22"/>
        </w:rPr>
        <w:t xml:space="preserve">Возврат денежных средств за оплаченный период использования Тарифа Pro не производится, за исключением случаев, предусмотренных законодательством Республики Узбекистан.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Обязательства сторон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5.1. Исполнитель обязуется: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а) обеспечивать работоспособность Сервиса, за исключением случаев, когда сбои вызваны обстоятельствами, находящимися вне контроля Исполнителя;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б) принимать организационные и технические меры по защите персональных данных Пользователя;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в) своевременно информировать Пользователей об изменениях в условиях Оферты и функционале Сервиса.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5.2. Исполнитель вправе: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а) в случае нарушения Пользователем условий настоящего Договора и/или требований законодательства Республики Узбекистан временно ограничить или прекратить доступ Пользователя к Сервису;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б) проводить профилактические работы с временным приостановлением доступа к Сервису;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в) вносить изменения в функционал Сервиса без предварительного уведомления Пользователя.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5.3. Пользователь обязуется: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а) соблюдать условия настоящего Договора;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б) предоставлять достоверную информацию при регистрации;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в) самостоятельно обеспечивать безопасность доступа к своей учётной записи;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г) не использовать Сервис для целей, противоречащих законодательству Республики Узбекистан.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Ограничение ответственности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6.1. </w:t>
      </w:r>
      <w:r>
        <w:rPr>
          <w:rFonts w:ascii="Arial" w:cs="Arial" w:eastAsia="Arial" w:hAnsi="Arial"/>
          <w:sz w:val="22"/>
          <w:szCs w:val="22"/>
        </w:rPr>
        <w:t xml:space="preserve">Сервис предоставляется «как есть» (as is). Исполнитель не несёт ответственности за убытки, возникшие у Пользователя вследствие использования или невозможности использования Сервиса.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6.2. </w:t>
      </w:r>
      <w:r>
        <w:rPr>
          <w:rFonts w:ascii="Arial" w:cs="Arial" w:eastAsia="Arial" w:hAnsi="Arial"/>
          <w:sz w:val="22"/>
          <w:szCs w:val="22"/>
        </w:rPr>
        <w:t xml:space="preserve">Исполнитель не несёт ответственности за принятие Пользователем решений на основании информации, полученной через Сервис, включая ответы AI-помощника.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6.3. </w:t>
      </w:r>
      <w:r>
        <w:rPr>
          <w:rFonts w:ascii="Arial" w:cs="Arial" w:eastAsia="Arial" w:hAnsi="Arial"/>
          <w:sz w:val="22"/>
          <w:szCs w:val="22"/>
        </w:rPr>
        <w:t xml:space="preserve">Исполнитель не несёт ответственности за сбои в работе Сервиса, вызванные действиями третьих лиц, обстоятельствами непреодолимой силы, перебоями в работе сетей связи или иными обстоятельствами, находящимися вне контроля Исполнителя.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6.4. </w:t>
      </w:r>
      <w:r>
        <w:rPr>
          <w:rFonts w:ascii="Arial" w:cs="Arial" w:eastAsia="Arial" w:hAnsi="Arial"/>
          <w:sz w:val="22"/>
          <w:szCs w:val="22"/>
        </w:rPr>
        <w:t xml:space="preserve">Совокупная ответственность Исполнителя перед Пользователем по настоящему Договору ограничивается суммой, фактически уплаченной Пользователем за последние 3 (три) месяца использования Тарифа Pro.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 Расторжение договора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7.1. </w:t>
      </w:r>
      <w:r>
        <w:rPr>
          <w:rFonts w:ascii="Arial" w:cs="Arial" w:eastAsia="Arial" w:hAnsi="Arial"/>
          <w:sz w:val="22"/>
          <w:szCs w:val="22"/>
        </w:rPr>
        <w:t xml:space="preserve">Пользователь вправе в любой момент расторгнуть Договор, удалив свою учётную запись в настройках Сервиса или направив запрос на электронную почту [EMAIL].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7.2. </w:t>
      </w:r>
      <w:r>
        <w:rPr>
          <w:rFonts w:ascii="Arial" w:cs="Arial" w:eastAsia="Arial" w:hAnsi="Arial"/>
          <w:sz w:val="22"/>
          <w:szCs w:val="22"/>
        </w:rPr>
        <w:t xml:space="preserve">Исполнитель вправе расторгнуть Договор в одностороннем порядке в случаях, предусмотренных п. 5.2 (а) настоящей Оферты.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7.3. </w:t>
      </w:r>
      <w:r>
        <w:rPr>
          <w:rFonts w:ascii="Arial" w:cs="Arial" w:eastAsia="Arial" w:hAnsi="Arial"/>
          <w:sz w:val="22"/>
          <w:szCs w:val="22"/>
        </w:rPr>
        <w:t xml:space="preserve">При расторжении Договора доступ Пользователя к Сервису прекращается. Персональные данные Пользователя уничтожаются в соответствии с Политикой конфиденциальности.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8. Порядок рассмотрения споров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8.1. </w:t>
      </w:r>
      <w:r>
        <w:rPr>
          <w:rFonts w:ascii="Arial" w:cs="Arial" w:eastAsia="Arial" w:hAnsi="Arial"/>
          <w:sz w:val="22"/>
          <w:szCs w:val="22"/>
        </w:rPr>
        <w:t xml:space="preserve">Споры, возникающие из настоящего Договора, подлежат разрешению путём переговоров. Пользователь вправе направить претензию на электронную почту [EMAIL].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8.2. </w:t>
      </w:r>
      <w:r>
        <w:rPr>
          <w:rFonts w:ascii="Arial" w:cs="Arial" w:eastAsia="Arial" w:hAnsi="Arial"/>
          <w:sz w:val="22"/>
          <w:szCs w:val="22"/>
        </w:rPr>
        <w:t xml:space="preserve">Срок рассмотрения претензии составляет 15 (пятнадцать) рабочих дней с момента её получения Исполнителем.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8.3. </w:t>
      </w:r>
      <w:r>
        <w:rPr>
          <w:rFonts w:ascii="Arial" w:cs="Arial" w:eastAsia="Arial" w:hAnsi="Arial"/>
          <w:sz w:val="22"/>
          <w:szCs w:val="22"/>
        </w:rPr>
        <w:t xml:space="preserve">В случае невозможности разрешения спора путём переговоров, он подлежит рассмотрению судом по месту жительства Исполнителя в порядке, предусмотренном законодательством Республики Узбекистан.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 Прочие условия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9.1. </w:t>
      </w:r>
      <w:r>
        <w:rPr>
          <w:rFonts w:ascii="Arial" w:cs="Arial" w:eastAsia="Arial" w:hAnsi="Arial"/>
          <w:sz w:val="22"/>
          <w:szCs w:val="22"/>
        </w:rPr>
        <w:t xml:space="preserve">Исполнитель вправе в одностороннем порядке вносить изменения в настоящую Оферту путём опубликования изменённой редакции на сайте trek.uz/terms. Изменённая редакция вступает в силу не ранее 15 (пятнадцати) календарных дней с момента её размещения.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9.2. </w:t>
      </w:r>
      <w:r>
        <w:rPr>
          <w:rFonts w:ascii="Arial" w:cs="Arial" w:eastAsia="Arial" w:hAnsi="Arial"/>
          <w:sz w:val="22"/>
          <w:szCs w:val="22"/>
        </w:rPr>
        <w:t xml:space="preserve">Продолжение использования Сервиса после вступления в силу изменённой редакции Оферты является акцептом таких изменений.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9.3. </w:t>
      </w:r>
      <w:r>
        <w:rPr>
          <w:rFonts w:ascii="Arial" w:cs="Arial" w:eastAsia="Arial" w:hAnsi="Arial"/>
          <w:sz w:val="22"/>
          <w:szCs w:val="22"/>
        </w:rPr>
        <w:t xml:space="preserve">Во всём, что прямо не предусмотрено настоящим Договором, стороны руководствуются законодательством Республики Узбекистан.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9.4. </w:t>
      </w:r>
      <w:r>
        <w:rPr>
          <w:rFonts w:ascii="Arial" w:cs="Arial" w:eastAsia="Arial" w:hAnsi="Arial"/>
          <w:sz w:val="22"/>
          <w:szCs w:val="22"/>
        </w:rPr>
        <w:t xml:space="preserve">Акцептом настоящей Оферты Пользователь подтверждает своё согласие с Политикой конфиденциальности, размещённой на сайте trek.uz/privacy.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10. Реквизиты Исполнителя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Батиров Камронбек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Самозанятое лицо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ИНН: 631 292 863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ПИНФЛ: 50607026520010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Адрес: г. Ташкент, Юнусабадский район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E-mail: [EMAIL]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Телефон: [ТЕЛЕФОН]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Сайт: trek.uz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2026-03-27T03:36:14.031Z</dcterms:created>
  <dcterms:modified xsi:type="dcterms:W3CDTF">2026-03-27T03:36:14.031Z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